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855"/>
        <w:gridCol w:w="4860"/>
        <w:gridCol w:w="4860"/>
      </w:tblGrid>
      <w:tr w:rsidR="00FB1113" w:rsidRPr="00B872FD" w:rsidTr="00CD3E3E">
        <w:tc>
          <w:tcPr>
            <w:tcW w:w="14575" w:type="dxa"/>
            <w:gridSpan w:val="3"/>
            <w:shd w:val="clear" w:color="auto" w:fill="D9D9D9" w:themeFill="background1" w:themeFillShade="D9"/>
          </w:tcPr>
          <w:p w:rsidR="00FB1113" w:rsidRPr="00B872FD" w:rsidRDefault="00FB1113" w:rsidP="00CD3E3E">
            <w:pPr>
              <w:autoSpaceDE w:val="0"/>
              <w:autoSpaceDN w:val="0"/>
              <w:adjustRightInd w:val="0"/>
              <w:spacing w:before="40" w:after="120"/>
              <w:ind w:right="900"/>
              <w:rPr>
                <w:rFonts w:cs="Times New Roman"/>
                <w:b/>
                <w:bCs/>
                <w:color w:val="000000"/>
              </w:rPr>
            </w:pPr>
            <w:r w:rsidRPr="00B872FD">
              <w:rPr>
                <w:rFonts w:cs="Times New Roman"/>
                <w:b/>
                <w:bCs/>
                <w:color w:val="000000"/>
              </w:rPr>
              <w:t>Watershed Planning</w:t>
            </w:r>
          </w:p>
        </w:tc>
      </w:tr>
      <w:tr w:rsidR="00FB1113" w:rsidTr="00CD3E3E">
        <w:tc>
          <w:tcPr>
            <w:tcW w:w="4855" w:type="dxa"/>
          </w:tcPr>
          <w:p w:rsidR="00FB1113" w:rsidRPr="00085CFE" w:rsidRDefault="00FB1113" w:rsidP="00CD3E3E">
            <w:pPr>
              <w:autoSpaceDE w:val="0"/>
              <w:autoSpaceDN w:val="0"/>
              <w:adjustRightInd w:val="0"/>
              <w:spacing w:before="40" w:after="120"/>
              <w:ind w:right="75"/>
              <w:rPr>
                <w:rFonts w:cs="Times New Roman"/>
                <w:bCs/>
                <w:color w:val="000000"/>
              </w:rPr>
            </w:pPr>
            <w:r w:rsidRPr="00085CFE">
              <w:rPr>
                <w:rFonts w:cs="Times New Roman"/>
                <w:bCs/>
                <w:i/>
                <w:iCs/>
                <w:color w:val="000000"/>
              </w:rPr>
              <w:t xml:space="preserve">Objective </w:t>
            </w:r>
          </w:p>
          <w:p w:rsidR="00FB1113" w:rsidRPr="00085CFE" w:rsidRDefault="00FB1113" w:rsidP="00CD3E3E">
            <w:pPr>
              <w:autoSpaceDE w:val="0"/>
              <w:autoSpaceDN w:val="0"/>
              <w:adjustRightInd w:val="0"/>
              <w:spacing w:before="40" w:after="120"/>
              <w:ind w:right="75"/>
              <w:rPr>
                <w:rFonts w:cs="Times New Roman"/>
                <w:bCs/>
                <w:color w:val="000000"/>
              </w:rPr>
            </w:pPr>
            <w:r w:rsidRPr="00085CFE">
              <w:rPr>
                <w:rFonts w:cs="Times New Roman"/>
                <w:bCs/>
                <w:color w:val="000000"/>
              </w:rPr>
              <w:t>The proposed initiation of a long-term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085CFE">
              <w:rPr>
                <w:rFonts w:cs="Times New Roman"/>
                <w:bCs/>
                <w:color w:val="000000"/>
              </w:rPr>
              <w:t xml:space="preserve">MS4 planning requirement will help permittees make informed decisions about how and when to address existing and anticipated flow and water quality problems by: </w:t>
            </w:r>
          </w:p>
          <w:p w:rsidR="00FB1113" w:rsidRPr="00085CFE" w:rsidRDefault="00FB1113" w:rsidP="00CD3E3E">
            <w:pPr>
              <w:autoSpaceDE w:val="0"/>
              <w:autoSpaceDN w:val="0"/>
              <w:adjustRightInd w:val="0"/>
              <w:spacing w:before="40" w:after="120"/>
              <w:ind w:right="75"/>
              <w:rPr>
                <w:rFonts w:cs="Times New Roman"/>
                <w:bCs/>
                <w:color w:val="000000"/>
              </w:rPr>
            </w:pPr>
            <w:r w:rsidRPr="00085CFE">
              <w:rPr>
                <w:rFonts w:cs="Times New Roman"/>
                <w:bCs/>
                <w:color w:val="000000"/>
              </w:rPr>
              <w:t xml:space="preserve">1. Developing an inventory of basins all or partially inside your jurisdictional boundaries, </w:t>
            </w:r>
          </w:p>
          <w:p w:rsidR="00FB1113" w:rsidRPr="00085CFE" w:rsidRDefault="00FB1113" w:rsidP="00CD3E3E">
            <w:pPr>
              <w:autoSpaceDE w:val="0"/>
              <w:autoSpaceDN w:val="0"/>
              <w:adjustRightInd w:val="0"/>
              <w:spacing w:before="40" w:after="120"/>
              <w:ind w:right="75"/>
              <w:rPr>
                <w:rFonts w:cs="Times New Roman"/>
                <w:bCs/>
                <w:color w:val="000000"/>
              </w:rPr>
            </w:pPr>
            <w:r w:rsidRPr="00085CFE">
              <w:rPr>
                <w:rFonts w:cs="Times New Roman"/>
                <w:bCs/>
                <w:color w:val="000000"/>
              </w:rPr>
              <w:t xml:space="preserve">2. Using </w:t>
            </w:r>
            <w:r w:rsidRPr="007F23FE">
              <w:rPr>
                <w:rFonts w:cs="Times New Roman"/>
                <w:bCs/>
                <w:color w:val="000000"/>
                <w:highlight w:val="yellow"/>
              </w:rPr>
              <w:t>existing</w:t>
            </w:r>
            <w:r w:rsidRPr="00085CFE">
              <w:rPr>
                <w:rFonts w:cs="Times New Roman"/>
                <w:bCs/>
                <w:color w:val="000000"/>
              </w:rPr>
              <w:t xml:space="preserve"> information to complete a prioritization of your basins, and assessing data gaps, </w:t>
            </w:r>
          </w:p>
          <w:p w:rsidR="00FB1113" w:rsidRPr="00085CFE" w:rsidRDefault="00FB1113" w:rsidP="00CD3E3E">
            <w:pPr>
              <w:autoSpaceDE w:val="0"/>
              <w:autoSpaceDN w:val="0"/>
              <w:adjustRightInd w:val="0"/>
              <w:spacing w:before="40" w:after="120"/>
              <w:ind w:right="75"/>
              <w:rPr>
                <w:rFonts w:cs="Times New Roman"/>
                <w:bCs/>
                <w:color w:val="000000"/>
              </w:rPr>
            </w:pPr>
            <w:r w:rsidRPr="00085CFE">
              <w:rPr>
                <w:rFonts w:cs="Times New Roman"/>
                <w:bCs/>
                <w:color w:val="000000"/>
              </w:rPr>
              <w:t xml:space="preserve">3. Identifying catchment areas for planning within priority basins, and </w:t>
            </w:r>
          </w:p>
          <w:p w:rsidR="00FB1113" w:rsidRDefault="00FB1113" w:rsidP="00CD3E3E">
            <w:pPr>
              <w:autoSpaceDE w:val="0"/>
              <w:autoSpaceDN w:val="0"/>
              <w:adjustRightInd w:val="0"/>
              <w:spacing w:before="40" w:after="120"/>
              <w:ind w:right="75"/>
              <w:rPr>
                <w:rFonts w:cs="Times New Roman"/>
                <w:bCs/>
                <w:color w:val="000000"/>
              </w:rPr>
            </w:pPr>
            <w:r w:rsidRPr="00780C76">
              <w:rPr>
                <w:rFonts w:cs="Times New Roman"/>
                <w:bCs/>
                <w:color w:val="000000"/>
                <w:highlight w:val="cyan"/>
              </w:rPr>
              <w:t>4. Identifying specific approaches to apply within the catchment areas.</w:t>
            </w:r>
            <w:r w:rsidRPr="00085CFE">
              <w:rPr>
                <w:rFonts w:cs="Times New Roman"/>
                <w:bCs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 w:rsidR="00FB1113" w:rsidRDefault="00FB1113" w:rsidP="00CD3E3E">
            <w:pPr>
              <w:autoSpaceDE w:val="0"/>
              <w:autoSpaceDN w:val="0"/>
              <w:adjustRightInd w:val="0"/>
              <w:spacing w:before="40" w:after="120"/>
              <w:ind w:right="78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For this permit cycle </w:t>
            </w:r>
            <w:r w:rsidR="00591ADE">
              <w:rPr>
                <w:rFonts w:cs="Times New Roman"/>
                <w:bCs/>
                <w:color w:val="000000"/>
              </w:rPr>
              <w:t xml:space="preserve">allow the </w:t>
            </w:r>
            <w:r>
              <w:rPr>
                <w:rFonts w:cs="Times New Roman"/>
                <w:bCs/>
                <w:color w:val="000000"/>
              </w:rPr>
              <w:t xml:space="preserve">use </w:t>
            </w:r>
            <w:r w:rsidR="00591ADE">
              <w:rPr>
                <w:rFonts w:cs="Times New Roman"/>
                <w:bCs/>
                <w:color w:val="000000"/>
              </w:rPr>
              <w:t xml:space="preserve">of </w:t>
            </w:r>
            <w:r>
              <w:rPr>
                <w:rFonts w:cs="Times New Roman"/>
                <w:bCs/>
                <w:color w:val="000000"/>
              </w:rPr>
              <w:t>existing data</w:t>
            </w:r>
            <w:r w:rsidR="00591ADE">
              <w:rPr>
                <w:rFonts w:cs="Times New Roman"/>
                <w:bCs/>
                <w:color w:val="000000"/>
              </w:rPr>
              <w:t xml:space="preserve"> to fulfill the permit requirements</w:t>
            </w:r>
            <w:r>
              <w:rPr>
                <w:rFonts w:cs="Times New Roman"/>
                <w:bCs/>
                <w:color w:val="000000"/>
              </w:rPr>
              <w:t>.  Do not require new data gathering for Phase IIs.</w:t>
            </w:r>
            <w:bookmarkStart w:id="0" w:name="_GoBack"/>
            <w:bookmarkEnd w:id="0"/>
          </w:p>
          <w:p w:rsidR="00BE3606" w:rsidRDefault="00BE3606" w:rsidP="000328F4">
            <w:pPr>
              <w:autoSpaceDE w:val="0"/>
              <w:autoSpaceDN w:val="0"/>
              <w:adjustRightInd w:val="0"/>
              <w:spacing w:before="40" w:after="120"/>
              <w:ind w:right="78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Requiring specific a</w:t>
            </w:r>
            <w:r w:rsidR="00FB1113">
              <w:rPr>
                <w:rFonts w:cs="Times New Roman"/>
                <w:bCs/>
                <w:color w:val="000000"/>
              </w:rPr>
              <w:t xml:space="preserve">pproaches on a catchment level will potentially require the collection of new data.  </w:t>
            </w:r>
            <w:r w:rsidR="003B2202">
              <w:rPr>
                <w:rFonts w:cs="Times New Roman"/>
                <w:bCs/>
                <w:color w:val="000000"/>
              </w:rPr>
              <w:t>Completing Objectives 1-3, as well as, additional proposed new requirements</w:t>
            </w:r>
            <w:r w:rsidR="003B2202">
              <w:rPr>
                <w:rFonts w:cs="Times New Roman"/>
                <w:bCs/>
                <w:color w:val="000000"/>
              </w:rPr>
              <w:t xml:space="preserve"> (local source control)</w:t>
            </w:r>
            <w:r w:rsidR="003B2202">
              <w:rPr>
                <w:rFonts w:cs="Times New Roman"/>
                <w:bCs/>
                <w:color w:val="000000"/>
              </w:rPr>
              <w:t xml:space="preserve"> would be enough of a challenge for Phase II permittees</w:t>
            </w:r>
            <w:r w:rsidR="003B2202">
              <w:rPr>
                <w:rFonts w:cs="Times New Roman"/>
                <w:bCs/>
                <w:color w:val="000000"/>
              </w:rPr>
              <w:t>.</w:t>
            </w:r>
            <w:r w:rsidR="003B2202">
              <w:rPr>
                <w:rFonts w:cs="Times New Roman"/>
                <w:bCs/>
                <w:color w:val="000000"/>
              </w:rPr>
              <w:t xml:space="preserve"> </w:t>
            </w:r>
            <w:r w:rsidR="003B2202">
              <w:rPr>
                <w:rFonts w:cs="Times New Roman"/>
                <w:bCs/>
                <w:color w:val="000000"/>
              </w:rPr>
              <w:t>Adding o</w:t>
            </w:r>
            <w:r w:rsidR="003B2202">
              <w:rPr>
                <w:rFonts w:cs="Times New Roman"/>
                <w:bCs/>
                <w:color w:val="000000"/>
              </w:rPr>
              <w:t xml:space="preserve">bjective 4 might produce an unreasonable level of effort for all </w:t>
            </w:r>
            <w:proofErr w:type="spellStart"/>
            <w:r w:rsidR="003B2202">
              <w:rPr>
                <w:rFonts w:cs="Times New Roman"/>
                <w:bCs/>
                <w:color w:val="000000"/>
              </w:rPr>
              <w:t>permitees</w:t>
            </w:r>
            <w:proofErr w:type="spellEnd"/>
            <w:r w:rsidR="003B2202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4860" w:type="dxa"/>
          </w:tcPr>
          <w:p w:rsidR="00FB1113" w:rsidRPr="00834572" w:rsidRDefault="00FB1113" w:rsidP="00CD3E3E">
            <w:pPr>
              <w:autoSpaceDE w:val="0"/>
              <w:autoSpaceDN w:val="0"/>
              <w:adjustRightInd w:val="0"/>
              <w:spacing w:before="40" w:after="120"/>
              <w:ind w:right="68"/>
              <w:rPr>
                <w:rFonts w:cs="Times New Roman"/>
                <w:bCs/>
                <w:strike/>
                <w:color w:val="000000"/>
              </w:rPr>
            </w:pPr>
            <w:r w:rsidRPr="00834572">
              <w:rPr>
                <w:rFonts w:cs="Times New Roman"/>
                <w:bCs/>
                <w:strike/>
                <w:color w:val="000000"/>
              </w:rPr>
              <w:t>4. Identifying specific approaches to apply within the catchment areas.</w:t>
            </w:r>
          </w:p>
          <w:p w:rsidR="00FB1113" w:rsidRDefault="00FB1113" w:rsidP="00CD3E3E">
            <w:pPr>
              <w:autoSpaceDE w:val="0"/>
              <w:autoSpaceDN w:val="0"/>
              <w:adjustRightInd w:val="0"/>
              <w:spacing w:before="40" w:after="120"/>
              <w:ind w:right="68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Remove</w:t>
            </w:r>
            <w:r w:rsidR="000328F4">
              <w:rPr>
                <w:rFonts w:cs="Times New Roman"/>
                <w:bCs/>
                <w:color w:val="000000"/>
              </w:rPr>
              <w:t xml:space="preserve"> this requirement for Phase II </w:t>
            </w:r>
            <w:proofErr w:type="spellStart"/>
            <w:r w:rsidR="000328F4">
              <w:rPr>
                <w:rFonts w:cs="Times New Roman"/>
                <w:bCs/>
                <w:color w:val="000000"/>
              </w:rPr>
              <w:t>p</w:t>
            </w:r>
            <w:r>
              <w:rPr>
                <w:rFonts w:cs="Times New Roman"/>
                <w:bCs/>
                <w:color w:val="000000"/>
              </w:rPr>
              <w:t>ermitees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.  </w:t>
            </w:r>
          </w:p>
        </w:tc>
      </w:tr>
      <w:tr w:rsidR="00FB1113" w:rsidTr="00CD3E3E">
        <w:tc>
          <w:tcPr>
            <w:tcW w:w="4855" w:type="dxa"/>
          </w:tcPr>
          <w:p w:rsidR="00FB1113" w:rsidRDefault="00FB1113" w:rsidP="00CD3E3E">
            <w:pPr>
              <w:autoSpaceDE w:val="0"/>
              <w:autoSpaceDN w:val="0"/>
              <w:adjustRightInd w:val="0"/>
              <w:spacing w:before="40" w:after="120"/>
              <w:ind w:right="75"/>
              <w:rPr>
                <w:rFonts w:cs="Times New Roman"/>
                <w:bCs/>
                <w:iCs/>
                <w:color w:val="000000"/>
              </w:rPr>
            </w:pPr>
            <w:r w:rsidRPr="00712A6F">
              <w:rPr>
                <w:rFonts w:cs="Times New Roman"/>
                <w:bCs/>
                <w:iCs/>
                <w:color w:val="000000"/>
              </w:rPr>
              <w:t>Approach</w:t>
            </w:r>
          </w:p>
          <w:p w:rsidR="00FB1113" w:rsidRPr="00DB37C7" w:rsidRDefault="00FB1113" w:rsidP="00FB11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right="75"/>
              <w:rPr>
                <w:rFonts w:cs="Times New Roman"/>
                <w:bCs/>
                <w:iCs/>
                <w:color w:val="000000"/>
              </w:rPr>
            </w:pPr>
            <w:r>
              <w:t xml:space="preserve">use local information related to receiving waters and contributing area conditions to prioritize basins (1-10 </w:t>
            </w:r>
            <w:proofErr w:type="spellStart"/>
            <w:r>
              <w:t>sq</w:t>
            </w:r>
            <w:proofErr w:type="spellEnd"/>
            <w:r>
              <w:t xml:space="preserve"> m)</w:t>
            </w:r>
          </w:p>
          <w:p w:rsidR="00FB1113" w:rsidRDefault="00FB1113" w:rsidP="00FB11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right="75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I</w:t>
            </w:r>
            <w:r w:rsidR="003B2202">
              <w:rPr>
                <w:rFonts w:cs="Times New Roman"/>
                <w:bCs/>
                <w:iCs/>
                <w:color w:val="000000"/>
              </w:rPr>
              <w:t>d catchment (400-600 acres</w:t>
            </w:r>
            <w:r>
              <w:rPr>
                <w:rFonts w:cs="Times New Roman"/>
                <w:bCs/>
                <w:iCs/>
                <w:color w:val="000000"/>
              </w:rPr>
              <w:t>)</w:t>
            </w:r>
          </w:p>
          <w:p w:rsidR="00FB1113" w:rsidRDefault="00FB1113" w:rsidP="00FB11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right="75"/>
              <w:rPr>
                <w:rFonts w:cs="Times New Roman"/>
                <w:bCs/>
                <w:iCs/>
                <w:color w:val="000000"/>
              </w:rPr>
            </w:pPr>
            <w:r w:rsidRPr="00DB37C7">
              <w:rPr>
                <w:rFonts w:cs="Times New Roman"/>
                <w:bCs/>
                <w:iCs/>
                <w:color w:val="000000"/>
              </w:rPr>
              <w:t>strategies or actions to protect and improve water quality</w:t>
            </w:r>
            <w:r>
              <w:rPr>
                <w:rFonts w:cs="Times New Roman"/>
                <w:bCs/>
                <w:iCs/>
                <w:color w:val="000000"/>
              </w:rPr>
              <w:t xml:space="preserve"> for highest priority</w:t>
            </w:r>
          </w:p>
          <w:p w:rsidR="00FB1113" w:rsidRDefault="00FB1113" w:rsidP="00FB11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right="75"/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Plan for each catchment (</w:t>
            </w:r>
            <w:r w:rsidRPr="00DB37C7">
              <w:rPr>
                <w:rFonts w:cs="Times New Roman"/>
                <w:bCs/>
                <w:iCs/>
                <w:color w:val="000000"/>
              </w:rPr>
              <w:t>MS4 and complementary strategies</w:t>
            </w:r>
            <w:r>
              <w:rPr>
                <w:rFonts w:cs="Times New Roman"/>
                <w:bCs/>
                <w:iCs/>
                <w:color w:val="000000"/>
              </w:rPr>
              <w:t>???)</w:t>
            </w:r>
          </w:p>
          <w:p w:rsidR="00FB1113" w:rsidRDefault="00FB1113" w:rsidP="00FB111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left="701" w:right="75"/>
              <w:rPr>
                <w:rFonts w:cs="Times New Roman"/>
                <w:bCs/>
                <w:iCs/>
                <w:color w:val="000000"/>
              </w:rPr>
            </w:pPr>
            <w:r w:rsidRPr="00DB37C7">
              <w:rPr>
                <w:rFonts w:cs="Times New Roman"/>
                <w:bCs/>
                <w:iCs/>
                <w:color w:val="000000"/>
              </w:rPr>
              <w:t xml:space="preserve">capital projects including regional facilities; </w:t>
            </w:r>
          </w:p>
          <w:p w:rsidR="00FB1113" w:rsidRDefault="00FB1113" w:rsidP="00FB111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left="701" w:right="75"/>
              <w:rPr>
                <w:rFonts w:cs="Times New Roman"/>
                <w:bCs/>
                <w:iCs/>
                <w:color w:val="000000"/>
              </w:rPr>
            </w:pPr>
            <w:r w:rsidRPr="00DB37C7">
              <w:rPr>
                <w:rFonts w:cs="Times New Roman"/>
                <w:bCs/>
                <w:iCs/>
                <w:color w:val="000000"/>
              </w:rPr>
              <w:t xml:space="preserve">land acquisition and/or conservation easements; </w:t>
            </w:r>
          </w:p>
          <w:p w:rsidR="00FB1113" w:rsidRDefault="00FB1113" w:rsidP="00FB111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left="701" w:right="75"/>
              <w:rPr>
                <w:rFonts w:cs="Times New Roman"/>
                <w:bCs/>
                <w:iCs/>
                <w:color w:val="000000"/>
              </w:rPr>
            </w:pPr>
            <w:r w:rsidRPr="00DB37C7">
              <w:rPr>
                <w:rFonts w:cs="Times New Roman"/>
                <w:bCs/>
                <w:iCs/>
                <w:color w:val="000000"/>
              </w:rPr>
              <w:t xml:space="preserve">land use or zoning code adjustments; </w:t>
            </w:r>
          </w:p>
          <w:p w:rsidR="00FB1113" w:rsidRDefault="00FB1113" w:rsidP="00FB111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left="701" w:right="75"/>
              <w:rPr>
                <w:rFonts w:cs="Times New Roman"/>
                <w:bCs/>
                <w:iCs/>
                <w:color w:val="000000"/>
              </w:rPr>
            </w:pPr>
            <w:r w:rsidRPr="00DB37C7">
              <w:rPr>
                <w:rFonts w:cs="Times New Roman"/>
                <w:bCs/>
                <w:iCs/>
                <w:color w:val="000000"/>
              </w:rPr>
              <w:t xml:space="preserve">new critical area designations; </w:t>
            </w:r>
          </w:p>
          <w:p w:rsidR="00FB1113" w:rsidRDefault="00FB1113" w:rsidP="00FB111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left="701" w:right="75"/>
              <w:rPr>
                <w:rFonts w:cs="Times New Roman"/>
                <w:bCs/>
                <w:iCs/>
                <w:color w:val="000000"/>
              </w:rPr>
            </w:pPr>
            <w:r w:rsidRPr="00DB37C7">
              <w:rPr>
                <w:rFonts w:cs="Times New Roman"/>
                <w:bCs/>
                <w:iCs/>
                <w:color w:val="000000"/>
              </w:rPr>
              <w:t xml:space="preserve">protected, enhanced, or restored riparian buffers; </w:t>
            </w:r>
          </w:p>
          <w:p w:rsidR="00FB1113" w:rsidRDefault="00FB1113" w:rsidP="00FB111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left="701" w:right="75"/>
              <w:rPr>
                <w:rFonts w:cs="Times New Roman"/>
                <w:bCs/>
                <w:iCs/>
                <w:color w:val="000000"/>
              </w:rPr>
            </w:pPr>
            <w:r w:rsidRPr="00DB37C7">
              <w:rPr>
                <w:rFonts w:cs="Times New Roman"/>
                <w:bCs/>
                <w:iCs/>
                <w:color w:val="000000"/>
              </w:rPr>
              <w:t xml:space="preserve">enhanced MS4 maintenance; </w:t>
            </w:r>
          </w:p>
          <w:p w:rsidR="00FB1113" w:rsidRPr="00DB37C7" w:rsidRDefault="00FB1113" w:rsidP="00FB111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ind w:left="701" w:right="75"/>
              <w:rPr>
                <w:rFonts w:cs="Times New Roman"/>
                <w:bCs/>
                <w:iCs/>
                <w:color w:val="000000"/>
              </w:rPr>
            </w:pPr>
            <w:r w:rsidRPr="00DB37C7">
              <w:rPr>
                <w:rFonts w:cs="Times New Roman"/>
                <w:bCs/>
                <w:iCs/>
                <w:color w:val="000000"/>
              </w:rPr>
              <w:lastRenderedPageBreak/>
              <w:t>education and outreach.</w:t>
            </w:r>
          </w:p>
        </w:tc>
        <w:tc>
          <w:tcPr>
            <w:tcW w:w="4860" w:type="dxa"/>
          </w:tcPr>
          <w:p w:rsidR="00BE3606" w:rsidRDefault="00BE3606" w:rsidP="00BE3606">
            <w:pPr>
              <w:autoSpaceDE w:val="0"/>
              <w:autoSpaceDN w:val="0"/>
              <w:adjustRightInd w:val="0"/>
              <w:spacing w:before="40" w:after="120"/>
              <w:ind w:right="78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 xml:space="preserve">I like the idea of the permit helping to force the conversation about watershed scale planning. Yet I would like to see the requirements end up flexible enough that small jurisdictions could still comply without having to produce an in-depth plan and get too specific with action items. It seems like this requirement </w:t>
            </w:r>
            <w:r w:rsidR="003B2202">
              <w:rPr>
                <w:rFonts w:cs="Times New Roman"/>
                <w:bCs/>
                <w:color w:val="000000"/>
              </w:rPr>
              <w:t>has the potential to</w:t>
            </w:r>
            <w:r>
              <w:rPr>
                <w:rFonts w:cs="Times New Roman"/>
                <w:bCs/>
                <w:color w:val="000000"/>
              </w:rPr>
              <w:t xml:space="preserve"> help jurisdictions think about stormwater on a watershed scale and could start to inform some decision</w:t>
            </w:r>
            <w:r>
              <w:rPr>
                <w:rFonts w:cs="Times New Roman"/>
                <w:bCs/>
                <w:color w:val="000000"/>
              </w:rPr>
              <w:t>s</w:t>
            </w:r>
            <w:r>
              <w:rPr>
                <w:rFonts w:cs="Times New Roman"/>
                <w:bCs/>
                <w:color w:val="000000"/>
              </w:rPr>
              <w:t xml:space="preserve"> about stormwater retrofit projects but should not require additional analysis without ample grant opportunities. </w:t>
            </w:r>
            <w:r>
              <w:rPr>
                <w:rFonts w:cs="Times New Roman"/>
                <w:bCs/>
                <w:color w:val="000000"/>
              </w:rPr>
              <w:t xml:space="preserve">Currently our capital stormwater construction budget can barely fund failing cross culverts. We are focused on preservation due to our large area (27 </w:t>
            </w:r>
            <w:proofErr w:type="spellStart"/>
            <w:r>
              <w:rPr>
                <w:rFonts w:cs="Times New Roman"/>
                <w:bCs/>
                <w:color w:val="000000"/>
              </w:rPr>
              <w:t>sqmi</w:t>
            </w:r>
            <w:proofErr w:type="spellEnd"/>
            <w:r>
              <w:rPr>
                <w:rFonts w:cs="Times New Roman"/>
                <w:bCs/>
                <w:color w:val="000000"/>
              </w:rPr>
              <w:t>)</w:t>
            </w:r>
            <w:r w:rsidR="003B2202">
              <w:rPr>
                <w:rFonts w:cs="Times New Roman"/>
                <w:bCs/>
                <w:color w:val="000000"/>
              </w:rPr>
              <w:t xml:space="preserve"> and high number of </w:t>
            </w:r>
            <w:r w:rsidR="000328F4">
              <w:rPr>
                <w:rFonts w:cs="Times New Roman"/>
                <w:bCs/>
                <w:color w:val="000000"/>
              </w:rPr>
              <w:t>small drainages compared to our size of government</w:t>
            </w:r>
            <w:r>
              <w:rPr>
                <w:rFonts w:cs="Times New Roman"/>
                <w:bCs/>
                <w:color w:val="000000"/>
              </w:rPr>
              <w:t xml:space="preserve">. Watershed planning could help focus grant writing efforts but may not have much of an effect on </w:t>
            </w:r>
            <w:r>
              <w:rPr>
                <w:rFonts w:cs="Times New Roman"/>
                <w:bCs/>
                <w:color w:val="000000"/>
              </w:rPr>
              <w:lastRenderedPageBreak/>
              <w:t>retrofits or</w:t>
            </w:r>
            <w:r w:rsidR="003B2202">
              <w:rPr>
                <w:rFonts w:cs="Times New Roman"/>
                <w:bCs/>
                <w:color w:val="000000"/>
              </w:rPr>
              <w:t xml:space="preserve"> lead to implementation for</w:t>
            </w:r>
            <w:r>
              <w:rPr>
                <w:rFonts w:cs="Times New Roman"/>
                <w:bCs/>
                <w:color w:val="000000"/>
              </w:rPr>
              <w:t xml:space="preserve"> a stormwater control transfer program.</w:t>
            </w:r>
          </w:p>
          <w:p w:rsidR="00FB1113" w:rsidRDefault="00FB1113" w:rsidP="00CD3E3E">
            <w:pPr>
              <w:autoSpaceDE w:val="0"/>
              <w:autoSpaceDN w:val="0"/>
              <w:adjustRightInd w:val="0"/>
              <w:spacing w:before="40" w:after="120"/>
              <w:ind w:right="78"/>
              <w:rPr>
                <w:rFonts w:cs="Times New Roman"/>
                <w:bCs/>
                <w:color w:val="000000"/>
              </w:rPr>
            </w:pPr>
          </w:p>
        </w:tc>
        <w:tc>
          <w:tcPr>
            <w:tcW w:w="4860" w:type="dxa"/>
          </w:tcPr>
          <w:p w:rsidR="00FB1113" w:rsidRDefault="00FB1113" w:rsidP="00CD3E3E">
            <w:pPr>
              <w:autoSpaceDE w:val="0"/>
              <w:autoSpaceDN w:val="0"/>
              <w:adjustRightInd w:val="0"/>
              <w:spacing w:before="40" w:after="120"/>
              <w:ind w:right="68"/>
              <w:rPr>
                <w:rFonts w:cs="Times New Roman"/>
                <w:bCs/>
                <w:color w:val="000000"/>
              </w:rPr>
            </w:pPr>
          </w:p>
        </w:tc>
      </w:tr>
      <w:tr w:rsidR="003B2202" w:rsidTr="00CD3E3E">
        <w:tc>
          <w:tcPr>
            <w:tcW w:w="4855" w:type="dxa"/>
          </w:tcPr>
          <w:p w:rsidR="003B2202" w:rsidRPr="006776C7" w:rsidRDefault="003B2202" w:rsidP="003B22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120" w:line="240" w:lineRule="auto"/>
              <w:ind w:left="701" w:right="75"/>
              <w:rPr>
                <w:rFonts w:cs="Times New Roman"/>
                <w:bCs/>
                <w:iCs/>
                <w:color w:val="000000"/>
              </w:rPr>
            </w:pPr>
            <w:r w:rsidRPr="006776C7">
              <w:rPr>
                <w:rFonts w:cs="Times New Roman"/>
                <w:bCs/>
                <w:iCs/>
                <w:color w:val="000000"/>
              </w:rPr>
              <w:t xml:space="preserve">6. Deliverable in year </w:t>
            </w:r>
            <w:r w:rsidRPr="003B2202">
              <w:rPr>
                <w:rFonts w:cs="Times New Roman"/>
                <w:b/>
                <w:bCs/>
                <w:iCs/>
                <w:color w:val="000000"/>
              </w:rPr>
              <w:t>TBD</w:t>
            </w:r>
            <w:r w:rsidRPr="006776C7">
              <w:rPr>
                <w:rFonts w:cs="Times New Roman"/>
                <w:bCs/>
                <w:iCs/>
                <w:color w:val="000000"/>
              </w:rPr>
              <w:t xml:space="preserve"> of permit: proposed plan (including rationale for selected BMPs/actions) and estimated budget/funding approach. </w:t>
            </w:r>
          </w:p>
        </w:tc>
        <w:tc>
          <w:tcPr>
            <w:tcW w:w="4860" w:type="dxa"/>
          </w:tcPr>
          <w:p w:rsidR="003B2202" w:rsidRDefault="003B2202" w:rsidP="003B2202">
            <w:pPr>
              <w:autoSpaceDE w:val="0"/>
              <w:autoSpaceDN w:val="0"/>
              <w:adjustRightInd w:val="0"/>
              <w:spacing w:before="40" w:after="120"/>
              <w:ind w:right="78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How many Catchment Areas are required to have a plan? </w:t>
            </w:r>
            <w:proofErr w:type="gramStart"/>
            <w:r>
              <w:rPr>
                <w:rFonts w:cs="Times New Roman"/>
                <w:bCs/>
                <w:color w:val="000000"/>
              </w:rPr>
              <w:t>Also</w:t>
            </w:r>
            <w:proofErr w:type="gramEnd"/>
            <w:r>
              <w:rPr>
                <w:rFonts w:cs="Times New Roman"/>
                <w:bCs/>
                <w:color w:val="000000"/>
              </w:rPr>
              <w:t xml:space="preserve"> timing is important. when will ‘TBD’ (dates and numbers) be determined?</w:t>
            </w:r>
          </w:p>
        </w:tc>
        <w:tc>
          <w:tcPr>
            <w:tcW w:w="4860" w:type="dxa"/>
          </w:tcPr>
          <w:p w:rsidR="003B2202" w:rsidRDefault="003B2202" w:rsidP="003B2202">
            <w:pPr>
              <w:autoSpaceDE w:val="0"/>
              <w:autoSpaceDN w:val="0"/>
              <w:adjustRightInd w:val="0"/>
              <w:spacing w:before="40" w:after="120"/>
              <w:ind w:right="68"/>
              <w:rPr>
                <w:rFonts w:cs="Times New Roman"/>
                <w:bCs/>
                <w:color w:val="000000"/>
              </w:rPr>
            </w:pPr>
          </w:p>
        </w:tc>
      </w:tr>
    </w:tbl>
    <w:p w:rsidR="0047596D" w:rsidRDefault="0047596D"/>
    <w:sectPr w:rsidR="0047596D" w:rsidSect="00FB11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551" w:rsidRDefault="00592551" w:rsidP="00FB1113">
      <w:pPr>
        <w:spacing w:after="0" w:line="240" w:lineRule="auto"/>
      </w:pPr>
      <w:r>
        <w:separator/>
      </w:r>
    </w:p>
  </w:endnote>
  <w:endnote w:type="continuationSeparator" w:id="0">
    <w:p w:rsidR="00592551" w:rsidRDefault="00592551" w:rsidP="00FB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551" w:rsidRDefault="00592551" w:rsidP="00FB1113">
      <w:pPr>
        <w:spacing w:after="0" w:line="240" w:lineRule="auto"/>
      </w:pPr>
      <w:r>
        <w:separator/>
      </w:r>
    </w:p>
  </w:footnote>
  <w:footnote w:type="continuationSeparator" w:id="0">
    <w:p w:rsidR="00592551" w:rsidRDefault="00592551" w:rsidP="00FB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420" w:type="dxa"/>
      <w:tblLook w:val="04A0" w:firstRow="1" w:lastRow="0" w:firstColumn="1" w:lastColumn="0" w:noHBand="0" w:noVBand="1"/>
    </w:tblPr>
    <w:tblGrid>
      <w:gridCol w:w="4473"/>
      <w:gridCol w:w="4473"/>
      <w:gridCol w:w="4474"/>
    </w:tblGrid>
    <w:tr w:rsidR="00FB1113" w:rsidRPr="00821BA6" w:rsidTr="00FB1113">
      <w:trPr>
        <w:trHeight w:val="310"/>
      </w:trPr>
      <w:tc>
        <w:tcPr>
          <w:tcW w:w="4473" w:type="dxa"/>
        </w:tcPr>
        <w:p w:rsidR="00FB1113" w:rsidRPr="00821BA6" w:rsidRDefault="00FB1113" w:rsidP="00FB1113">
          <w:pPr>
            <w:autoSpaceDE w:val="0"/>
            <w:autoSpaceDN w:val="0"/>
            <w:adjustRightInd w:val="0"/>
            <w:ind w:right="-450"/>
            <w:rPr>
              <w:rFonts w:ascii="Times New Roman" w:hAnsi="Times New Roman" w:cs="Times New Roman"/>
              <w:b/>
              <w:bCs/>
              <w:color w:val="000000"/>
            </w:rPr>
          </w:pPr>
          <w:r w:rsidRPr="00821BA6">
            <w:rPr>
              <w:rFonts w:ascii="Times New Roman" w:hAnsi="Times New Roman" w:cs="Times New Roman"/>
              <w:b/>
              <w:bCs/>
              <w:color w:val="000000"/>
            </w:rPr>
            <w:t>Proposed Permit Language</w:t>
          </w:r>
        </w:p>
      </w:tc>
      <w:tc>
        <w:tcPr>
          <w:tcW w:w="4473" w:type="dxa"/>
        </w:tcPr>
        <w:p w:rsidR="00FB1113" w:rsidRPr="00821BA6" w:rsidRDefault="00FB1113" w:rsidP="00FB1113">
          <w:pPr>
            <w:autoSpaceDE w:val="0"/>
            <w:autoSpaceDN w:val="0"/>
            <w:adjustRightInd w:val="0"/>
            <w:ind w:right="-450"/>
            <w:rPr>
              <w:rFonts w:ascii="Times New Roman" w:hAnsi="Times New Roman" w:cs="Times New Roman"/>
              <w:b/>
              <w:bCs/>
              <w:color w:val="000000"/>
            </w:rPr>
          </w:pPr>
          <w:r w:rsidRPr="00821BA6">
            <w:rPr>
              <w:rFonts w:ascii="Times New Roman" w:hAnsi="Times New Roman" w:cs="Times New Roman"/>
              <w:b/>
              <w:bCs/>
              <w:color w:val="000000"/>
            </w:rPr>
            <w:t>Concerns / Justification improve language</w:t>
          </w:r>
        </w:p>
      </w:tc>
      <w:tc>
        <w:tcPr>
          <w:tcW w:w="4474" w:type="dxa"/>
        </w:tcPr>
        <w:p w:rsidR="00FB1113" w:rsidRPr="00821BA6" w:rsidRDefault="00FB1113" w:rsidP="00FB1113">
          <w:pPr>
            <w:autoSpaceDE w:val="0"/>
            <w:autoSpaceDN w:val="0"/>
            <w:adjustRightInd w:val="0"/>
            <w:ind w:right="-450"/>
            <w:rPr>
              <w:rFonts w:ascii="Times New Roman" w:hAnsi="Times New Roman" w:cs="Times New Roman"/>
              <w:b/>
              <w:bCs/>
              <w:color w:val="000000"/>
            </w:rPr>
          </w:pPr>
          <w:r w:rsidRPr="00821BA6">
            <w:rPr>
              <w:rFonts w:ascii="Times New Roman" w:hAnsi="Times New Roman" w:cs="Times New Roman"/>
              <w:b/>
              <w:bCs/>
              <w:color w:val="000000"/>
            </w:rPr>
            <w:t>Proposal / Proposed Language</w:t>
          </w:r>
        </w:p>
      </w:tc>
    </w:tr>
  </w:tbl>
  <w:p w:rsidR="00FB1113" w:rsidRPr="00FB1113" w:rsidRDefault="00FB1113" w:rsidP="00FB1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4C11"/>
    <w:multiLevelType w:val="hybridMultilevel"/>
    <w:tmpl w:val="F79A7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8116D"/>
    <w:multiLevelType w:val="hybridMultilevel"/>
    <w:tmpl w:val="3BA6A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E3E75"/>
    <w:multiLevelType w:val="hybridMultilevel"/>
    <w:tmpl w:val="B6F0C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C7051"/>
    <w:multiLevelType w:val="hybridMultilevel"/>
    <w:tmpl w:val="528C5F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D3193"/>
    <w:multiLevelType w:val="hybridMultilevel"/>
    <w:tmpl w:val="0B96D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3"/>
    <w:rsid w:val="000328F4"/>
    <w:rsid w:val="003210B7"/>
    <w:rsid w:val="003B2202"/>
    <w:rsid w:val="00472DAA"/>
    <w:rsid w:val="0047596D"/>
    <w:rsid w:val="00591ADE"/>
    <w:rsid w:val="00592551"/>
    <w:rsid w:val="00606415"/>
    <w:rsid w:val="00765DEE"/>
    <w:rsid w:val="00877A00"/>
    <w:rsid w:val="00BE3606"/>
    <w:rsid w:val="00F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A5B20"/>
  <w15:chartTrackingRefBased/>
  <w15:docId w15:val="{3DC708C8-F119-464A-BBB0-ADFB500B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13"/>
  </w:style>
  <w:style w:type="paragraph" w:styleId="Footer">
    <w:name w:val="footer"/>
    <w:basedOn w:val="Normal"/>
    <w:link w:val="FooterChar"/>
    <w:uiPriority w:val="99"/>
    <w:unhideWhenUsed/>
    <w:rsid w:val="00FB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13"/>
  </w:style>
  <w:style w:type="paragraph" w:styleId="ListParagraph">
    <w:name w:val="List Paragraph"/>
    <w:basedOn w:val="Normal"/>
    <w:uiPriority w:val="34"/>
    <w:qFormat/>
    <w:rsid w:val="00FB11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Berg</dc:creator>
  <cp:keywords/>
  <dc:description/>
  <cp:lastModifiedBy>Christian Berg</cp:lastModifiedBy>
  <cp:revision>2</cp:revision>
  <dcterms:created xsi:type="dcterms:W3CDTF">2018-01-04T22:14:00Z</dcterms:created>
  <dcterms:modified xsi:type="dcterms:W3CDTF">2018-01-31T18:23:00Z</dcterms:modified>
</cp:coreProperties>
</file>