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88F01" w14:textId="77777777" w:rsidR="00912DF9" w:rsidRDefault="00912DF9" w:rsidP="0014439B">
      <w:pPr>
        <w:spacing w:after="240"/>
      </w:pPr>
    </w:p>
    <w:p w14:paraId="7331E6AA" w14:textId="08E66251" w:rsidR="00912DF9" w:rsidRDefault="00912DF9" w:rsidP="0014439B">
      <w:pPr>
        <w:spacing w:after="240"/>
      </w:pPr>
      <w:r>
        <w:t>This document reflects the Department of Ecology’s current interpretations of key provisions of Engrossed Substitute Senate Bill (ESSB) 6091.</w:t>
      </w:r>
      <w:r w:rsidR="00CD2AC3">
        <w:t xml:space="preserve"> </w:t>
      </w:r>
      <w:r>
        <w:t xml:space="preserve"> It is not a comprehensive analysis of the new law, but rather an explanation of certain provisions. </w:t>
      </w:r>
      <w:r w:rsidR="00CD2AC3">
        <w:t xml:space="preserve"> </w:t>
      </w:r>
      <w:r>
        <w:t xml:space="preserve">We are still reviewing and analyzing the law – answers provided here are subject to future revision. </w:t>
      </w:r>
      <w:r w:rsidR="00CD2AC3">
        <w:t xml:space="preserve"> </w:t>
      </w:r>
      <w:r>
        <w:t xml:space="preserve">We may choose to incorporate these ideas into a formal policy or guidance document; however, we have yet to determine a timeframe for </w:t>
      </w:r>
      <w:r w:rsidR="005F02FD">
        <w:t>that</w:t>
      </w:r>
      <w:r>
        <w:t xml:space="preserve"> to happen.</w:t>
      </w:r>
    </w:p>
    <w:p w14:paraId="7D04B5AC" w14:textId="324919CF" w:rsidR="00D12696" w:rsidRPr="00CD2AC3" w:rsidRDefault="00912DF9" w:rsidP="0014439B">
      <w:pPr>
        <w:spacing w:after="240"/>
      </w:pPr>
      <w:r>
        <w:t xml:space="preserve">If you have additional questions about </w:t>
      </w:r>
      <w:r w:rsidRPr="0083075B">
        <w:t>how we are interpreting ESSB 6091</w:t>
      </w:r>
      <w:r>
        <w:t>, p</w:t>
      </w:r>
      <w:r w:rsidRPr="0083075B">
        <w:t>lease s</w:t>
      </w:r>
      <w:r>
        <w:t>ubmit them by Feb.</w:t>
      </w:r>
      <w:r w:rsidRPr="0083075B">
        <w:t xml:space="preserve"> 15 through the following web link: </w:t>
      </w:r>
      <w:hyperlink r:id="rId11" w:history="1">
        <w:r w:rsidR="00D12696">
          <w:rPr>
            <w:rStyle w:val="Hyperlink"/>
          </w:rPr>
          <w:t>http://ws.ecology.commentinput.com/?id=mkpSi</w:t>
        </w:r>
      </w:hyperlink>
      <w:r w:rsidR="00CD2AC3">
        <w:rPr>
          <w:color w:val="1F497D"/>
        </w:rPr>
        <w:t xml:space="preserve">.  </w:t>
      </w:r>
      <w:r w:rsidR="00CD2AC3" w:rsidRPr="00CD2AC3">
        <w:t>Once the comment period has ended, we will compile questions and provide a response.</w:t>
      </w:r>
    </w:p>
    <w:p w14:paraId="01435564" w14:textId="38BA734F" w:rsidR="00912DF9" w:rsidRDefault="00912DF9" w:rsidP="0014439B">
      <w:pPr>
        <w:spacing w:after="240"/>
      </w:pPr>
    </w:p>
    <w:p w14:paraId="0560C3FA" w14:textId="0AEFC0CA" w:rsidR="008A5888" w:rsidRPr="00BA01B5" w:rsidRDefault="00912DF9" w:rsidP="0014439B">
      <w:pPr>
        <w:pStyle w:val="Header1style"/>
        <w:spacing w:before="0" w:after="240"/>
      </w:pPr>
      <w:r>
        <w:t>Requirements affecting local land use decisions</w:t>
      </w:r>
    </w:p>
    <w:p w14:paraId="410826DF" w14:textId="22A11568" w:rsidR="00912DF9" w:rsidRPr="00E86323" w:rsidRDefault="00912DF9" w:rsidP="0014439B">
      <w:pPr>
        <w:spacing w:after="240"/>
        <w:rPr>
          <w:bCs/>
        </w:rPr>
      </w:pPr>
      <w:r>
        <w:rPr>
          <w:b/>
          <w:bCs/>
        </w:rPr>
        <w:t>The n</w:t>
      </w:r>
      <w:r w:rsidRPr="00E86323">
        <w:rPr>
          <w:b/>
          <w:bCs/>
        </w:rPr>
        <w:t xml:space="preserve">ew law impacts only new domestic uses. </w:t>
      </w:r>
      <w:r>
        <w:rPr>
          <w:bCs/>
        </w:rPr>
        <w:t xml:space="preserve"> </w:t>
      </w:r>
      <w:r w:rsidRPr="00E86323">
        <w:rPr>
          <w:bCs/>
        </w:rPr>
        <w:t xml:space="preserve">Existing homeowners </w:t>
      </w:r>
      <w:r>
        <w:rPr>
          <w:bCs/>
        </w:rPr>
        <w:t xml:space="preserve">and water users </w:t>
      </w:r>
      <w:r w:rsidRPr="00E86323">
        <w:rPr>
          <w:bCs/>
        </w:rPr>
        <w:t>are not affected by the new law</w:t>
      </w:r>
      <w:r>
        <w:rPr>
          <w:bCs/>
        </w:rPr>
        <w:t xml:space="preserve">, which </w:t>
      </w:r>
      <w:r w:rsidRPr="00E86323">
        <w:rPr>
          <w:bCs/>
        </w:rPr>
        <w:t>went into effect on</w:t>
      </w:r>
      <w:r>
        <w:rPr>
          <w:bCs/>
        </w:rPr>
        <w:t xml:space="preserve"> Jan</w:t>
      </w:r>
      <w:r w:rsidR="00266249">
        <w:rPr>
          <w:bCs/>
        </w:rPr>
        <w:t>uary</w:t>
      </w:r>
      <w:r w:rsidRPr="00E86323">
        <w:rPr>
          <w:bCs/>
        </w:rPr>
        <w:t xml:space="preserve"> 19, 2018.  </w:t>
      </w:r>
    </w:p>
    <w:p w14:paraId="70C80F7A" w14:textId="1FCC2D9D" w:rsidR="00912DF9" w:rsidRDefault="00912DF9" w:rsidP="0014439B">
      <w:pPr>
        <w:spacing w:after="240"/>
      </w:pPr>
      <w:r>
        <w:rPr>
          <w:b/>
          <w:bCs/>
        </w:rPr>
        <w:t xml:space="preserve">Existing wells are exempt from the provisions of the new law.  </w:t>
      </w:r>
      <w:r>
        <w:rPr>
          <w:rFonts w:cs="Arial"/>
          <w:vanish/>
          <w:lang w:val="en"/>
        </w:rPr>
        <w:t>The Legislature wrote the bill to provide that wells constructed after this date are subject to the new law, and wells constructed prior to this date constitute evidence of adequate water supply.</w:t>
      </w:r>
      <w:r w:rsidRPr="00381862">
        <w:rPr>
          <w:rFonts w:cs="Arial"/>
          <w:vanish/>
          <w:lang w:val="en"/>
        </w:rPr>
        <w:t xml:space="preserve"> </w:t>
      </w:r>
      <w:r>
        <w:rPr>
          <w:rFonts w:cs="Arial"/>
          <w:vanish/>
          <w:lang w:val="en"/>
        </w:rPr>
        <w:t>The Legislature wrote the bill to provide that wells constructed after this date are subject to the new law, and wells constructed prior to this date constitute evidence of adequate water supply</w:t>
      </w:r>
      <w:r>
        <w:rPr>
          <w:rFonts w:cs="Arial"/>
          <w:lang w:val="en"/>
        </w:rPr>
        <w:t>The Legislature wrote the new law so that wells constructed in the Hirst-affected basins</w:t>
      </w:r>
      <w:r>
        <w:rPr>
          <w:rStyle w:val="FootnoteReference"/>
          <w:rFonts w:cs="Arial"/>
          <w:lang w:val="en"/>
        </w:rPr>
        <w:footnoteReference w:id="1"/>
      </w:r>
      <w:r>
        <w:rPr>
          <w:rFonts w:cs="Arial"/>
          <w:lang w:val="en"/>
        </w:rPr>
        <w:t xml:space="preserve"> before the effective date of the act would serve as proof of an adequate </w:t>
      </w:r>
      <w:r w:rsidRPr="00381862">
        <w:rPr>
          <w:rFonts w:cs="Arial"/>
          <w:lang w:val="en"/>
        </w:rPr>
        <w:t>water</w:t>
      </w:r>
      <w:r w:rsidRPr="00381862">
        <w:rPr>
          <w:bCs/>
        </w:rPr>
        <w:t xml:space="preserve"> supply for a building permit.</w:t>
      </w:r>
      <w:r>
        <w:rPr>
          <w:b/>
          <w:bCs/>
        </w:rPr>
        <w:t xml:space="preserve">  </w:t>
      </w:r>
      <w:r w:rsidRPr="00921171">
        <w:rPr>
          <w:bCs/>
        </w:rPr>
        <w:t>We</w:t>
      </w:r>
      <w:r w:rsidRPr="00732698">
        <w:rPr>
          <w:bCs/>
        </w:rPr>
        <w:t xml:space="preserve">lls constructed </w:t>
      </w:r>
      <w:r>
        <w:rPr>
          <w:bCs/>
        </w:rPr>
        <w:t xml:space="preserve">in these basins </w:t>
      </w:r>
      <w:r w:rsidRPr="00732698">
        <w:rPr>
          <w:bCs/>
        </w:rPr>
        <w:t>in</w:t>
      </w:r>
      <w:r w:rsidRPr="00732698">
        <w:t xml:space="preserve"> compliance with chapter</w:t>
      </w:r>
      <w:r>
        <w:t xml:space="preserve"> 18.104 RCW are not subject to the </w:t>
      </w:r>
      <w:r w:rsidRPr="007D1482">
        <w:rPr>
          <w:u w:val="single"/>
        </w:rPr>
        <w:t>new</w:t>
      </w:r>
      <w:r>
        <w:t xml:space="preserve"> restrictions, limitations, and fees. </w:t>
      </w:r>
      <w:r w:rsidR="00CD2AC3">
        <w:t xml:space="preserve"> </w:t>
      </w:r>
      <w:r>
        <w:t>This is regardless of whether the well was put to beneficial use</w:t>
      </w:r>
      <w:r w:rsidR="00266249">
        <w:t xml:space="preserve"> prior to January 19, 2018</w:t>
      </w:r>
      <w:r>
        <w:t xml:space="preserve">.  </w:t>
      </w:r>
    </w:p>
    <w:p w14:paraId="5414CBD2" w14:textId="36568360" w:rsidR="00CD2AC3" w:rsidRDefault="00CD2AC3" w:rsidP="00CD2AC3">
      <w:pPr>
        <w:rPr>
          <w:rFonts w:ascii="Times New Roman" w:hAnsi="Times New Roman"/>
          <w:sz w:val="24"/>
          <w:szCs w:val="24"/>
        </w:rPr>
      </w:pPr>
      <w:r>
        <w:rPr>
          <w:b/>
          <w:bCs/>
        </w:rPr>
        <w:t>Subdiv</w:t>
      </w:r>
      <w:r w:rsidR="00B91E8D">
        <w:rPr>
          <w:b/>
          <w:bCs/>
        </w:rPr>
        <w:t>i</w:t>
      </w:r>
      <w:r>
        <w:rPr>
          <w:b/>
          <w:bCs/>
        </w:rPr>
        <w:t>sions.</w:t>
      </w:r>
      <w:r>
        <w:t xml:space="preserve"> </w:t>
      </w:r>
      <w:r w:rsidR="005F02FD">
        <w:t xml:space="preserve"> </w:t>
      </w:r>
      <w:r>
        <w:t xml:space="preserve">The new law does not place additional requirements per se at the subdivision stage of permitting.  </w:t>
      </w:r>
      <w:r w:rsidR="00266249">
        <w:t>Counties must continue to follow 90.44.050 for water supply for subdivisions, and relevant case law which provides limitations on the use of permit exempt wells.  Because the new law imposes limitations on building permits, c</w:t>
      </w:r>
      <w:r>
        <w:t xml:space="preserve">ounties may choose to </w:t>
      </w:r>
      <w:r w:rsidR="00266249">
        <w:t>update regulations to specify these</w:t>
      </w:r>
      <w:r>
        <w:t xml:space="preserve"> requirements on plats. </w:t>
      </w:r>
    </w:p>
    <w:p w14:paraId="4606ACB0" w14:textId="77777777" w:rsidR="00912DF9" w:rsidRDefault="00912DF9" w:rsidP="0014439B">
      <w:pPr>
        <w:spacing w:after="240"/>
      </w:pPr>
      <w:r>
        <w:rPr>
          <w:b/>
          <w:bCs/>
        </w:rPr>
        <w:t>Which n</w:t>
      </w:r>
      <w:r w:rsidRPr="009277DC">
        <w:rPr>
          <w:b/>
          <w:bCs/>
        </w:rPr>
        <w:t xml:space="preserve">ew uses are affected by ESSB 6091?  </w:t>
      </w:r>
      <w:r>
        <w:t>The new law provides specific regulation for new permit-exempt domestic uses.  Per our interpretation of the term “domestic use” (below), we interpret the new law to limit water use under the exemptions in RCW 90.44.050 for domestic water use and watering of a non-commercial lawn or garden.  The other uses exempt from permitting (industrial use including irrigation and stockwatering) are not restricted beyond existing legal limitations under RCW 90.44.050, and, in some cases, restrictions identified in instream flow rules adopted under chapters 90.22 or 90.54 RCW.</w:t>
      </w:r>
    </w:p>
    <w:p w14:paraId="091BAF09" w14:textId="580B3706" w:rsidR="00912DF9" w:rsidRDefault="00912DF9" w:rsidP="0014439B">
      <w:pPr>
        <w:spacing w:after="240"/>
      </w:pPr>
      <w:r>
        <w:rPr>
          <w:b/>
          <w:bCs/>
        </w:rPr>
        <w:lastRenderedPageBreak/>
        <w:t xml:space="preserve">What is domestic use? </w:t>
      </w:r>
      <w:r w:rsidR="00CD2AC3">
        <w:rPr>
          <w:b/>
          <w:bCs/>
        </w:rPr>
        <w:t xml:space="preserve"> </w:t>
      </w:r>
      <w:r>
        <w:t xml:space="preserve">The Legislature did not define “domestic use” in the new law.  The Legislature chose to specify that during a drought, only 350 gallons per day (GPD) may be used for “indoor domestic use” in selected basins.  This distinction leads us to interpret that the larger quantities authorized in non-drought years (950 or 3,000 GPD, depending on which basin) include indoor and outdoor uses for a household (including watering of a lawn and noncommercial garden).  </w:t>
      </w:r>
    </w:p>
    <w:p w14:paraId="0616B09C" w14:textId="19C20EB4" w:rsidR="00912DF9" w:rsidRDefault="00912DF9" w:rsidP="0014439B">
      <w:pPr>
        <w:spacing w:after="240"/>
      </w:pPr>
      <w:r>
        <w:rPr>
          <w:b/>
          <w:bCs/>
        </w:rPr>
        <w:t xml:space="preserve">How much water is legally </w:t>
      </w:r>
      <w:r w:rsidR="005F02FD">
        <w:rPr>
          <w:b/>
          <w:bCs/>
        </w:rPr>
        <w:t>allowed</w:t>
      </w:r>
      <w:r>
        <w:rPr>
          <w:b/>
          <w:bCs/>
        </w:rPr>
        <w:t xml:space="preserve"> for domestic use in Hirst-affected basins? </w:t>
      </w:r>
      <w:r w:rsidR="005F02FD">
        <w:rPr>
          <w:b/>
          <w:bCs/>
        </w:rPr>
        <w:t xml:space="preserve"> </w:t>
      </w:r>
      <w:r>
        <w:t>Under the new law, applicants relying on a permit-exempt well for a new home may use a maximum annual average of 950 GPD or 3,000 GPD for their indoor and outdoor use, depending on which water resource inventory area (WRIA) they are located in (see</w:t>
      </w:r>
      <w:r w:rsidR="005F02FD">
        <w:t xml:space="preserve"> our</w:t>
      </w:r>
      <w:r>
        <w:t xml:space="preserve"> </w:t>
      </w:r>
      <w:hyperlink r:id="rId12" w:history="1">
        <w:r w:rsidRPr="005F02FD">
          <w:rPr>
            <w:rStyle w:val="Hyperlink"/>
          </w:rPr>
          <w:t>map</w:t>
        </w:r>
      </w:hyperlink>
      <w:r>
        <w:t xml:space="preserve"> for details).  All new permit-exempt uses, including group domestic, are still restricted by the 5,000 GPD limit under RCW 90.44.050.  For example, a new homeowner in an affected basin could withdraw 4,000 gallons on a summer day, so long as they did not do so often enough that their annual average exceeded the 950 or 3,000 gallon limit.</w:t>
      </w:r>
    </w:p>
    <w:p w14:paraId="2F81F6F6" w14:textId="17693B65" w:rsidR="00912DF9" w:rsidRDefault="00912DF9" w:rsidP="0014439B">
      <w:pPr>
        <w:spacing w:after="240"/>
        <w:rPr>
          <w:bCs/>
        </w:rPr>
      </w:pPr>
      <w:r>
        <w:rPr>
          <w:b/>
          <w:bCs/>
        </w:rPr>
        <w:t xml:space="preserve">New fees.  </w:t>
      </w:r>
      <w:r>
        <w:rPr>
          <w:bCs/>
        </w:rPr>
        <w:t>The law imposes</w:t>
      </w:r>
      <w:r w:rsidRPr="00E86323">
        <w:rPr>
          <w:bCs/>
        </w:rPr>
        <w:t xml:space="preserve"> a $500 fee</w:t>
      </w:r>
      <w:r>
        <w:rPr>
          <w:bCs/>
        </w:rPr>
        <w:t>,</w:t>
      </w:r>
      <w:r w:rsidRPr="00E86323">
        <w:rPr>
          <w:bCs/>
        </w:rPr>
        <w:t xml:space="preserve"> which is paid to the local government at the time </w:t>
      </w:r>
      <w:r>
        <w:rPr>
          <w:bCs/>
        </w:rPr>
        <w:t xml:space="preserve">of applying for a </w:t>
      </w:r>
      <w:r w:rsidRPr="00E86323">
        <w:rPr>
          <w:bCs/>
        </w:rPr>
        <w:t>building permit.</w:t>
      </w:r>
      <w:r>
        <w:rPr>
          <w:b/>
          <w:bCs/>
        </w:rPr>
        <w:t xml:space="preserve">  </w:t>
      </w:r>
      <w:r w:rsidRPr="00E86323">
        <w:rPr>
          <w:bCs/>
        </w:rPr>
        <w:t>The new fee is not required to be paid at the time a well is drilled.</w:t>
      </w:r>
      <w:r>
        <w:rPr>
          <w:bCs/>
        </w:rPr>
        <w:t xml:space="preserve"> </w:t>
      </w:r>
      <w:r w:rsidR="005F02FD">
        <w:rPr>
          <w:bCs/>
        </w:rPr>
        <w:t xml:space="preserve"> </w:t>
      </w:r>
      <w:r>
        <w:rPr>
          <w:bCs/>
        </w:rPr>
        <w:t xml:space="preserve">The new $500 fee is separate and in addition to existing well drilling fees required under </w:t>
      </w:r>
      <w:r w:rsidR="00B91E8D">
        <w:rPr>
          <w:bCs/>
        </w:rPr>
        <w:t>chapter</w:t>
      </w:r>
      <w:r>
        <w:rPr>
          <w:bCs/>
        </w:rPr>
        <w:t xml:space="preserve"> 18.104</w:t>
      </w:r>
      <w:r w:rsidR="00B91E8D">
        <w:rPr>
          <w:bCs/>
        </w:rPr>
        <w:t xml:space="preserve"> RCW</w:t>
      </w:r>
      <w:r>
        <w:rPr>
          <w:bCs/>
        </w:rPr>
        <w:t>.</w:t>
      </w:r>
    </w:p>
    <w:p w14:paraId="27EC0E3D" w14:textId="77777777" w:rsidR="00912DF9" w:rsidRPr="007D1482" w:rsidRDefault="00912DF9" w:rsidP="0014439B">
      <w:pPr>
        <w:spacing w:after="240"/>
        <w:rPr>
          <w:b/>
          <w:bCs/>
        </w:rPr>
      </w:pPr>
      <w:r>
        <w:rPr>
          <w:b/>
          <w:bCs/>
        </w:rPr>
        <w:t xml:space="preserve">Does the new law expand areas covered under a rule?  </w:t>
      </w:r>
      <w:r w:rsidRPr="008333DC">
        <w:rPr>
          <w:bCs/>
        </w:rPr>
        <w:t>No.</w:t>
      </w:r>
      <w:r>
        <w:rPr>
          <w:b/>
          <w:bCs/>
        </w:rPr>
        <w:t xml:space="preserve">  </w:t>
      </w:r>
      <w:r>
        <w:rPr>
          <w:bCs/>
        </w:rPr>
        <w:t xml:space="preserve">The new law identifies which WRIAs have new regulations. </w:t>
      </w:r>
      <w:r w:rsidRPr="007D1482">
        <w:rPr>
          <w:b/>
          <w:bCs/>
        </w:rPr>
        <w:t xml:space="preserve"> </w:t>
      </w:r>
      <w:r>
        <w:t xml:space="preserve">In some watersheds, however, instream flow rules only cover portions of the WRIA.  When that is the case, the new regulations apply to the geographical areas directly covered by a rule.  The remainder of the WRIA is only subject to limits under Section 101(1)(g) and RCW 90.44.050.   </w:t>
      </w:r>
    </w:p>
    <w:p w14:paraId="25EB0FF4" w14:textId="77777777" w:rsidR="00912DF9" w:rsidRPr="00C15308" w:rsidRDefault="00912DF9" w:rsidP="0014439B">
      <w:pPr>
        <w:spacing w:after="240"/>
        <w:rPr>
          <w:color w:val="31849B" w:themeColor="accent5" w:themeShade="BF"/>
        </w:rPr>
      </w:pPr>
      <w:r w:rsidRPr="00E86323">
        <w:rPr>
          <w:b/>
        </w:rPr>
        <w:t>County obligations for recording</w:t>
      </w:r>
      <w:r>
        <w:rPr>
          <w:b/>
        </w:rPr>
        <w:t>.</w:t>
      </w:r>
      <w:r w:rsidRPr="00E86323">
        <w:rPr>
          <w:b/>
        </w:rPr>
        <w:t xml:space="preserve"> </w:t>
      </w:r>
      <w:r>
        <w:rPr>
          <w:b/>
        </w:rPr>
        <w:t xml:space="preserve"> </w:t>
      </w:r>
      <w:r w:rsidRPr="008F32A2">
        <w:t>Under Section</w:t>
      </w:r>
      <w:r>
        <w:t>s</w:t>
      </w:r>
      <w:r w:rsidRPr="008F32A2">
        <w:t xml:space="preserve"> 202(5)(a)</w:t>
      </w:r>
      <w:r>
        <w:t xml:space="preserve"> and 203(4)(a)(i)</w:t>
      </w:r>
      <w:r w:rsidRPr="008F32A2">
        <w:t xml:space="preserve">, counties must record relevant water use restrictions, which would be either limits to 950 GPD or 3,000 GPD, depending on the specific watershed.  In addition, </w:t>
      </w:r>
      <w:r>
        <w:t xml:space="preserve">under Section 203(4)(b), </w:t>
      </w:r>
      <w:r w:rsidRPr="008F32A2">
        <w:t xml:space="preserve">counties would need to record the potential for curtailment to 350 GPD during a declared drought, where applicable. </w:t>
      </w:r>
    </w:p>
    <w:p w14:paraId="45CFDCA8" w14:textId="77777777" w:rsidR="00912DF9" w:rsidRDefault="00912DF9" w:rsidP="0014439B">
      <w:pPr>
        <w:spacing w:after="240"/>
        <w:rPr>
          <w:rFonts w:eastAsia="Calibri" w:cs="Arial"/>
          <w:bCs/>
          <w:iCs/>
        </w:rPr>
      </w:pPr>
      <w:r>
        <w:rPr>
          <w:rFonts w:eastAsia="Calibri" w:cs="Arial"/>
          <w:b/>
          <w:bCs/>
          <w:iCs/>
        </w:rPr>
        <w:t>Low-i</w:t>
      </w:r>
      <w:r w:rsidRPr="001C589B">
        <w:rPr>
          <w:rFonts w:eastAsia="Calibri" w:cs="Arial"/>
          <w:b/>
          <w:bCs/>
          <w:iCs/>
        </w:rPr>
        <w:t xml:space="preserve">mpact </w:t>
      </w:r>
      <w:r>
        <w:rPr>
          <w:rFonts w:eastAsia="Calibri" w:cs="Arial"/>
          <w:b/>
          <w:bCs/>
          <w:iCs/>
        </w:rPr>
        <w:t>d</w:t>
      </w:r>
      <w:r w:rsidRPr="001C589B">
        <w:rPr>
          <w:rFonts w:eastAsia="Calibri" w:cs="Arial"/>
          <w:b/>
          <w:bCs/>
          <w:iCs/>
        </w:rPr>
        <w:t>evelopment.</w:t>
      </w:r>
      <w:r>
        <w:rPr>
          <w:rFonts w:eastAsia="Calibri" w:cs="Arial"/>
          <w:b/>
          <w:bCs/>
          <w:iCs/>
        </w:rPr>
        <w:t xml:space="preserve">  </w:t>
      </w:r>
      <w:r>
        <w:rPr>
          <w:rFonts w:eastAsia="Calibri" w:cs="Arial"/>
          <w:bCs/>
          <w:iCs/>
        </w:rPr>
        <w:t xml:space="preserve">In basins identified in Section 203, building permit recipients are required to employ low-impact development techniques.  For counties or cities that do not have local low-impact development standards, </w:t>
      </w:r>
      <w:hyperlink r:id="rId13" w:history="1">
        <w:r w:rsidRPr="00405143">
          <w:rPr>
            <w:rStyle w:val="Hyperlink"/>
            <w:rFonts w:eastAsia="Calibri" w:cs="Arial"/>
            <w:bCs/>
            <w:iCs/>
          </w:rPr>
          <w:t>guidance is available on our website</w:t>
        </w:r>
      </w:hyperlink>
      <w:r>
        <w:rPr>
          <w:rFonts w:eastAsia="Calibri" w:cs="Arial"/>
          <w:bCs/>
          <w:iCs/>
        </w:rPr>
        <w:t>.</w:t>
      </w:r>
    </w:p>
    <w:p w14:paraId="4AA6F169" w14:textId="77777777" w:rsidR="00912DF9" w:rsidRDefault="00912DF9" w:rsidP="0014439B">
      <w:pPr>
        <w:pStyle w:val="Normal1style"/>
        <w:spacing w:after="240"/>
        <w:contextualSpacing w:val="0"/>
      </w:pPr>
    </w:p>
    <w:p w14:paraId="0C87EF5C" w14:textId="5B68307F" w:rsidR="008A5888" w:rsidRPr="00B049D7" w:rsidRDefault="00912DF9" w:rsidP="0014439B">
      <w:pPr>
        <w:pStyle w:val="Header1style"/>
        <w:spacing w:before="0" w:after="240"/>
      </w:pPr>
      <w:r>
        <w:t>Impacts on Ecology water right permitting</w:t>
      </w:r>
    </w:p>
    <w:p w14:paraId="35A0A4FF" w14:textId="77777777" w:rsidR="00912DF9" w:rsidRPr="008F32A2" w:rsidRDefault="00912DF9" w:rsidP="0014439B">
      <w:pPr>
        <w:pStyle w:val="Bulletstyle"/>
        <w:numPr>
          <w:ilvl w:val="0"/>
          <w:numId w:val="0"/>
        </w:numPr>
        <w:spacing w:after="240"/>
        <w:contextualSpacing w:val="0"/>
      </w:pPr>
      <w:r>
        <w:rPr>
          <w:rFonts w:eastAsia="Calibri" w:cs="Arial"/>
          <w:b/>
          <w:bCs/>
          <w:iCs/>
        </w:rPr>
        <w:t>How does</w:t>
      </w:r>
      <w:r w:rsidRPr="008F32A2">
        <w:rPr>
          <w:rFonts w:eastAsia="Calibri" w:cs="Arial"/>
          <w:b/>
          <w:bCs/>
          <w:iCs/>
        </w:rPr>
        <w:t xml:space="preserve"> ESSB 6091 </w:t>
      </w:r>
      <w:r>
        <w:rPr>
          <w:rFonts w:eastAsia="Calibri" w:cs="Arial"/>
          <w:b/>
          <w:bCs/>
          <w:iCs/>
        </w:rPr>
        <w:t>affect</w:t>
      </w:r>
      <w:r w:rsidRPr="008F32A2">
        <w:rPr>
          <w:rFonts w:eastAsia="Calibri" w:cs="Arial"/>
          <w:b/>
          <w:bCs/>
          <w:iCs/>
        </w:rPr>
        <w:t xml:space="preserve"> Ecology’s water right p</w:t>
      </w:r>
      <w:r w:rsidRPr="008F32A2">
        <w:rPr>
          <w:b/>
        </w:rPr>
        <w:t>ermitting</w:t>
      </w:r>
      <w:r>
        <w:rPr>
          <w:b/>
        </w:rPr>
        <w:t>?</w:t>
      </w:r>
      <w:r w:rsidRPr="008F32A2">
        <w:rPr>
          <w:b/>
        </w:rPr>
        <w:t xml:space="preserve"> </w:t>
      </w:r>
      <w:r>
        <w:rPr>
          <w:b/>
        </w:rPr>
        <w:t xml:space="preserve"> </w:t>
      </w:r>
      <w:r w:rsidRPr="008F32A2">
        <w:t xml:space="preserve">Our approach to water right permit decisions will not change. </w:t>
      </w:r>
      <w:r>
        <w:t xml:space="preserve"> </w:t>
      </w:r>
      <w:r w:rsidRPr="008F32A2">
        <w:t xml:space="preserve">The bill did not modify sections of statute affecting </w:t>
      </w:r>
      <w:r>
        <w:t>our</w:t>
      </w:r>
      <w:r w:rsidRPr="008F32A2">
        <w:t xml:space="preserve"> permitting decisions, authority, and approach </w:t>
      </w:r>
      <w:r w:rsidRPr="008F32A2">
        <w:rPr>
          <w:b/>
          <w:u w:val="single"/>
        </w:rPr>
        <w:t>EXCEPT</w:t>
      </w:r>
      <w:r w:rsidRPr="008F32A2">
        <w:t xml:space="preserve"> as it relates to processing permits under the “Foster Pilot” in Section</w:t>
      </w:r>
      <w:r>
        <w:t>s</w:t>
      </w:r>
      <w:r w:rsidRPr="008F32A2">
        <w:t xml:space="preserve"> 301 and 302.  </w:t>
      </w:r>
      <w:r>
        <w:t>We are</w:t>
      </w:r>
      <w:r w:rsidRPr="008F32A2">
        <w:t xml:space="preserve"> evaluating how best to provide procedural guidance for the five </w:t>
      </w:r>
      <w:r>
        <w:t>identified projects</w:t>
      </w:r>
      <w:r w:rsidRPr="008F32A2">
        <w:t>.</w:t>
      </w:r>
    </w:p>
    <w:p w14:paraId="66A02E00" w14:textId="77777777" w:rsidR="008A5888" w:rsidRDefault="008A5888" w:rsidP="0014439B">
      <w:pPr>
        <w:pStyle w:val="Bulletstyle"/>
        <w:numPr>
          <w:ilvl w:val="0"/>
          <w:numId w:val="0"/>
        </w:numPr>
        <w:spacing w:after="240"/>
        <w:contextualSpacing w:val="0"/>
      </w:pPr>
    </w:p>
    <w:p w14:paraId="2A11966F" w14:textId="589539C7" w:rsidR="008A5888" w:rsidRDefault="00912DF9" w:rsidP="0014439B">
      <w:pPr>
        <w:pStyle w:val="Header1style"/>
        <w:spacing w:before="0" w:after="240"/>
      </w:pPr>
      <w:r>
        <w:t>Metering</w:t>
      </w:r>
    </w:p>
    <w:p w14:paraId="27ECAD77" w14:textId="6C3C5329" w:rsidR="00912DF9" w:rsidRDefault="00912DF9" w:rsidP="00FF73F1">
      <w:pPr>
        <w:spacing w:after="240"/>
      </w:pPr>
      <w:r w:rsidRPr="008F32A2">
        <w:rPr>
          <w:b/>
        </w:rPr>
        <w:t xml:space="preserve">Metering </w:t>
      </w:r>
      <w:r>
        <w:rPr>
          <w:b/>
        </w:rPr>
        <w:t xml:space="preserve">pilot program.  </w:t>
      </w:r>
      <w:r w:rsidRPr="000939BC">
        <w:t xml:space="preserve">The new law directs </w:t>
      </w:r>
      <w:r>
        <w:t>us</w:t>
      </w:r>
      <w:r w:rsidRPr="000939BC">
        <w:t xml:space="preserve"> to initiate a metering pilot program in the Dungeness Basin and in Kittitas County (Section 204).  </w:t>
      </w:r>
      <w:r>
        <w:t>We</w:t>
      </w:r>
      <w:r w:rsidRPr="000939BC">
        <w:t xml:space="preserve"> will work with </w:t>
      </w:r>
      <w:r>
        <w:t xml:space="preserve">the </w:t>
      </w:r>
      <w:r w:rsidRPr="000939BC">
        <w:t xml:space="preserve">entities </w:t>
      </w:r>
      <w:r>
        <w:t xml:space="preserve">that are </w:t>
      </w:r>
      <w:r w:rsidRPr="000939BC">
        <w:t xml:space="preserve">implementing existing </w:t>
      </w:r>
      <w:r w:rsidRPr="000939BC">
        <w:lastRenderedPageBreak/>
        <w:t xml:space="preserve">programs </w:t>
      </w:r>
      <w:r>
        <w:t>(</w:t>
      </w:r>
      <w:r w:rsidRPr="000939BC">
        <w:t xml:space="preserve">the Washington Water Trust in the Dungeness </w:t>
      </w:r>
      <w:r w:rsidR="00B91E8D">
        <w:t xml:space="preserve">Basin </w:t>
      </w:r>
      <w:r w:rsidRPr="000939BC">
        <w:t>and with</w:t>
      </w:r>
      <w:r w:rsidR="00B91E8D">
        <w:t xml:space="preserve"> Kittitas County</w:t>
      </w:r>
      <w:r>
        <w:t xml:space="preserve">) </w:t>
      </w:r>
      <w:r w:rsidRPr="000939BC">
        <w:t xml:space="preserve">to implement this section. </w:t>
      </w:r>
      <w:r>
        <w:t xml:space="preserve"> </w:t>
      </w:r>
      <w:r w:rsidRPr="000939BC">
        <w:t xml:space="preserve">We are developing a </w:t>
      </w:r>
      <w:r>
        <w:t>process</w:t>
      </w:r>
      <w:r w:rsidRPr="000939BC">
        <w:t xml:space="preserve"> t</w:t>
      </w:r>
      <w:r>
        <w:t>o purchase and provide meters.  We</w:t>
      </w:r>
      <w:r w:rsidRPr="000939BC">
        <w:t xml:space="preserve"> anticipate paying for new meters once we have </w:t>
      </w:r>
      <w:r>
        <w:t>this process</w:t>
      </w:r>
      <w:r w:rsidRPr="000939BC">
        <w:t xml:space="preserve"> in place; we do not intend to reimburse homeowners who bought meters </w:t>
      </w:r>
      <w:r>
        <w:t>before we launch the new process</w:t>
      </w:r>
      <w:r w:rsidRPr="000939BC">
        <w:t>.</w:t>
      </w:r>
      <w:r>
        <w:t xml:space="preserve">  </w:t>
      </w:r>
      <w:r w:rsidR="00FF73F1">
        <w:t>Landowners</w:t>
      </w:r>
      <w:r w:rsidRPr="000939BC">
        <w:t xml:space="preserve"> wanting to build </w:t>
      </w:r>
      <w:r>
        <w:t>immediately using</w:t>
      </w:r>
      <w:r w:rsidRPr="000939BC">
        <w:t xml:space="preserve"> a permit-exempt well in these basins may</w:t>
      </w:r>
      <w:r w:rsidR="00FF73F1">
        <w:t xml:space="preserve"> p</w:t>
      </w:r>
      <w:r w:rsidRPr="000939BC">
        <w:t>urchase their own mete</w:t>
      </w:r>
      <w:r>
        <w:t>r through the existing program, or</w:t>
      </w:r>
      <w:r w:rsidR="00FF73F1">
        <w:t xml:space="preserve"> w</w:t>
      </w:r>
      <w:r w:rsidRPr="000939BC">
        <w:t xml:space="preserve">ait until we have our </w:t>
      </w:r>
      <w:r>
        <w:t>new process</w:t>
      </w:r>
      <w:r w:rsidR="00FF73F1">
        <w:t xml:space="preserve"> in place to obtain a meter free of charge</w:t>
      </w:r>
      <w:r>
        <w:t>.</w:t>
      </w:r>
    </w:p>
    <w:p w14:paraId="3A909070" w14:textId="77777777" w:rsidR="00CD2AC3" w:rsidRDefault="00CD2AC3" w:rsidP="0014439B">
      <w:pPr>
        <w:pStyle w:val="Header1style"/>
        <w:spacing w:before="0" w:after="240"/>
      </w:pPr>
    </w:p>
    <w:p w14:paraId="61CF6CB4" w14:textId="46D0FF29" w:rsidR="008A5888" w:rsidRPr="00B049D7" w:rsidRDefault="00912DF9" w:rsidP="0014439B">
      <w:pPr>
        <w:pStyle w:val="Header1style"/>
        <w:spacing w:before="0" w:after="240"/>
      </w:pPr>
      <w:r>
        <w:t>Basin planning</w:t>
      </w:r>
    </w:p>
    <w:p w14:paraId="231F827E" w14:textId="77777777" w:rsidR="00912DF9" w:rsidRPr="007D1482" w:rsidRDefault="00912DF9" w:rsidP="0014439B">
      <w:pPr>
        <w:spacing w:after="240"/>
        <w:rPr>
          <w:b/>
          <w:bCs/>
        </w:rPr>
      </w:pPr>
      <w:r>
        <w:rPr>
          <w:b/>
          <w:bCs/>
        </w:rPr>
        <w:t xml:space="preserve">Streamflow enhancement projects.  </w:t>
      </w:r>
      <w:r>
        <w:rPr>
          <w:bCs/>
        </w:rPr>
        <w:t>The L</w:t>
      </w:r>
      <w:r w:rsidRPr="00B02462">
        <w:rPr>
          <w:bCs/>
        </w:rPr>
        <w:t>egislature authorized $300 million for 15 years to be used for restoring and enhancing streamflows statewide.</w:t>
      </w:r>
      <w:r>
        <w:rPr>
          <w:b/>
          <w:bCs/>
        </w:rPr>
        <w:t xml:space="preserve">  </w:t>
      </w:r>
      <w:r>
        <w:t>Although funding is to be prioritized within the basins in which planning is being conducted, the language does not limit projects to those basins.  We have not yet developed criteria for approving funding.</w:t>
      </w:r>
    </w:p>
    <w:p w14:paraId="62A823D5" w14:textId="0178B547" w:rsidR="008A5888" w:rsidRPr="00912DF9" w:rsidRDefault="00912DF9" w:rsidP="0014439B">
      <w:pPr>
        <w:pStyle w:val="Body1"/>
        <w:spacing w:after="240"/>
        <w:rPr>
          <w:rStyle w:val="Header2"/>
          <w:rFonts w:asciiTheme="minorHAnsi" w:hAnsiTheme="minorHAnsi"/>
          <w:b/>
          <w:sz w:val="22"/>
        </w:rPr>
      </w:pPr>
      <w:r w:rsidRPr="00912DF9">
        <w:rPr>
          <w:rFonts w:asciiTheme="minorHAnsi" w:hAnsiTheme="minorHAnsi"/>
          <w:b/>
          <w:bCs/>
        </w:rPr>
        <w:t>Watershed planning units</w:t>
      </w:r>
      <w:r w:rsidRPr="00912DF9">
        <w:rPr>
          <w:rFonts w:asciiTheme="minorHAnsi" w:hAnsiTheme="minorHAnsi"/>
        </w:rPr>
        <w:t>.  Section 202 provides some procedural guidance for how we and initiating governments are to update existing Watershed Plans in selected WRIAs.  In these basins, plans were developed under the Watershed Planning Act (</w:t>
      </w:r>
      <w:r w:rsidR="005F02FD">
        <w:rPr>
          <w:rFonts w:asciiTheme="minorHAnsi" w:hAnsiTheme="minorHAnsi"/>
        </w:rPr>
        <w:t>RCW</w:t>
      </w:r>
      <w:r w:rsidRPr="00912DF9">
        <w:rPr>
          <w:rFonts w:asciiTheme="minorHAnsi" w:hAnsiTheme="minorHAnsi"/>
        </w:rPr>
        <w:t xml:space="preserve"> 90.82).  Where the law does not provide specific direction as to the process for plan development and approval, we and local governments should look to the Watershed Planning Act for direction.</w:t>
      </w:r>
      <w:r w:rsidR="00FF73F1">
        <w:rPr>
          <w:rFonts w:asciiTheme="minorHAnsi" w:hAnsiTheme="minorHAnsi"/>
        </w:rPr>
        <w:t xml:space="preserve">  We are evaluating Section 202 in more detail and will provide additional guidance in the near future.</w:t>
      </w:r>
    </w:p>
    <w:p w14:paraId="283B119C" w14:textId="22814B39" w:rsidR="00912DF9" w:rsidRDefault="00912DF9" w:rsidP="0014439B">
      <w:pPr>
        <w:spacing w:after="240"/>
      </w:pPr>
      <w:r>
        <w:rPr>
          <w:b/>
          <w:bCs/>
        </w:rPr>
        <w:t xml:space="preserve">Watershed Restoration and Enhancement Committees.  </w:t>
      </w:r>
      <w:r>
        <w:t xml:space="preserve">Under Section 203, we convene a group of local governments, </w:t>
      </w:r>
      <w:r w:rsidR="00FF73F1">
        <w:t>T</w:t>
      </w:r>
      <w:r>
        <w:t>ribes, and stakeholders to develop a Watershed Restoration and Enhancement Plan. If all members of the committee agree to approval of a plan, then we will proceed to adopt a plan.</w:t>
      </w:r>
      <w:r>
        <w:rPr>
          <w:rStyle w:val="FootnoteReference"/>
        </w:rPr>
        <w:footnoteReference w:id="2"/>
      </w:r>
      <w:r>
        <w:t xml:space="preserve">  Then, if necessary, we will amend instream flow rules to incorporate provisions of the plan.  We have not yet established procedures or guidelines for finalization of plans or for subsequent evaluation and adoption.</w:t>
      </w:r>
    </w:p>
    <w:p w14:paraId="7D1F5C0B" w14:textId="2C51F3FC" w:rsidR="00912DF9" w:rsidRPr="00E97841" w:rsidRDefault="00912DF9" w:rsidP="0014439B">
      <w:pPr>
        <w:spacing w:after="240"/>
      </w:pPr>
      <w:r>
        <w:rPr>
          <w:b/>
        </w:rPr>
        <w:t xml:space="preserve">Plan requirements.  </w:t>
      </w:r>
      <w:r w:rsidRPr="0049383E">
        <w:t>Section</w:t>
      </w:r>
      <w:r>
        <w:t>s</w:t>
      </w:r>
      <w:r w:rsidRPr="0049383E">
        <w:t xml:space="preserve"> 202</w:t>
      </w:r>
      <w:r>
        <w:t xml:space="preserve"> and 203 establish the requirements for an adopted plan. Specifically, under subsections </w:t>
      </w:r>
      <w:r w:rsidRPr="0049383E">
        <w:t>202</w:t>
      </w:r>
      <w:r>
        <w:t xml:space="preserve">(4)(b) and 203(3)(b), plans must identify projects necessary to offset the impact of </w:t>
      </w:r>
      <w:commentRangeStart w:id="0"/>
      <w:r>
        <w:t xml:space="preserve">permit-exempt domestic water use. </w:t>
      </w:r>
      <w:commentRangeEnd w:id="0"/>
      <w:r w:rsidR="00E30B2F">
        <w:rPr>
          <w:rStyle w:val="CommentReference"/>
        </w:rPr>
        <w:commentReference w:id="0"/>
      </w:r>
      <w:r>
        <w:t>I</w:t>
      </w:r>
      <w:r w:rsidRPr="00E97841">
        <w:t xml:space="preserve">n-time, in-place mitigation is </w:t>
      </w:r>
      <w:r w:rsidRPr="00E97841">
        <w:rPr>
          <w:u w:val="single"/>
        </w:rPr>
        <w:t>not</w:t>
      </w:r>
      <w:r>
        <w:t xml:space="preserve"> required to offset this impact</w:t>
      </w:r>
      <w:r w:rsidRPr="00E97841">
        <w:t xml:space="preserve">. </w:t>
      </w:r>
      <w:r>
        <w:t>We</w:t>
      </w:r>
      <w:r w:rsidRPr="00E97841">
        <w:t xml:space="preserve"> and local planning partners must prioritize projects that replace the consumptive impact in the same basin or tributary and during critical times to fish; if this is not feasible, however, we may invest in projects that are in other basins/tributaries and during other times of the year. </w:t>
      </w:r>
      <w:r w:rsidRPr="00E97841">
        <w:rPr>
          <w:u w:val="single"/>
        </w:rPr>
        <w:t xml:space="preserve">However, the consumptive impacts from domestic permit-exempt wells must be offset within the </w:t>
      </w:r>
      <w:r>
        <w:rPr>
          <w:u w:val="single"/>
        </w:rPr>
        <w:t>WRIA</w:t>
      </w:r>
      <w:r w:rsidRPr="00E97841">
        <w:rPr>
          <w:u w:val="single"/>
        </w:rPr>
        <w:t xml:space="preserve"> with “water-for-water.”</w:t>
      </w:r>
      <w:r>
        <w:t xml:space="preserve">  </w:t>
      </w:r>
      <w:commentRangeStart w:id="1"/>
      <w:r w:rsidRPr="00E97841">
        <w:t>While we can invest in out-of-kind p</w:t>
      </w:r>
      <w:r>
        <w:t>rojects, those projects are an “extra” and cannot be counted toward</w:t>
      </w:r>
      <w:r w:rsidRPr="00E97841">
        <w:t xml:space="preserve"> offsetting the consumptive impact of domestic permit-exempt withdrawals.</w:t>
      </w:r>
      <w:r>
        <w:t xml:space="preserve">  </w:t>
      </w:r>
      <w:commentRangeEnd w:id="1"/>
      <w:r w:rsidR="00D54631">
        <w:rPr>
          <w:rStyle w:val="CommentReference"/>
        </w:rPr>
        <w:commentReference w:id="1"/>
      </w:r>
      <w:r>
        <w:t xml:space="preserve">In addition, we must determine that the actions in the plan will result in a net ecological benefit to the </w:t>
      </w:r>
      <w:r>
        <w:lastRenderedPageBreak/>
        <w:t xml:space="preserve">stream.   We </w:t>
      </w:r>
      <w:r w:rsidR="00FF73F1">
        <w:t>are evaluating Sections 202 and 203 in more detail and will provide additional</w:t>
      </w:r>
      <w:r>
        <w:t xml:space="preserve"> guidance </w:t>
      </w:r>
      <w:r w:rsidR="00FF73F1">
        <w:t>in the near future</w:t>
      </w:r>
      <w:r>
        <w:t xml:space="preserve">. </w:t>
      </w:r>
    </w:p>
    <w:p w14:paraId="371B120D" w14:textId="77777777" w:rsidR="00912DF9" w:rsidRPr="00E97841" w:rsidRDefault="00912DF9" w:rsidP="0014439B">
      <w:pPr>
        <w:spacing w:after="240"/>
      </w:pPr>
      <w:r w:rsidRPr="00E97841">
        <w:rPr>
          <w:b/>
        </w:rPr>
        <w:t>When is Ecology required to amend instream flow rules?</w:t>
      </w:r>
      <w:r>
        <w:rPr>
          <w:b/>
        </w:rPr>
        <w:t xml:space="preserve">  </w:t>
      </w:r>
      <w:r w:rsidRPr="00E97841">
        <w:t xml:space="preserve">There are two circumstances under which </w:t>
      </w:r>
      <w:r>
        <w:t xml:space="preserve">we </w:t>
      </w:r>
      <w:r w:rsidRPr="00E97841">
        <w:rPr>
          <w:u w:val="single"/>
        </w:rPr>
        <w:t>must</w:t>
      </w:r>
      <w:r w:rsidRPr="00E97841">
        <w:t xml:space="preserve"> adopt rules</w:t>
      </w:r>
      <w:r>
        <w:t xml:space="preserve"> to incorporate plan provisions</w:t>
      </w:r>
      <w:r w:rsidRPr="00E97841">
        <w:t xml:space="preserve">. In addition, we </w:t>
      </w:r>
      <w:r w:rsidRPr="005F02FD">
        <w:rPr>
          <w:u w:val="single"/>
        </w:rPr>
        <w:t>may</w:t>
      </w:r>
      <w:r w:rsidRPr="00E97841">
        <w:t xml:space="preserve"> adopt rules if we believe it to be necessary for another reason.</w:t>
      </w:r>
    </w:p>
    <w:p w14:paraId="24904089" w14:textId="77777777" w:rsidR="00912DF9" w:rsidRPr="00E97841" w:rsidRDefault="00912DF9" w:rsidP="0014439B">
      <w:pPr>
        <w:pStyle w:val="ListParagraph"/>
        <w:spacing w:after="240"/>
        <w:ind w:left="360" w:hanging="360"/>
        <w:contextualSpacing w:val="0"/>
      </w:pPr>
      <w:r w:rsidRPr="00E97841">
        <w:t xml:space="preserve">In </w:t>
      </w:r>
      <w:r>
        <w:t>WRIAs</w:t>
      </w:r>
      <w:r w:rsidRPr="00E97841">
        <w:t xml:space="preserve"> identified in Section 202:</w:t>
      </w:r>
    </w:p>
    <w:p w14:paraId="4D088A01" w14:textId="77777777" w:rsidR="00912DF9" w:rsidRPr="00E97841" w:rsidRDefault="00912DF9" w:rsidP="00CD2AC3">
      <w:pPr>
        <w:pStyle w:val="ListParagraph"/>
        <w:numPr>
          <w:ilvl w:val="0"/>
          <w:numId w:val="20"/>
        </w:numPr>
        <w:spacing w:after="0"/>
        <w:ind w:left="720"/>
        <w:contextualSpacing w:val="0"/>
      </w:pPr>
      <w:r w:rsidRPr="00E97841">
        <w:t>If t</w:t>
      </w:r>
      <w:r>
        <w:t xml:space="preserve">he updated plan recommends a </w:t>
      </w:r>
      <w:r w:rsidRPr="00E97841">
        <w:t xml:space="preserve">change </w:t>
      </w:r>
      <w:r>
        <w:t xml:space="preserve">to </w:t>
      </w:r>
      <w:r w:rsidRPr="00E97841">
        <w:t>the fee or water use limit</w:t>
      </w:r>
      <w:r>
        <w:t xml:space="preserve"> prescribed in the law</w:t>
      </w:r>
      <w:r w:rsidRPr="00E97841">
        <w:t>; or</w:t>
      </w:r>
    </w:p>
    <w:p w14:paraId="5BA33814" w14:textId="77777777" w:rsidR="00912DF9" w:rsidRPr="00E97841" w:rsidRDefault="00912DF9" w:rsidP="00CD2AC3">
      <w:pPr>
        <w:pStyle w:val="ListParagraph"/>
        <w:numPr>
          <w:ilvl w:val="0"/>
          <w:numId w:val="20"/>
        </w:numPr>
        <w:ind w:left="720"/>
        <w:contextualSpacing w:val="0"/>
      </w:pPr>
      <w:r w:rsidRPr="00E97841">
        <w:t xml:space="preserve">If the planning unit fails to adopt an updated </w:t>
      </w:r>
      <w:r>
        <w:t xml:space="preserve">watershed </w:t>
      </w:r>
      <w:r w:rsidRPr="00E97841">
        <w:t>plan by their prescribed timeline.</w:t>
      </w:r>
    </w:p>
    <w:p w14:paraId="0A4793C7" w14:textId="77777777" w:rsidR="00912DF9" w:rsidRPr="00E97841" w:rsidRDefault="00912DF9" w:rsidP="0014439B">
      <w:pPr>
        <w:spacing w:after="240"/>
        <w:ind w:left="360" w:hanging="360"/>
      </w:pPr>
      <w:r w:rsidRPr="00E97841">
        <w:t xml:space="preserve">In </w:t>
      </w:r>
      <w:r>
        <w:t>WRIAs</w:t>
      </w:r>
      <w:r w:rsidRPr="00E97841">
        <w:t xml:space="preserve"> identified in Section 203: </w:t>
      </w:r>
    </w:p>
    <w:p w14:paraId="76FD01D2" w14:textId="71617590" w:rsidR="00912DF9" w:rsidRPr="00E97841" w:rsidRDefault="00912DF9" w:rsidP="00CD2AC3">
      <w:pPr>
        <w:pStyle w:val="ListParagraph"/>
        <w:numPr>
          <w:ilvl w:val="0"/>
          <w:numId w:val="21"/>
        </w:numPr>
        <w:spacing w:after="0"/>
        <w:ind w:left="720"/>
        <w:contextualSpacing w:val="0"/>
      </w:pPr>
      <w:r w:rsidRPr="00E97841">
        <w:t xml:space="preserve">If the adopted plan recommends </w:t>
      </w:r>
      <w:r>
        <w:t xml:space="preserve">a </w:t>
      </w:r>
      <w:r w:rsidRPr="00E97841">
        <w:t xml:space="preserve">change </w:t>
      </w:r>
      <w:r>
        <w:t xml:space="preserve">to </w:t>
      </w:r>
      <w:r w:rsidRPr="00E97841">
        <w:t>the fee or water use limit</w:t>
      </w:r>
      <w:r w:rsidR="005F02FD">
        <w:t xml:space="preserve"> prescribed in the law</w:t>
      </w:r>
      <w:r w:rsidRPr="00E97841">
        <w:t>; or</w:t>
      </w:r>
    </w:p>
    <w:p w14:paraId="633BCEE5" w14:textId="77777777" w:rsidR="00912DF9" w:rsidRPr="00E97841" w:rsidRDefault="00912DF9" w:rsidP="00CD2AC3">
      <w:pPr>
        <w:pStyle w:val="ListParagraph"/>
        <w:numPr>
          <w:ilvl w:val="0"/>
          <w:numId w:val="21"/>
        </w:numPr>
        <w:spacing w:after="0"/>
        <w:ind w:left="720"/>
        <w:contextualSpacing w:val="0"/>
      </w:pPr>
      <w:r w:rsidRPr="00E97841">
        <w:t xml:space="preserve">If the basin committee fails to adopt a plan by their prescribed timeline. In this case, the draft plan goes to the Salmon Recovery Funding Board; they make recommendations, then </w:t>
      </w:r>
      <w:r>
        <w:t>Ecology</w:t>
      </w:r>
      <w:r w:rsidRPr="00E97841">
        <w:t xml:space="preserve"> amend</w:t>
      </w:r>
      <w:r>
        <w:t>s</w:t>
      </w:r>
      <w:r w:rsidRPr="00E97841">
        <w:t xml:space="preserve"> and adopt</w:t>
      </w:r>
      <w:r>
        <w:t>s</w:t>
      </w:r>
      <w:r w:rsidRPr="00E97841">
        <w:t xml:space="preserve"> the plan. We must then adopt the plan into rule.</w:t>
      </w:r>
    </w:p>
    <w:p w14:paraId="3536BB09" w14:textId="77777777" w:rsidR="00912DF9" w:rsidRDefault="00912DF9" w:rsidP="0014439B">
      <w:pPr>
        <w:pStyle w:val="Body1"/>
        <w:spacing w:after="240"/>
        <w:rPr>
          <w:rStyle w:val="Header2"/>
          <w:b/>
          <w:sz w:val="22"/>
        </w:rPr>
      </w:pPr>
    </w:p>
    <w:p w14:paraId="67739DB5" w14:textId="77777777" w:rsidR="008A5888" w:rsidRPr="00B049D7" w:rsidRDefault="008A5888" w:rsidP="0014439B">
      <w:pPr>
        <w:pStyle w:val="Header1style"/>
        <w:spacing w:before="0" w:after="240"/>
      </w:pPr>
      <w:r w:rsidRPr="00B049D7">
        <w:t>Contacts</w:t>
      </w:r>
    </w:p>
    <w:p w14:paraId="0CB4F03A" w14:textId="3C4AA430" w:rsidR="00912DF9" w:rsidRDefault="00912DF9" w:rsidP="00CD2AC3">
      <w:pPr>
        <w:pStyle w:val="Normal1style"/>
        <w:contextualSpacing w:val="0"/>
      </w:pPr>
      <w:r>
        <w:t>Dave Christensen, Program Development and Operations Support Section Manager</w:t>
      </w:r>
    </w:p>
    <w:p w14:paraId="240208E9" w14:textId="6717AFBE" w:rsidR="00912DF9" w:rsidRDefault="00912DF9" w:rsidP="0014439B">
      <w:pPr>
        <w:pStyle w:val="Normal1style"/>
        <w:spacing w:after="240"/>
        <w:contextualSpacing w:val="0"/>
      </w:pPr>
      <w:r>
        <w:tab/>
        <w:t xml:space="preserve">(360) 407 </w:t>
      </w:r>
      <w:r w:rsidRPr="00912DF9">
        <w:t>6647</w:t>
      </w:r>
      <w:r>
        <w:t xml:space="preserve">, </w:t>
      </w:r>
      <w:hyperlink r:id="rId16" w:history="1">
        <w:r w:rsidRPr="00E54919">
          <w:rPr>
            <w:rStyle w:val="Hyperlink"/>
          </w:rPr>
          <w:t>dave.christensen@ecy.wa.gov</w:t>
        </w:r>
      </w:hyperlink>
    </w:p>
    <w:p w14:paraId="14708929" w14:textId="1689AB6B" w:rsidR="00912DF9" w:rsidRDefault="00912DF9" w:rsidP="00CD2AC3">
      <w:pPr>
        <w:pStyle w:val="Normal1style"/>
        <w:contextualSpacing w:val="0"/>
      </w:pPr>
      <w:r>
        <w:t>Carrie Sessions, Policy and Legislative Analyst</w:t>
      </w:r>
    </w:p>
    <w:p w14:paraId="12BDE916" w14:textId="0FA4A605" w:rsidR="00912DF9" w:rsidRDefault="00912DF9" w:rsidP="0014439B">
      <w:pPr>
        <w:pStyle w:val="Normal1style"/>
        <w:spacing w:after="240"/>
        <w:contextualSpacing w:val="0"/>
      </w:pPr>
      <w:r>
        <w:tab/>
        <w:t xml:space="preserve">(360) 407 6094, </w:t>
      </w:r>
      <w:hyperlink r:id="rId17" w:history="1">
        <w:r w:rsidRPr="00E54919">
          <w:rPr>
            <w:rStyle w:val="Hyperlink"/>
          </w:rPr>
          <w:t>carrie.sessions@ecy.wa.gov</w:t>
        </w:r>
      </w:hyperlink>
    </w:p>
    <w:p w14:paraId="1658F9B2" w14:textId="77777777" w:rsidR="00912DF9" w:rsidRDefault="00912DF9" w:rsidP="0014439B">
      <w:pPr>
        <w:pStyle w:val="Normal1style"/>
        <w:spacing w:after="240"/>
        <w:contextualSpacing w:val="0"/>
      </w:pPr>
    </w:p>
    <w:sectPr w:rsidR="00912DF9" w:rsidSect="000C4369">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xel, Michael (DOH)" w:date="2018-02-01T09:50:00Z" w:initials="DM(">
    <w:p w14:paraId="3DB80A56" w14:textId="56FA6E64" w:rsidR="00E30B2F" w:rsidRPr="0098695E" w:rsidRDefault="00E30B2F">
      <w:pPr>
        <w:pStyle w:val="CommentText"/>
        <w:rPr>
          <w:b/>
        </w:rPr>
      </w:pPr>
      <w:r>
        <w:rPr>
          <w:rStyle w:val="CommentReference"/>
        </w:rPr>
        <w:annotationRef/>
      </w:r>
      <w:r w:rsidR="007822FA">
        <w:t>It’s unclear how ECY interprets how planning units or committees</w:t>
      </w:r>
      <w:r w:rsidR="00A669D1">
        <w:t xml:space="preserve"> </w:t>
      </w:r>
      <w:r w:rsidR="007822FA">
        <w:t xml:space="preserve">might consider </w:t>
      </w:r>
      <w:r w:rsidR="00611ECE">
        <w:t xml:space="preserve">consumptive use </w:t>
      </w:r>
      <w:r w:rsidR="00A669D1">
        <w:t xml:space="preserve">impacts to instream flows </w:t>
      </w:r>
      <w:r w:rsidR="007822FA">
        <w:t>resulting from other uses,</w:t>
      </w:r>
      <w:r w:rsidR="00331F7A">
        <w:t xml:space="preserve"> specifically uses for public water supply/municipal </w:t>
      </w:r>
      <w:r w:rsidR="007822FA">
        <w:t xml:space="preserve">uses. </w:t>
      </w:r>
      <w:r>
        <w:t xml:space="preserve">There is nothing </w:t>
      </w:r>
      <w:r w:rsidR="00331F7A">
        <w:t xml:space="preserve">in Sections 202 or 203 </w:t>
      </w:r>
      <w:r>
        <w:t>tha</w:t>
      </w:r>
      <w:r w:rsidR="00A669D1">
        <w:t xml:space="preserve">t precludes </w:t>
      </w:r>
      <w:r w:rsidR="00331F7A">
        <w:t xml:space="preserve">planning units or </w:t>
      </w:r>
      <w:r w:rsidR="00A669D1">
        <w:t>committees from con</w:t>
      </w:r>
      <w:r w:rsidR="00331F7A">
        <w:t xml:space="preserve">sidering other </w:t>
      </w:r>
      <w:r>
        <w:t>uses</w:t>
      </w:r>
      <w:r w:rsidR="00331F7A">
        <w:t xml:space="preserve"> that </w:t>
      </w:r>
      <w:r w:rsidR="00611ECE">
        <w:t>c</w:t>
      </w:r>
      <w:r w:rsidR="00331F7A">
        <w:t>ould offset</w:t>
      </w:r>
      <w:r w:rsidR="00611ECE">
        <w:t xml:space="preserve"> consumptive uses</w:t>
      </w:r>
      <w:r w:rsidR="00331F7A">
        <w:t xml:space="preserve"> with in-kind or out-of-kind mitigation</w:t>
      </w:r>
      <w:r>
        <w:t xml:space="preserve">. </w:t>
      </w:r>
      <w:r w:rsidR="007822FA">
        <w:t>M</w:t>
      </w:r>
      <w:r w:rsidR="00331F7A">
        <w:t>any public water systems will be members of the plannin</w:t>
      </w:r>
      <w:r w:rsidR="008B146C">
        <w:t>g units or committees</w:t>
      </w:r>
      <w:r w:rsidR="005E30F2">
        <w:t xml:space="preserve"> and will likely have an interest in</w:t>
      </w:r>
      <w:r w:rsidR="00331F7A">
        <w:t xml:space="preserve"> offsetting </w:t>
      </w:r>
      <w:r w:rsidR="008B146C">
        <w:t>impacts</w:t>
      </w:r>
      <w:r w:rsidR="00611ECE">
        <w:t xml:space="preserve"> from new</w:t>
      </w:r>
      <w:r w:rsidR="00331F7A">
        <w:t xml:space="preserve"> public water supply</w:t>
      </w:r>
      <w:r w:rsidR="00611ECE">
        <w:t xml:space="preserve"> wells. </w:t>
      </w:r>
      <w:r w:rsidR="00F32AB0">
        <w:t>We believe</w:t>
      </w:r>
      <w:r w:rsidR="00331F7A">
        <w:t xml:space="preserve"> the Legislature included </w:t>
      </w:r>
      <w:r w:rsidR="005E30F2">
        <w:t xml:space="preserve">for </w:t>
      </w:r>
      <w:r w:rsidR="00331F7A">
        <w:t>public water systems to participate in a plan</w:t>
      </w:r>
      <w:r w:rsidR="00F32AB0">
        <w:t xml:space="preserve">ning process </w:t>
      </w:r>
      <w:r w:rsidR="005E30F2">
        <w:t xml:space="preserve">that would discuss these options </w:t>
      </w:r>
      <w:r w:rsidR="00611ECE">
        <w:t>and</w:t>
      </w:r>
      <w:r w:rsidR="00E740EE">
        <w:t xml:space="preserve"> </w:t>
      </w:r>
      <w:r w:rsidR="00E740EE" w:rsidRPr="005E30F2">
        <w:t>allow</w:t>
      </w:r>
      <w:r w:rsidR="005E30F2" w:rsidRPr="005E30F2">
        <w:t xml:space="preserve"> planning units or committees to consider out-of-kind mitigation projects for municipal/public water supply.</w:t>
      </w:r>
      <w:r w:rsidR="005E30F2">
        <w:t xml:space="preserve"> </w:t>
      </w:r>
      <w:r w:rsidR="005E30F2" w:rsidRPr="0098695E">
        <w:rPr>
          <w:b/>
        </w:rPr>
        <w:t>Please clarify</w:t>
      </w:r>
      <w:r w:rsidR="00611ECE" w:rsidRPr="0098695E">
        <w:rPr>
          <w:b/>
        </w:rPr>
        <w:t xml:space="preserve"> whether</w:t>
      </w:r>
      <w:r w:rsidR="0098695E">
        <w:rPr>
          <w:b/>
        </w:rPr>
        <w:t xml:space="preserve"> offsetting</w:t>
      </w:r>
      <w:r w:rsidR="00611ECE" w:rsidRPr="0098695E">
        <w:rPr>
          <w:b/>
        </w:rPr>
        <w:t xml:space="preserve"> </w:t>
      </w:r>
      <w:r w:rsidR="008A618B" w:rsidRPr="0098695E">
        <w:rPr>
          <w:b/>
        </w:rPr>
        <w:t xml:space="preserve">other </w:t>
      </w:r>
      <w:r w:rsidR="00611ECE" w:rsidRPr="0098695E">
        <w:rPr>
          <w:b/>
        </w:rPr>
        <w:t>use</w:t>
      </w:r>
      <w:r w:rsidR="008A618B" w:rsidRPr="0098695E">
        <w:rPr>
          <w:b/>
        </w:rPr>
        <w:t>s,</w:t>
      </w:r>
      <w:r w:rsidR="00611ECE" w:rsidRPr="0098695E">
        <w:rPr>
          <w:b/>
        </w:rPr>
        <w:t xml:space="preserve"> </w:t>
      </w:r>
      <w:r w:rsidR="008A618B" w:rsidRPr="0098695E">
        <w:rPr>
          <w:b/>
        </w:rPr>
        <w:t xml:space="preserve">besides </w:t>
      </w:r>
      <w:r w:rsidR="00611ECE" w:rsidRPr="0098695E">
        <w:rPr>
          <w:b/>
        </w:rPr>
        <w:t>permit exempt wells</w:t>
      </w:r>
      <w:r w:rsidR="008A618B" w:rsidRPr="0098695E">
        <w:rPr>
          <w:b/>
        </w:rPr>
        <w:t>,</w:t>
      </w:r>
      <w:r w:rsidR="00611ECE" w:rsidRPr="0098695E">
        <w:rPr>
          <w:b/>
        </w:rPr>
        <w:t xml:space="preserve"> may be considered by the planning units or </w:t>
      </w:r>
      <w:r w:rsidR="008A618B" w:rsidRPr="0098695E">
        <w:rPr>
          <w:b/>
        </w:rPr>
        <w:t xml:space="preserve">WRE </w:t>
      </w:r>
      <w:r w:rsidR="00611ECE" w:rsidRPr="0098695E">
        <w:rPr>
          <w:b/>
        </w:rPr>
        <w:t>committees.</w:t>
      </w:r>
    </w:p>
  </w:comment>
  <w:comment w:id="1" w:author="Dexel, Michael (DOH)" w:date="2018-02-01T09:54:00Z" w:initials="DM(">
    <w:p w14:paraId="3242E799" w14:textId="3AA7F4EC" w:rsidR="00D54631" w:rsidRPr="0098695E" w:rsidRDefault="00D54631">
      <w:pPr>
        <w:pStyle w:val="CommentText"/>
        <w:rPr>
          <w:b/>
        </w:rPr>
      </w:pPr>
      <w:r>
        <w:rPr>
          <w:rStyle w:val="CommentReference"/>
        </w:rPr>
        <w:annotationRef/>
      </w:r>
      <w:r w:rsidR="005E30F2">
        <w:rPr>
          <w:rStyle w:val="CommentReference"/>
        </w:rPr>
        <w:t>Please clarify</w:t>
      </w:r>
      <w:r>
        <w:rPr>
          <w:rStyle w:val="CommentReference"/>
        </w:rPr>
        <w:t xml:space="preserve"> this </w:t>
      </w:r>
      <w:r w:rsidR="008A618B">
        <w:rPr>
          <w:rStyle w:val="CommentReference"/>
        </w:rPr>
        <w:t>sentence/</w:t>
      </w:r>
      <w:r>
        <w:rPr>
          <w:rStyle w:val="CommentReference"/>
        </w:rPr>
        <w:t xml:space="preserve">interpretation. </w:t>
      </w:r>
      <w:r w:rsidR="006665A9">
        <w:rPr>
          <w:rStyle w:val="CommentReference"/>
        </w:rPr>
        <w:t xml:space="preserve">The “highest priority recommendations” language in these sections certainly suggests that in-time, in-place, in-kind mitigation should take precedence over other forms of out-of-kind mitigation. However there are “lower priority projects” </w:t>
      </w:r>
      <w:r w:rsidR="00A669D1">
        <w:rPr>
          <w:rStyle w:val="CommentReference"/>
        </w:rPr>
        <w:t xml:space="preserve">such as those that “improve instream resources without replacing the consumptive quantity of water” </w:t>
      </w:r>
      <w:r w:rsidR="006665A9">
        <w:rPr>
          <w:rStyle w:val="CommentReference"/>
        </w:rPr>
        <w:t xml:space="preserve">that </w:t>
      </w:r>
      <w:r w:rsidR="00A669D1">
        <w:rPr>
          <w:rStyle w:val="CommentReference"/>
        </w:rPr>
        <w:t xml:space="preserve">can be considered “in addition to” consumptive impacts to instream flows. </w:t>
      </w:r>
      <w:r w:rsidR="00331F7A">
        <w:rPr>
          <w:rStyle w:val="CommentReference"/>
        </w:rPr>
        <w:t xml:space="preserve">Furthermore, the </w:t>
      </w:r>
      <w:r w:rsidR="008B146C">
        <w:rPr>
          <w:rStyle w:val="CommentReference"/>
        </w:rPr>
        <w:t>preceding</w:t>
      </w:r>
      <w:r w:rsidR="00331F7A">
        <w:rPr>
          <w:rStyle w:val="CommentReference"/>
        </w:rPr>
        <w:t xml:space="preserve"> subsection of these sections indicates that “qualifying projects…must not result in negative functions to ecological functions or critical habitat.” </w:t>
      </w:r>
      <w:r w:rsidR="007822FA">
        <w:rPr>
          <w:rStyle w:val="CommentReference"/>
        </w:rPr>
        <w:t>It appears that the Legislature intended for</w:t>
      </w:r>
      <w:r w:rsidR="008B146C">
        <w:rPr>
          <w:rStyle w:val="CommentReference"/>
        </w:rPr>
        <w:t xml:space="preserve"> a more flexible approach that gives planning units or committ</w:t>
      </w:r>
      <w:r w:rsidR="0098695E">
        <w:rPr>
          <w:rStyle w:val="CommentReference"/>
        </w:rPr>
        <w:t>ees the option to pursue</w:t>
      </w:r>
      <w:r w:rsidR="008B146C">
        <w:rPr>
          <w:rStyle w:val="CommentReference"/>
        </w:rPr>
        <w:t xml:space="preserve"> projects that benefit the instream resources and overall watershed health for fish</w:t>
      </w:r>
      <w:r w:rsidR="00242A49">
        <w:rPr>
          <w:rStyle w:val="CommentReference"/>
        </w:rPr>
        <w:t xml:space="preserve"> without having </w:t>
      </w:r>
      <w:r w:rsidR="00C86671">
        <w:rPr>
          <w:rStyle w:val="CommentReference"/>
        </w:rPr>
        <w:t>to</w:t>
      </w:r>
      <w:r w:rsidR="00242A49">
        <w:rPr>
          <w:rStyle w:val="CommentReference"/>
        </w:rPr>
        <w:t xml:space="preserve"> </w:t>
      </w:r>
      <w:r w:rsidR="0098695E">
        <w:rPr>
          <w:rStyle w:val="CommentReference"/>
        </w:rPr>
        <w:t xml:space="preserve">replace </w:t>
      </w:r>
      <w:r w:rsidR="00242A49">
        <w:rPr>
          <w:rStyle w:val="CommentReference"/>
        </w:rPr>
        <w:t xml:space="preserve">the full consumptive use impacts. </w:t>
      </w:r>
      <w:r w:rsidR="00CE0734" w:rsidRPr="0098695E">
        <w:rPr>
          <w:rStyle w:val="CommentReference"/>
          <w:b/>
        </w:rPr>
        <w:t xml:space="preserve">Please clarify: 1) </w:t>
      </w:r>
      <w:r w:rsidR="008A618B" w:rsidRPr="0098695E">
        <w:rPr>
          <w:rStyle w:val="CommentReference"/>
          <w:b/>
        </w:rPr>
        <w:t>whether</w:t>
      </w:r>
      <w:r w:rsidR="007822FA" w:rsidRPr="0098695E">
        <w:rPr>
          <w:rStyle w:val="CommentReference"/>
          <w:b/>
        </w:rPr>
        <w:t xml:space="preserve"> out-of-kind mitigation may be considered</w:t>
      </w:r>
      <w:r w:rsidR="00CE0734" w:rsidRPr="0098695E">
        <w:rPr>
          <w:rStyle w:val="CommentReference"/>
          <w:b/>
        </w:rPr>
        <w:t xml:space="preserve"> by planning units or </w:t>
      </w:r>
      <w:r w:rsidR="008A618B" w:rsidRPr="0098695E">
        <w:rPr>
          <w:rStyle w:val="CommentReference"/>
          <w:b/>
        </w:rPr>
        <w:t xml:space="preserve">WRE committees; and 2) what </w:t>
      </w:r>
      <w:r w:rsidR="00242A49">
        <w:rPr>
          <w:rStyle w:val="CommentReference"/>
          <w:b/>
        </w:rPr>
        <w:t>distinguishes t</w:t>
      </w:r>
      <w:bookmarkStart w:id="2" w:name="_GoBack"/>
      <w:bookmarkEnd w:id="2"/>
      <w:r w:rsidR="00242A49">
        <w:rPr>
          <w:rStyle w:val="CommentReference"/>
          <w:b/>
        </w:rPr>
        <w:t xml:space="preserve">he </w:t>
      </w:r>
      <w:r w:rsidR="008A618B" w:rsidRPr="0098695E">
        <w:rPr>
          <w:rStyle w:val="CommentReference"/>
          <w:b/>
        </w:rPr>
        <w:t>types of mitigation (in-time, in-place, or in-kind)</w:t>
      </w:r>
      <w:r w:rsidR="00242A49">
        <w:rPr>
          <w:rStyle w:val="CommentReference"/>
          <w:b/>
        </w:rPr>
        <w:t xml:space="preserve"> as</w:t>
      </w:r>
      <w:r w:rsidR="008A618B" w:rsidRPr="0098695E">
        <w:rPr>
          <w:rStyle w:val="CommentReference"/>
          <w:b/>
        </w:rPr>
        <w:t xml:space="preserve"> </w:t>
      </w:r>
      <w:r w:rsidR="00242A49">
        <w:rPr>
          <w:rStyle w:val="CommentReference"/>
          <w:b/>
        </w:rPr>
        <w:t>qualification for</w:t>
      </w:r>
      <w:r w:rsidR="008A618B" w:rsidRPr="0098695E">
        <w:rPr>
          <w:rStyle w:val="CommentReference"/>
          <w:b/>
        </w:rPr>
        <w:t xml:space="preserve"> “water-for-water” offset for the consumptive use impacts of domestic permit-exempt wells.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B80A56" w15:done="0"/>
  <w15:commentEx w15:paraId="3242E7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FE56F" w14:textId="77777777" w:rsidR="009F3D9C" w:rsidRDefault="009F3D9C" w:rsidP="00505DE6">
      <w:pPr>
        <w:spacing w:after="0"/>
      </w:pPr>
      <w:r>
        <w:separator/>
      </w:r>
    </w:p>
    <w:p w14:paraId="636FE570" w14:textId="77777777" w:rsidR="009F3D9C" w:rsidRDefault="009F3D9C"/>
  </w:endnote>
  <w:endnote w:type="continuationSeparator" w:id="0">
    <w:p w14:paraId="636FE571" w14:textId="77777777" w:rsidR="009F3D9C" w:rsidRDefault="009F3D9C" w:rsidP="00505DE6">
      <w:pPr>
        <w:spacing w:after="0"/>
      </w:pPr>
      <w:r>
        <w:continuationSeparator/>
      </w:r>
    </w:p>
    <w:p w14:paraId="636FE572" w14:textId="77777777" w:rsidR="009F3D9C" w:rsidRDefault="009F3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FE573" w14:textId="7BE85AA6" w:rsidR="00FE1B39" w:rsidRDefault="00FE1B39" w:rsidP="00D12696">
    <w:pPr>
      <w:pStyle w:val="Footer"/>
      <w:jc w:val="center"/>
      <w:rPr>
        <w:rFonts w:ascii="Rockwell" w:hAnsi="Rockwell"/>
        <w:sz w:val="20"/>
        <w:szCs w:val="20"/>
      </w:rPr>
    </w:pPr>
    <w:r w:rsidRPr="00505DE6">
      <w:rPr>
        <w:rFonts w:ascii="Rockwell" w:hAnsi="Rockwell"/>
        <w:sz w:val="20"/>
        <w:szCs w:val="20"/>
      </w:rPr>
      <w:fldChar w:fldCharType="begin"/>
    </w:r>
    <w:r w:rsidRPr="00505DE6">
      <w:rPr>
        <w:rFonts w:ascii="Rockwell" w:hAnsi="Rockwell"/>
        <w:sz w:val="20"/>
        <w:szCs w:val="20"/>
      </w:rPr>
      <w:instrText xml:space="preserve"> PAGE   \* MERGEFORMAT </w:instrText>
    </w:r>
    <w:r w:rsidRPr="00505DE6">
      <w:rPr>
        <w:rFonts w:ascii="Rockwell" w:hAnsi="Rockwell"/>
        <w:sz w:val="20"/>
        <w:szCs w:val="20"/>
      </w:rPr>
      <w:fldChar w:fldCharType="separate"/>
    </w:r>
    <w:r w:rsidR="00C86671">
      <w:rPr>
        <w:rFonts w:ascii="Rockwell" w:hAnsi="Rockwell"/>
        <w:noProof/>
        <w:sz w:val="20"/>
        <w:szCs w:val="20"/>
      </w:rPr>
      <w:t>4</w:t>
    </w:r>
    <w:r w:rsidRPr="00505DE6">
      <w:rPr>
        <w:rFonts w:ascii="Rockwell" w:hAnsi="Rockwell"/>
        <w:sz w:val="20"/>
        <w:szCs w:val="20"/>
      </w:rPr>
      <w:fldChar w:fldCharType="end"/>
    </w:r>
  </w:p>
  <w:p w14:paraId="636FE574" w14:textId="1BEA9E59" w:rsidR="009F3D9C" w:rsidRPr="00FE1B39" w:rsidRDefault="00FE1B39" w:rsidP="00D12696">
    <w:pPr>
      <w:pStyle w:val="Footer"/>
      <w:jc w:val="center"/>
      <w:rPr>
        <w:rFonts w:ascii="Rockwell" w:hAnsi="Rockwell"/>
        <w:sz w:val="20"/>
        <w:szCs w:val="20"/>
      </w:rPr>
    </w:pPr>
    <w:r>
      <w:rPr>
        <w:rFonts w:ascii="Rockwell" w:hAnsi="Rockwell"/>
        <w:sz w:val="20"/>
        <w:szCs w:val="20"/>
      </w:rPr>
      <w:t xml:space="preserve">Jan. 13, </w:t>
    </w:r>
    <w:r w:rsidRPr="00505DE6">
      <w:rPr>
        <w:rFonts w:ascii="Rockwell" w:hAnsi="Rockwell"/>
        <w:sz w:val="20"/>
        <w:szCs w:val="20"/>
      </w:rPr>
      <w:t>201</w:t>
    </w:r>
    <w:r>
      <w:rPr>
        <w:rFonts w:ascii="Rockwell" w:hAnsi="Rockwell"/>
        <w:sz w:val="20"/>
        <w:szCs w:val="20"/>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FE578" w14:textId="7A962DFF" w:rsidR="00FE1B39" w:rsidRDefault="00101F87" w:rsidP="00CD2AC3">
    <w:pPr>
      <w:pStyle w:val="Footer"/>
      <w:jc w:val="center"/>
      <w:rPr>
        <w:rFonts w:ascii="Rockwell" w:hAnsi="Rockwell"/>
        <w:sz w:val="20"/>
        <w:szCs w:val="20"/>
      </w:rPr>
    </w:pPr>
    <w:r>
      <w:rPr>
        <w:rFonts w:ascii="Rockwell" w:hAnsi="Rockwell"/>
        <w:sz w:val="20"/>
        <w:szCs w:val="20"/>
      </w:rPr>
      <w:t xml:space="preserve">Page </w:t>
    </w:r>
    <w:r w:rsidR="00EF7DFA" w:rsidRPr="00505DE6">
      <w:rPr>
        <w:rFonts w:ascii="Rockwell" w:hAnsi="Rockwell"/>
        <w:sz w:val="20"/>
        <w:szCs w:val="20"/>
      </w:rPr>
      <w:fldChar w:fldCharType="begin"/>
    </w:r>
    <w:r w:rsidR="000C4369" w:rsidRPr="00505DE6">
      <w:rPr>
        <w:rFonts w:ascii="Rockwell" w:hAnsi="Rockwell"/>
        <w:sz w:val="20"/>
        <w:szCs w:val="20"/>
      </w:rPr>
      <w:instrText xml:space="preserve"> PAGE   \* MERGEFORMAT </w:instrText>
    </w:r>
    <w:r w:rsidR="00EF7DFA" w:rsidRPr="00505DE6">
      <w:rPr>
        <w:rFonts w:ascii="Rockwell" w:hAnsi="Rockwell"/>
        <w:sz w:val="20"/>
        <w:szCs w:val="20"/>
      </w:rPr>
      <w:fldChar w:fldCharType="separate"/>
    </w:r>
    <w:r w:rsidR="00C86671">
      <w:rPr>
        <w:rFonts w:ascii="Rockwell" w:hAnsi="Rockwell"/>
        <w:noProof/>
        <w:sz w:val="20"/>
        <w:szCs w:val="20"/>
      </w:rPr>
      <w:t>1</w:t>
    </w:r>
    <w:r w:rsidR="00EF7DFA" w:rsidRPr="00505DE6">
      <w:rPr>
        <w:rFonts w:ascii="Rockwell" w:hAnsi="Rockwell"/>
        <w:sz w:val="20"/>
        <w:szCs w:val="20"/>
      </w:rPr>
      <w:fldChar w:fldCharType="end"/>
    </w:r>
  </w:p>
  <w:p w14:paraId="636FE579" w14:textId="6E6F959B" w:rsidR="000C4369" w:rsidRPr="00FE1B39" w:rsidRDefault="00912DF9" w:rsidP="00CD2AC3">
    <w:pPr>
      <w:pStyle w:val="Footer"/>
      <w:jc w:val="center"/>
      <w:rPr>
        <w:rFonts w:ascii="Rockwell" w:hAnsi="Rockwell"/>
        <w:sz w:val="20"/>
        <w:szCs w:val="20"/>
      </w:rPr>
    </w:pPr>
    <w:r>
      <w:rPr>
        <w:rFonts w:ascii="Rockwell" w:hAnsi="Rockwell"/>
        <w:sz w:val="20"/>
        <w:szCs w:val="20"/>
      </w:rPr>
      <w:t>Jan. 29,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FE56B" w14:textId="77777777" w:rsidR="009F3D9C" w:rsidRDefault="009F3D9C" w:rsidP="00505DE6">
      <w:pPr>
        <w:spacing w:after="0"/>
      </w:pPr>
      <w:r>
        <w:separator/>
      </w:r>
    </w:p>
    <w:p w14:paraId="636FE56C" w14:textId="77777777" w:rsidR="009F3D9C" w:rsidRDefault="009F3D9C"/>
  </w:footnote>
  <w:footnote w:type="continuationSeparator" w:id="0">
    <w:p w14:paraId="636FE56D" w14:textId="77777777" w:rsidR="009F3D9C" w:rsidRDefault="009F3D9C" w:rsidP="00505DE6">
      <w:pPr>
        <w:spacing w:after="0"/>
      </w:pPr>
      <w:r>
        <w:continuationSeparator/>
      </w:r>
    </w:p>
    <w:p w14:paraId="636FE56E" w14:textId="77777777" w:rsidR="009F3D9C" w:rsidRDefault="009F3D9C"/>
  </w:footnote>
  <w:footnote w:id="1">
    <w:p w14:paraId="054BB4A8" w14:textId="57E3D6F0" w:rsidR="00912DF9" w:rsidRDefault="00912DF9" w:rsidP="00912DF9">
      <w:pPr>
        <w:pStyle w:val="FootnoteText"/>
      </w:pPr>
      <w:r>
        <w:rPr>
          <w:rStyle w:val="FootnoteReference"/>
        </w:rPr>
        <w:footnoteRef/>
      </w:r>
      <w:r>
        <w:t xml:space="preserve"> The basins</w:t>
      </w:r>
      <w:r w:rsidR="005F02FD">
        <w:t xml:space="preserve"> that </w:t>
      </w:r>
      <w:r>
        <w:t xml:space="preserve">were directly affected by the State Supreme Court’s decision in </w:t>
      </w:r>
      <w:r>
        <w:rPr>
          <w:i/>
        </w:rPr>
        <w:t>Hirst</w:t>
      </w:r>
      <w:r w:rsidR="005F02FD">
        <w:t xml:space="preserve"> </w:t>
      </w:r>
      <w:r>
        <w:t>are those with pre-2000 instream flow rules. This includes the following WRIAs: 1-Nooksack, 7-Snohomish, 8-Cedar-Sammamish, 9-Duwamish-Green, 10-Puyallup-White, 11-Nisqually, 12-Chambers-Clover, 13-Deschutes, 14-Kennedy-Goldsborough, 15-Kitsap, 22-Lower Chehalis, 23-Upper Chehalis, 49-Okanogan, 55-Little Spokane, and 59-Colville.</w:t>
      </w:r>
    </w:p>
  </w:footnote>
  <w:footnote w:id="2">
    <w:p w14:paraId="69A6FA41" w14:textId="12C9828B" w:rsidR="00912DF9" w:rsidRDefault="00912DF9" w:rsidP="00D12696">
      <w:r>
        <w:rPr>
          <w:rStyle w:val="FootnoteReference"/>
        </w:rPr>
        <w:footnoteRef/>
      </w:r>
      <w:r>
        <w:t xml:space="preserve"> If a committee fails to adopt a plan by their prescribed timeline, they are to send the draft plan to the Salmon Recovery Funding Board (SRFB) for its review.  The SFRB makes recommendations and sends them to us. We then we amend the draft plan and adopt it into rule.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FE575" w14:textId="6A377091" w:rsidR="000C4369" w:rsidRPr="002919BC" w:rsidRDefault="000C4369" w:rsidP="000C4369">
    <w:pPr>
      <w:pStyle w:val="Titlestyle"/>
    </w:pPr>
    <w:r w:rsidRPr="002919BC">
      <w:drawing>
        <wp:anchor distT="0" distB="0" distL="114300" distR="114300" simplePos="0" relativeHeight="251659264" behindDoc="0" locked="0" layoutInCell="1" allowOverlap="1" wp14:anchorId="636FE57A" wp14:editId="636FE57B">
          <wp:simplePos x="0" y="0"/>
          <wp:positionH relativeFrom="column">
            <wp:posOffset>-38100</wp:posOffset>
          </wp:positionH>
          <wp:positionV relativeFrom="paragraph">
            <wp:posOffset>-28575</wp:posOffset>
          </wp:positionV>
          <wp:extent cx="1025525" cy="752475"/>
          <wp:effectExtent l="0" t="0" r="3175" b="0"/>
          <wp:wrapNone/>
          <wp:docPr id="3" name="Picture 1" descr="ECY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Y_Symbol.png"/>
                  <pic:cNvPicPr/>
                </pic:nvPicPr>
                <pic:blipFill>
                  <a:blip r:embed="rId1"/>
                  <a:stretch>
                    <a:fillRect/>
                  </a:stretch>
                </pic:blipFill>
                <pic:spPr>
                  <a:xfrm>
                    <a:off x="0" y="0"/>
                    <a:ext cx="1025525" cy="752475"/>
                  </a:xfrm>
                  <a:prstGeom prst="rect">
                    <a:avLst/>
                  </a:prstGeom>
                </pic:spPr>
              </pic:pic>
            </a:graphicData>
          </a:graphic>
        </wp:anchor>
      </w:drawing>
    </w:r>
    <w:r w:rsidR="00912DF9">
      <w:t>ESSB 6091</w:t>
    </w:r>
  </w:p>
  <w:p w14:paraId="636FE576" w14:textId="2AB873E8" w:rsidR="000C4369" w:rsidRPr="002919BC" w:rsidRDefault="00912DF9" w:rsidP="00C862CD">
    <w:pPr>
      <w:pStyle w:val="Sub-titlestyle"/>
    </w:pPr>
    <w:r>
      <w:t>Ecology’s Initial Policy Interpretations</w:t>
    </w:r>
    <w:r w:rsidR="000C4369">
      <w:t xml:space="preserve"> </w:t>
    </w:r>
  </w:p>
  <w:p w14:paraId="636FE577" w14:textId="77777777" w:rsidR="000C4369" w:rsidRDefault="000C4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4568"/>
    <w:multiLevelType w:val="hybridMultilevel"/>
    <w:tmpl w:val="F06A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7A6F"/>
    <w:multiLevelType w:val="hybridMultilevel"/>
    <w:tmpl w:val="77E03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624E1"/>
    <w:multiLevelType w:val="hybridMultilevel"/>
    <w:tmpl w:val="4784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173D0"/>
    <w:multiLevelType w:val="hybridMultilevel"/>
    <w:tmpl w:val="D932128E"/>
    <w:lvl w:ilvl="0" w:tplc="FD4C01D6">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15:restartNumberingAfterBreak="0">
    <w:nsid w:val="18AA6078"/>
    <w:multiLevelType w:val="hybridMultilevel"/>
    <w:tmpl w:val="F3F0C876"/>
    <w:lvl w:ilvl="0" w:tplc="05AE5F44">
      <w:start w:val="1"/>
      <w:numFmt w:val="bullet"/>
      <w:pStyle w:val="Bulletsty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F433C"/>
    <w:multiLevelType w:val="hybridMultilevel"/>
    <w:tmpl w:val="6A34BF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FC6914"/>
    <w:multiLevelType w:val="hybridMultilevel"/>
    <w:tmpl w:val="C740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F2842"/>
    <w:multiLevelType w:val="hybridMultilevel"/>
    <w:tmpl w:val="07E4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326A7"/>
    <w:multiLevelType w:val="hybridMultilevel"/>
    <w:tmpl w:val="4D9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F209E"/>
    <w:multiLevelType w:val="hybridMultilevel"/>
    <w:tmpl w:val="095EA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FD2434"/>
    <w:multiLevelType w:val="hybridMultilevel"/>
    <w:tmpl w:val="27A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E2AA4"/>
    <w:multiLevelType w:val="hybridMultilevel"/>
    <w:tmpl w:val="4926880E"/>
    <w:lvl w:ilvl="0" w:tplc="729E7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6B3305"/>
    <w:multiLevelType w:val="hybridMultilevel"/>
    <w:tmpl w:val="1BA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B0C07"/>
    <w:multiLevelType w:val="hybridMultilevel"/>
    <w:tmpl w:val="C694D406"/>
    <w:lvl w:ilvl="0" w:tplc="87E87498">
      <w:start w:val="1"/>
      <w:numFmt w:val="decimal"/>
      <w:pStyle w:val="Numberedstyle"/>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57DB4"/>
    <w:multiLevelType w:val="hybridMultilevel"/>
    <w:tmpl w:val="6C9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341383"/>
    <w:multiLevelType w:val="hybridMultilevel"/>
    <w:tmpl w:val="D932128E"/>
    <w:lvl w:ilvl="0" w:tplc="FD4C01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2A1014"/>
    <w:multiLevelType w:val="hybridMultilevel"/>
    <w:tmpl w:val="E6DE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0"/>
  </w:num>
  <w:num w:numId="4">
    <w:abstractNumId w:val="2"/>
  </w:num>
  <w:num w:numId="5">
    <w:abstractNumId w:val="14"/>
  </w:num>
  <w:num w:numId="6">
    <w:abstractNumId w:val="0"/>
  </w:num>
  <w:num w:numId="7">
    <w:abstractNumId w:val="13"/>
  </w:num>
  <w:num w:numId="8">
    <w:abstractNumId w:val="12"/>
  </w:num>
  <w:num w:numId="9">
    <w:abstractNumId w:val="5"/>
  </w:num>
  <w:num w:numId="10">
    <w:abstractNumId w:val="6"/>
  </w:num>
  <w:num w:numId="11">
    <w:abstractNumId w:val="1"/>
  </w:num>
  <w:num w:numId="12">
    <w:abstractNumId w:val="4"/>
  </w:num>
  <w:num w:numId="13">
    <w:abstractNumId w:val="8"/>
  </w:num>
  <w:num w:numId="14">
    <w:abstractNumId w:val="4"/>
  </w:num>
  <w:num w:numId="15">
    <w:abstractNumId w:val="11"/>
  </w:num>
  <w:num w:numId="16">
    <w:abstractNumId w:val="4"/>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num>
  <w:num w:numId="20">
    <w:abstractNumId w:val="3"/>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xel, Michael (DOH)">
    <w15:presenceInfo w15:providerId="AD" w15:userId="S-1-5-21-861101232-1114377890-312552118-53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71"/>
    <w:rsid w:val="00012B62"/>
    <w:rsid w:val="00025434"/>
    <w:rsid w:val="0004562B"/>
    <w:rsid w:val="00053C39"/>
    <w:rsid w:val="00065BB9"/>
    <w:rsid w:val="00073A9B"/>
    <w:rsid w:val="00083AE2"/>
    <w:rsid w:val="000A302F"/>
    <w:rsid w:val="000B1964"/>
    <w:rsid w:val="000C4369"/>
    <w:rsid w:val="00101F87"/>
    <w:rsid w:val="00134A23"/>
    <w:rsid w:val="0014439B"/>
    <w:rsid w:val="00161896"/>
    <w:rsid w:val="00165678"/>
    <w:rsid w:val="00173B39"/>
    <w:rsid w:val="001A32C6"/>
    <w:rsid w:val="001A6673"/>
    <w:rsid w:val="001B00F4"/>
    <w:rsid w:val="001B7804"/>
    <w:rsid w:val="001C2FB7"/>
    <w:rsid w:val="001F5EDD"/>
    <w:rsid w:val="002044EF"/>
    <w:rsid w:val="00237D46"/>
    <w:rsid w:val="00242A49"/>
    <w:rsid w:val="00245BF4"/>
    <w:rsid w:val="00256771"/>
    <w:rsid w:val="00266249"/>
    <w:rsid w:val="002E017E"/>
    <w:rsid w:val="002E50B2"/>
    <w:rsid w:val="002F7523"/>
    <w:rsid w:val="00306445"/>
    <w:rsid w:val="00306C6B"/>
    <w:rsid w:val="00306D80"/>
    <w:rsid w:val="0032074B"/>
    <w:rsid w:val="00331F7A"/>
    <w:rsid w:val="00332057"/>
    <w:rsid w:val="00341079"/>
    <w:rsid w:val="00365BCD"/>
    <w:rsid w:val="00372BC8"/>
    <w:rsid w:val="003835CD"/>
    <w:rsid w:val="003B23A4"/>
    <w:rsid w:val="003C7AE1"/>
    <w:rsid w:val="003D496D"/>
    <w:rsid w:val="00402C2B"/>
    <w:rsid w:val="0041472F"/>
    <w:rsid w:val="004451CF"/>
    <w:rsid w:val="00446FD9"/>
    <w:rsid w:val="004B4C68"/>
    <w:rsid w:val="00505DE6"/>
    <w:rsid w:val="00507C61"/>
    <w:rsid w:val="00534D14"/>
    <w:rsid w:val="005414D1"/>
    <w:rsid w:val="00594B2A"/>
    <w:rsid w:val="005A3294"/>
    <w:rsid w:val="005E30F2"/>
    <w:rsid w:val="005F02FD"/>
    <w:rsid w:val="00607191"/>
    <w:rsid w:val="00611ECE"/>
    <w:rsid w:val="00621D59"/>
    <w:rsid w:val="00630C50"/>
    <w:rsid w:val="0063224D"/>
    <w:rsid w:val="00641B86"/>
    <w:rsid w:val="006665A9"/>
    <w:rsid w:val="00680D76"/>
    <w:rsid w:val="006E411F"/>
    <w:rsid w:val="006E6AEE"/>
    <w:rsid w:val="007101F7"/>
    <w:rsid w:val="00713409"/>
    <w:rsid w:val="00717D32"/>
    <w:rsid w:val="00720E00"/>
    <w:rsid w:val="00763DA1"/>
    <w:rsid w:val="0077028F"/>
    <w:rsid w:val="007822FA"/>
    <w:rsid w:val="00791D20"/>
    <w:rsid w:val="007A1B89"/>
    <w:rsid w:val="007A6680"/>
    <w:rsid w:val="007B3C91"/>
    <w:rsid w:val="007B41C2"/>
    <w:rsid w:val="007C39FA"/>
    <w:rsid w:val="00810FA7"/>
    <w:rsid w:val="00826AC8"/>
    <w:rsid w:val="00842FFD"/>
    <w:rsid w:val="0085315B"/>
    <w:rsid w:val="008634D3"/>
    <w:rsid w:val="0087713A"/>
    <w:rsid w:val="00891805"/>
    <w:rsid w:val="00893778"/>
    <w:rsid w:val="008A5888"/>
    <w:rsid w:val="008A618B"/>
    <w:rsid w:val="008A6D5E"/>
    <w:rsid w:val="008B146C"/>
    <w:rsid w:val="008B4F86"/>
    <w:rsid w:val="008C08E3"/>
    <w:rsid w:val="008F7785"/>
    <w:rsid w:val="00912DF9"/>
    <w:rsid w:val="00941626"/>
    <w:rsid w:val="00951A3E"/>
    <w:rsid w:val="0096669C"/>
    <w:rsid w:val="00977CC6"/>
    <w:rsid w:val="0098695E"/>
    <w:rsid w:val="009C32A8"/>
    <w:rsid w:val="009D7F1C"/>
    <w:rsid w:val="009E369F"/>
    <w:rsid w:val="009F3D9C"/>
    <w:rsid w:val="00A0674C"/>
    <w:rsid w:val="00A3796B"/>
    <w:rsid w:val="00A46ACB"/>
    <w:rsid w:val="00A669D1"/>
    <w:rsid w:val="00A7304D"/>
    <w:rsid w:val="00AA5A15"/>
    <w:rsid w:val="00AA7568"/>
    <w:rsid w:val="00AB2171"/>
    <w:rsid w:val="00AB6347"/>
    <w:rsid w:val="00AE22C8"/>
    <w:rsid w:val="00AF1049"/>
    <w:rsid w:val="00B01123"/>
    <w:rsid w:val="00B033DB"/>
    <w:rsid w:val="00B049D7"/>
    <w:rsid w:val="00B05119"/>
    <w:rsid w:val="00B15466"/>
    <w:rsid w:val="00B357D5"/>
    <w:rsid w:val="00B6005B"/>
    <w:rsid w:val="00B61F88"/>
    <w:rsid w:val="00B918C2"/>
    <w:rsid w:val="00B91E8D"/>
    <w:rsid w:val="00BA01B5"/>
    <w:rsid w:val="00BB6E6F"/>
    <w:rsid w:val="00BD4009"/>
    <w:rsid w:val="00BD649E"/>
    <w:rsid w:val="00BF0278"/>
    <w:rsid w:val="00C12626"/>
    <w:rsid w:val="00C600B3"/>
    <w:rsid w:val="00C835E0"/>
    <w:rsid w:val="00C862CD"/>
    <w:rsid w:val="00C86671"/>
    <w:rsid w:val="00CA487F"/>
    <w:rsid w:val="00CA6FC0"/>
    <w:rsid w:val="00CC6F94"/>
    <w:rsid w:val="00CD2AC3"/>
    <w:rsid w:val="00CE0734"/>
    <w:rsid w:val="00CE46B5"/>
    <w:rsid w:val="00D03056"/>
    <w:rsid w:val="00D12696"/>
    <w:rsid w:val="00D54631"/>
    <w:rsid w:val="00D94116"/>
    <w:rsid w:val="00DB6ABC"/>
    <w:rsid w:val="00DE6454"/>
    <w:rsid w:val="00DF1030"/>
    <w:rsid w:val="00E13548"/>
    <w:rsid w:val="00E26B33"/>
    <w:rsid w:val="00E30B2F"/>
    <w:rsid w:val="00E37705"/>
    <w:rsid w:val="00E41C54"/>
    <w:rsid w:val="00E513B8"/>
    <w:rsid w:val="00E740EE"/>
    <w:rsid w:val="00E9075B"/>
    <w:rsid w:val="00EA0D05"/>
    <w:rsid w:val="00EB7807"/>
    <w:rsid w:val="00EC68EA"/>
    <w:rsid w:val="00EE6441"/>
    <w:rsid w:val="00EF2B54"/>
    <w:rsid w:val="00EF797C"/>
    <w:rsid w:val="00EF7DFA"/>
    <w:rsid w:val="00F115C8"/>
    <w:rsid w:val="00F24D5A"/>
    <w:rsid w:val="00F32AB0"/>
    <w:rsid w:val="00FB3AE2"/>
    <w:rsid w:val="00FB7047"/>
    <w:rsid w:val="00FD4155"/>
    <w:rsid w:val="00FE1B39"/>
    <w:rsid w:val="00FE6694"/>
    <w:rsid w:val="00FF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36FE546"/>
  <w15:docId w15:val="{EB23236B-5587-4B94-B153-BF574629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3AE2"/>
    <w:pPr>
      <w:spacing w:line="240" w:lineRule="auto"/>
    </w:pPr>
  </w:style>
  <w:style w:type="paragraph" w:styleId="Heading2">
    <w:name w:val="heading 2"/>
    <w:basedOn w:val="Normal"/>
    <w:next w:val="Normal"/>
    <w:link w:val="Heading2Char"/>
    <w:uiPriority w:val="9"/>
    <w:semiHidden/>
    <w:unhideWhenUsed/>
    <w:rsid w:val="009D7F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2">
    <w:name w:val="Header2"/>
    <w:basedOn w:val="DefaultParagraphFont"/>
    <w:uiPriority w:val="1"/>
    <w:rsid w:val="009D7F1C"/>
    <w:rPr>
      <w:color w:val="76923C" w:themeColor="accent3" w:themeShade="BF"/>
      <w:sz w:val="24"/>
    </w:rPr>
  </w:style>
  <w:style w:type="paragraph" w:customStyle="1" w:styleId="Body1">
    <w:name w:val="Body1"/>
    <w:basedOn w:val="Normal"/>
    <w:rsid w:val="00DF1030"/>
    <w:pPr>
      <w:spacing w:after="120"/>
    </w:pPr>
    <w:rPr>
      <w:rFonts w:ascii="Century Gothic" w:hAnsi="Century Gothic"/>
      <w:color w:val="000000" w:themeColor="text1"/>
    </w:rPr>
  </w:style>
  <w:style w:type="table" w:styleId="TableGrid">
    <w:name w:val="Table Grid"/>
    <w:basedOn w:val="TableNormal"/>
    <w:uiPriority w:val="59"/>
    <w:rsid w:val="00FE6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5CD"/>
    <w:rPr>
      <w:color w:val="0000FF" w:themeColor="hyperlink"/>
      <w:u w:val="single"/>
    </w:rPr>
  </w:style>
  <w:style w:type="paragraph" w:styleId="Header">
    <w:name w:val="header"/>
    <w:basedOn w:val="Normal"/>
    <w:link w:val="HeaderChar"/>
    <w:uiPriority w:val="99"/>
    <w:unhideWhenUsed/>
    <w:rsid w:val="00C835E0"/>
    <w:pPr>
      <w:tabs>
        <w:tab w:val="center" w:pos="4680"/>
        <w:tab w:val="right" w:pos="9360"/>
      </w:tabs>
      <w:spacing w:after="0"/>
    </w:pPr>
  </w:style>
  <w:style w:type="character" w:customStyle="1" w:styleId="HeaderChar">
    <w:name w:val="Header Char"/>
    <w:basedOn w:val="DefaultParagraphFont"/>
    <w:link w:val="Header"/>
    <w:uiPriority w:val="99"/>
    <w:rsid w:val="00C835E0"/>
  </w:style>
  <w:style w:type="paragraph" w:styleId="ListParagraph">
    <w:name w:val="List Paragraph"/>
    <w:basedOn w:val="Normal"/>
    <w:link w:val="ListParagraphChar"/>
    <w:uiPriority w:val="34"/>
    <w:qFormat/>
    <w:rsid w:val="00C835E0"/>
    <w:pPr>
      <w:ind w:left="720"/>
      <w:contextualSpacing/>
    </w:pPr>
  </w:style>
  <w:style w:type="character" w:customStyle="1" w:styleId="apple-converted-space">
    <w:name w:val="apple-converted-space"/>
    <w:basedOn w:val="DefaultParagraphFont"/>
    <w:rsid w:val="00EE6441"/>
  </w:style>
  <w:style w:type="paragraph" w:styleId="Footer">
    <w:name w:val="footer"/>
    <w:basedOn w:val="Normal"/>
    <w:link w:val="FooterChar"/>
    <w:uiPriority w:val="99"/>
    <w:unhideWhenUsed/>
    <w:rsid w:val="00505DE6"/>
    <w:pPr>
      <w:tabs>
        <w:tab w:val="center" w:pos="4680"/>
        <w:tab w:val="right" w:pos="9360"/>
      </w:tabs>
      <w:spacing w:after="0"/>
    </w:pPr>
  </w:style>
  <w:style w:type="character" w:customStyle="1" w:styleId="FooterChar">
    <w:name w:val="Footer Char"/>
    <w:basedOn w:val="DefaultParagraphFont"/>
    <w:link w:val="Footer"/>
    <w:uiPriority w:val="99"/>
    <w:rsid w:val="00505DE6"/>
  </w:style>
  <w:style w:type="character" w:styleId="FollowedHyperlink">
    <w:name w:val="FollowedHyperlink"/>
    <w:basedOn w:val="DefaultParagraphFont"/>
    <w:uiPriority w:val="99"/>
    <w:semiHidden/>
    <w:unhideWhenUsed/>
    <w:rsid w:val="00B05119"/>
    <w:rPr>
      <w:color w:val="800080" w:themeColor="followedHyperlink"/>
      <w:u w:val="single"/>
    </w:rPr>
  </w:style>
  <w:style w:type="paragraph" w:customStyle="1" w:styleId="Titlestyle">
    <w:name w:val="Title style"/>
    <w:basedOn w:val="Normal"/>
    <w:next w:val="Sub-titlestyle"/>
    <w:link w:val="TitlestyleChar"/>
    <w:qFormat/>
    <w:rsid w:val="00C862CD"/>
    <w:pPr>
      <w:spacing w:after="0"/>
      <w:ind w:firstLine="1800"/>
    </w:pPr>
    <w:rPr>
      <w:rFonts w:ascii="Rockwell" w:hAnsi="Rockwell"/>
      <w:noProof/>
      <w:color w:val="7F7F7F" w:themeColor="text1" w:themeTint="80"/>
      <w:sz w:val="48"/>
      <w:szCs w:val="48"/>
    </w:rPr>
  </w:style>
  <w:style w:type="paragraph" w:customStyle="1" w:styleId="Sub-titlestyle">
    <w:name w:val="Sub-title style"/>
    <w:basedOn w:val="Titlestyle"/>
    <w:next w:val="Header1style"/>
    <w:link w:val="Sub-titlestyleChar"/>
    <w:qFormat/>
    <w:rsid w:val="00C862CD"/>
    <w:rPr>
      <w:color w:val="0070C0"/>
      <w:sz w:val="36"/>
      <w:szCs w:val="36"/>
    </w:rPr>
  </w:style>
  <w:style w:type="character" w:customStyle="1" w:styleId="TitlestyleChar">
    <w:name w:val="Title style Char"/>
    <w:basedOn w:val="DefaultParagraphFont"/>
    <w:link w:val="Titlestyle"/>
    <w:rsid w:val="00C862CD"/>
    <w:rPr>
      <w:rFonts w:ascii="Rockwell" w:hAnsi="Rockwell"/>
      <w:noProof/>
      <w:color w:val="7F7F7F" w:themeColor="text1" w:themeTint="80"/>
      <w:sz w:val="48"/>
      <w:szCs w:val="48"/>
    </w:rPr>
  </w:style>
  <w:style w:type="paragraph" w:customStyle="1" w:styleId="Header1style">
    <w:name w:val="Header 1 style"/>
    <w:basedOn w:val="Normal"/>
    <w:next w:val="Normal1style"/>
    <w:link w:val="Header1styleChar"/>
    <w:qFormat/>
    <w:rsid w:val="00C862CD"/>
    <w:pPr>
      <w:spacing w:before="240" w:after="0"/>
    </w:pPr>
    <w:rPr>
      <w:rFonts w:ascii="Rockwell" w:hAnsi="Rockwell"/>
      <w:b/>
      <w:color w:val="0070C0"/>
      <w:sz w:val="28"/>
      <w:szCs w:val="28"/>
    </w:rPr>
  </w:style>
  <w:style w:type="character" w:customStyle="1" w:styleId="Sub-titlestyleChar">
    <w:name w:val="Sub-title style Char"/>
    <w:basedOn w:val="DefaultParagraphFont"/>
    <w:link w:val="Sub-titlestyle"/>
    <w:rsid w:val="00C862CD"/>
    <w:rPr>
      <w:rFonts w:ascii="Rockwell" w:hAnsi="Rockwell"/>
      <w:noProof/>
      <w:color w:val="0070C0"/>
      <w:sz w:val="36"/>
      <w:szCs w:val="36"/>
    </w:rPr>
  </w:style>
  <w:style w:type="paragraph" w:customStyle="1" w:styleId="Header2style">
    <w:name w:val="Header 2 style"/>
    <w:basedOn w:val="Heading2"/>
    <w:next w:val="Normal2style"/>
    <w:link w:val="Header2styleChar"/>
    <w:qFormat/>
    <w:rsid w:val="00C862CD"/>
    <w:pPr>
      <w:spacing w:before="240"/>
      <w:ind w:left="360"/>
    </w:pPr>
    <w:rPr>
      <w:rFonts w:ascii="Rockwell" w:hAnsi="Rockwell"/>
      <w:color w:val="9BBB59" w:themeColor="accent3"/>
      <w:sz w:val="24"/>
    </w:rPr>
  </w:style>
  <w:style w:type="character" w:customStyle="1" w:styleId="Header1styleChar">
    <w:name w:val="Header 1 style Char"/>
    <w:basedOn w:val="DefaultParagraphFont"/>
    <w:link w:val="Header1style"/>
    <w:rsid w:val="00C862CD"/>
    <w:rPr>
      <w:rFonts w:ascii="Rockwell" w:hAnsi="Rockwell"/>
      <w:b/>
      <w:color w:val="0070C0"/>
      <w:sz w:val="28"/>
      <w:szCs w:val="28"/>
    </w:rPr>
  </w:style>
  <w:style w:type="paragraph" w:customStyle="1" w:styleId="Normal1style">
    <w:name w:val="Normal 1 style"/>
    <w:basedOn w:val="Normal"/>
    <w:link w:val="Normal1styleChar"/>
    <w:qFormat/>
    <w:rsid w:val="00C862CD"/>
    <w:pPr>
      <w:spacing w:after="0"/>
      <w:contextualSpacing/>
    </w:pPr>
    <w:rPr>
      <w:rFonts w:ascii="Calibri" w:hAnsi="Calibri"/>
    </w:rPr>
  </w:style>
  <w:style w:type="character" w:customStyle="1" w:styleId="Header2styleChar">
    <w:name w:val="Header 2 style Char"/>
    <w:basedOn w:val="DefaultParagraphFont"/>
    <w:link w:val="Header2style"/>
    <w:rsid w:val="00C862CD"/>
    <w:rPr>
      <w:rFonts w:ascii="Rockwell" w:eastAsiaTheme="majorEastAsia" w:hAnsi="Rockwell" w:cstheme="majorBidi"/>
      <w:b/>
      <w:bCs/>
      <w:color w:val="9BBB59" w:themeColor="accent3"/>
      <w:sz w:val="24"/>
      <w:szCs w:val="26"/>
    </w:rPr>
  </w:style>
  <w:style w:type="paragraph" w:customStyle="1" w:styleId="Bulletstyle">
    <w:name w:val="Bullet style"/>
    <w:basedOn w:val="ListParagraph"/>
    <w:link w:val="BulletstyleChar"/>
    <w:qFormat/>
    <w:rsid w:val="00C862CD"/>
    <w:pPr>
      <w:numPr>
        <w:numId w:val="18"/>
      </w:numPr>
      <w:spacing w:after="0"/>
    </w:pPr>
    <w:rPr>
      <w:rFonts w:ascii="Calibri" w:hAnsi="Calibri"/>
      <w:color w:val="000000"/>
    </w:rPr>
  </w:style>
  <w:style w:type="character" w:customStyle="1" w:styleId="Normal1styleChar">
    <w:name w:val="Normal 1 style Char"/>
    <w:basedOn w:val="DefaultParagraphFont"/>
    <w:link w:val="Normal1style"/>
    <w:rsid w:val="00C862CD"/>
    <w:rPr>
      <w:rFonts w:ascii="Calibri" w:hAnsi="Calibri"/>
    </w:rPr>
  </w:style>
  <w:style w:type="paragraph" w:customStyle="1" w:styleId="Numberedstyle">
    <w:name w:val="Numbered style"/>
    <w:basedOn w:val="Normal"/>
    <w:link w:val="NumberedstyleChar"/>
    <w:rsid w:val="00083AE2"/>
    <w:pPr>
      <w:numPr>
        <w:numId w:val="7"/>
      </w:numPr>
      <w:overflowPunct w:val="0"/>
      <w:autoSpaceDE w:val="0"/>
      <w:autoSpaceDN w:val="0"/>
      <w:adjustRightInd w:val="0"/>
      <w:spacing w:after="0"/>
      <w:contextualSpacing/>
      <w:textAlignment w:val="baseline"/>
    </w:pPr>
    <w:rPr>
      <w:rFonts w:ascii="Century Gothic" w:hAnsi="Century Gothic"/>
    </w:rPr>
  </w:style>
  <w:style w:type="character" w:customStyle="1" w:styleId="ListParagraphChar">
    <w:name w:val="List Paragraph Char"/>
    <w:basedOn w:val="DefaultParagraphFont"/>
    <w:link w:val="ListParagraph"/>
    <w:uiPriority w:val="34"/>
    <w:rsid w:val="00B6005B"/>
  </w:style>
  <w:style w:type="character" w:customStyle="1" w:styleId="BulletstyleChar">
    <w:name w:val="Bullet style Char"/>
    <w:basedOn w:val="ListParagraphChar"/>
    <w:link w:val="Bulletstyle"/>
    <w:rsid w:val="00C862CD"/>
    <w:rPr>
      <w:rFonts w:ascii="Calibri" w:hAnsi="Calibri"/>
      <w:color w:val="000000"/>
    </w:rPr>
  </w:style>
  <w:style w:type="character" w:customStyle="1" w:styleId="NumberedstyleChar">
    <w:name w:val="Numbered style Char"/>
    <w:basedOn w:val="DefaultParagraphFont"/>
    <w:link w:val="Numberedstyle"/>
    <w:rsid w:val="00083AE2"/>
    <w:rPr>
      <w:rFonts w:ascii="Century Gothic" w:hAnsi="Century Gothic"/>
    </w:rPr>
  </w:style>
  <w:style w:type="character" w:customStyle="1" w:styleId="Heading2Char">
    <w:name w:val="Heading 2 Char"/>
    <w:basedOn w:val="DefaultParagraphFont"/>
    <w:link w:val="Heading2"/>
    <w:uiPriority w:val="9"/>
    <w:semiHidden/>
    <w:rsid w:val="009D7F1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2074B"/>
    <w:rPr>
      <w:sz w:val="16"/>
      <w:szCs w:val="16"/>
    </w:rPr>
  </w:style>
  <w:style w:type="paragraph" w:styleId="CommentText">
    <w:name w:val="annotation text"/>
    <w:basedOn w:val="Normal"/>
    <w:link w:val="CommentTextChar"/>
    <w:uiPriority w:val="99"/>
    <w:semiHidden/>
    <w:unhideWhenUsed/>
    <w:rsid w:val="0032074B"/>
    <w:rPr>
      <w:sz w:val="20"/>
      <w:szCs w:val="20"/>
    </w:rPr>
  </w:style>
  <w:style w:type="character" w:customStyle="1" w:styleId="CommentTextChar">
    <w:name w:val="Comment Text Char"/>
    <w:basedOn w:val="DefaultParagraphFont"/>
    <w:link w:val="CommentText"/>
    <w:uiPriority w:val="99"/>
    <w:semiHidden/>
    <w:rsid w:val="0032074B"/>
    <w:rPr>
      <w:sz w:val="20"/>
      <w:szCs w:val="20"/>
    </w:rPr>
  </w:style>
  <w:style w:type="paragraph" w:styleId="CommentSubject">
    <w:name w:val="annotation subject"/>
    <w:basedOn w:val="CommentText"/>
    <w:next w:val="CommentText"/>
    <w:link w:val="CommentSubjectChar"/>
    <w:uiPriority w:val="99"/>
    <w:semiHidden/>
    <w:unhideWhenUsed/>
    <w:rsid w:val="0032074B"/>
    <w:rPr>
      <w:b/>
      <w:bCs/>
    </w:rPr>
  </w:style>
  <w:style w:type="character" w:customStyle="1" w:styleId="CommentSubjectChar">
    <w:name w:val="Comment Subject Char"/>
    <w:basedOn w:val="CommentTextChar"/>
    <w:link w:val="CommentSubject"/>
    <w:uiPriority w:val="99"/>
    <w:semiHidden/>
    <w:rsid w:val="0032074B"/>
    <w:rPr>
      <w:b/>
      <w:bCs/>
      <w:sz w:val="20"/>
      <w:szCs w:val="20"/>
    </w:rPr>
  </w:style>
  <w:style w:type="paragraph" w:styleId="BalloonText">
    <w:name w:val="Balloon Text"/>
    <w:basedOn w:val="Normal"/>
    <w:link w:val="BalloonTextChar"/>
    <w:uiPriority w:val="99"/>
    <w:semiHidden/>
    <w:unhideWhenUsed/>
    <w:rsid w:val="003207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4B"/>
    <w:rPr>
      <w:rFonts w:ascii="Tahoma" w:hAnsi="Tahoma" w:cs="Tahoma"/>
      <w:sz w:val="16"/>
      <w:szCs w:val="16"/>
    </w:rPr>
  </w:style>
  <w:style w:type="paragraph" w:customStyle="1" w:styleId="Normal2style">
    <w:name w:val="Normal 2 style"/>
    <w:basedOn w:val="Normal1style"/>
    <w:link w:val="Normal2styleChar"/>
    <w:qFormat/>
    <w:rsid w:val="00C862CD"/>
    <w:pPr>
      <w:ind w:left="360"/>
    </w:pPr>
  </w:style>
  <w:style w:type="character" w:customStyle="1" w:styleId="Normal2styleChar">
    <w:name w:val="Normal 2 style Char"/>
    <w:basedOn w:val="Normal1styleChar"/>
    <w:link w:val="Normal2style"/>
    <w:rsid w:val="00C862CD"/>
    <w:rPr>
      <w:rFonts w:ascii="Calibri" w:hAnsi="Calibri"/>
    </w:rPr>
  </w:style>
  <w:style w:type="paragraph" w:customStyle="1" w:styleId="Header3style">
    <w:name w:val="Header 3 style"/>
    <w:basedOn w:val="Normal2style"/>
    <w:next w:val="Normal2style"/>
    <w:link w:val="Header3styleChar"/>
    <w:qFormat/>
    <w:rsid w:val="00C862CD"/>
    <w:pPr>
      <w:spacing w:before="240"/>
    </w:pPr>
    <w:rPr>
      <w:rFonts w:ascii="Rockwell" w:hAnsi="Rockwell"/>
      <w:b/>
      <w:color w:val="7F7F7F" w:themeColor="text1" w:themeTint="80"/>
    </w:rPr>
  </w:style>
  <w:style w:type="character" w:customStyle="1" w:styleId="Header3styleChar">
    <w:name w:val="Header 3 style Char"/>
    <w:basedOn w:val="Normal2styleChar"/>
    <w:link w:val="Header3style"/>
    <w:rsid w:val="00C862CD"/>
    <w:rPr>
      <w:rFonts w:ascii="Rockwell" w:hAnsi="Rockwell"/>
      <w:b/>
      <w:color w:val="7F7F7F" w:themeColor="text1" w:themeTint="80"/>
    </w:rPr>
  </w:style>
  <w:style w:type="paragraph" w:styleId="FootnoteText">
    <w:name w:val="footnote text"/>
    <w:basedOn w:val="Normal"/>
    <w:link w:val="FootnoteTextChar"/>
    <w:uiPriority w:val="99"/>
    <w:semiHidden/>
    <w:rsid w:val="00912DF9"/>
    <w:pPr>
      <w:spacing w:after="0"/>
    </w:pPr>
    <w:rPr>
      <w:rFonts w:eastAsia="Times New Roman" w:cs="Times New Roman"/>
      <w:color w:val="000000"/>
      <w:sz w:val="20"/>
      <w:szCs w:val="20"/>
    </w:rPr>
  </w:style>
  <w:style w:type="character" w:customStyle="1" w:styleId="FootnoteTextChar">
    <w:name w:val="Footnote Text Char"/>
    <w:basedOn w:val="DefaultParagraphFont"/>
    <w:link w:val="FootnoteText"/>
    <w:uiPriority w:val="99"/>
    <w:semiHidden/>
    <w:rsid w:val="00912DF9"/>
    <w:rPr>
      <w:rFonts w:eastAsia="Times New Roman" w:cs="Times New Roman"/>
      <w:color w:val="000000"/>
      <w:sz w:val="20"/>
      <w:szCs w:val="20"/>
    </w:rPr>
  </w:style>
  <w:style w:type="character" w:styleId="FootnoteReference">
    <w:name w:val="footnote reference"/>
    <w:basedOn w:val="DefaultParagraphFont"/>
    <w:uiPriority w:val="99"/>
    <w:semiHidden/>
    <w:rsid w:val="00912DF9"/>
    <w:rPr>
      <w:vertAlign w:val="superscript"/>
    </w:rPr>
  </w:style>
  <w:style w:type="paragraph" w:customStyle="1" w:styleId="TableParagraph">
    <w:name w:val="Table Paragraph"/>
    <w:basedOn w:val="Normal"/>
    <w:uiPriority w:val="1"/>
    <w:qFormat/>
    <w:rsid w:val="00912DF9"/>
    <w:pPr>
      <w:widowControl w:val="0"/>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53764">
      <w:bodyDiv w:val="1"/>
      <w:marLeft w:val="0"/>
      <w:marRight w:val="0"/>
      <w:marTop w:val="0"/>
      <w:marBottom w:val="0"/>
      <w:divBdr>
        <w:top w:val="none" w:sz="0" w:space="0" w:color="auto"/>
        <w:left w:val="none" w:sz="0" w:space="0" w:color="auto"/>
        <w:bottom w:val="none" w:sz="0" w:space="0" w:color="auto"/>
        <w:right w:val="none" w:sz="0" w:space="0" w:color="auto"/>
      </w:divBdr>
    </w:div>
    <w:div w:id="365523591">
      <w:bodyDiv w:val="1"/>
      <w:marLeft w:val="0"/>
      <w:marRight w:val="0"/>
      <w:marTop w:val="0"/>
      <w:marBottom w:val="0"/>
      <w:divBdr>
        <w:top w:val="none" w:sz="0" w:space="0" w:color="auto"/>
        <w:left w:val="none" w:sz="0" w:space="0" w:color="auto"/>
        <w:bottom w:val="none" w:sz="0" w:space="0" w:color="auto"/>
        <w:right w:val="none" w:sz="0" w:space="0" w:color="auto"/>
      </w:divBdr>
    </w:div>
    <w:div w:id="1161195913">
      <w:bodyDiv w:val="1"/>
      <w:marLeft w:val="0"/>
      <w:marRight w:val="0"/>
      <w:marTop w:val="0"/>
      <w:marBottom w:val="0"/>
      <w:divBdr>
        <w:top w:val="none" w:sz="0" w:space="0" w:color="auto"/>
        <w:left w:val="none" w:sz="0" w:space="0" w:color="auto"/>
        <w:bottom w:val="none" w:sz="0" w:space="0" w:color="auto"/>
        <w:right w:val="none" w:sz="0" w:space="0" w:color="auto"/>
      </w:divBdr>
    </w:div>
    <w:div w:id="1235432928">
      <w:bodyDiv w:val="1"/>
      <w:marLeft w:val="0"/>
      <w:marRight w:val="0"/>
      <w:marTop w:val="0"/>
      <w:marBottom w:val="0"/>
      <w:divBdr>
        <w:top w:val="none" w:sz="0" w:space="0" w:color="auto"/>
        <w:left w:val="none" w:sz="0" w:space="0" w:color="auto"/>
        <w:bottom w:val="none" w:sz="0" w:space="0" w:color="auto"/>
        <w:right w:val="none" w:sz="0" w:space="0" w:color="auto"/>
      </w:divBdr>
    </w:div>
    <w:div w:id="19651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logy.wa.gov/Regulations-Permits/Guidance-technical-assistance/Stormwater-permittee-guidance-resources/Low-Impact-Development-guid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tress.wa.gov/ecy/wrx/wrx/fsvr/ecylcyfsvrxfile/WaterRights/wrwebpdf/essb6091-dpew-map.pdf" TargetMode="External"/><Relationship Id="rId17" Type="http://schemas.openxmlformats.org/officeDocument/2006/relationships/hyperlink" Target="mailto:carrie.sessions@ecy.wa.gov" TargetMode="External"/><Relationship Id="rId2" Type="http://schemas.openxmlformats.org/officeDocument/2006/relationships/customXml" Target="../customXml/item2.xml"/><Relationship Id="rId16" Type="http://schemas.openxmlformats.org/officeDocument/2006/relationships/hyperlink" Target="mailto:dave.christensen@ecy.w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s.ecology.commentinput.com/?id=mkpSi"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13ca7600-3bff-434a-a5d1-dfd04fb39ad7">Templates</Category>
    <Lead_x0020_Person xmlns="13ca7600-3bff-434a-a5d1-dfd04fb39ad7">
      <UserInfo>
        <DisplayName>Terpening, Dustin (ECY)</DisplayName>
        <AccountId>1572</AccountId>
        <AccountType/>
      </UserInfo>
    </Lead_x0020_Person>
    <Program xmlns="13ca7600-3bff-434a-a5d1-dfd04fb39ad7" xsi:nil="true"/>
    <Archived xmlns="13ca7600-3bff-434a-a5d1-dfd04fb39ad7">false</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10CB2479D91A4792A1A99B37BFEC01" ma:contentTypeVersion="4" ma:contentTypeDescription="Create a new document." ma:contentTypeScope="" ma:versionID="b380e2acc7917f2f837cdf46e6d6b619">
  <xsd:schema xmlns:xsd="http://www.w3.org/2001/XMLSchema" xmlns:xs="http://www.w3.org/2001/XMLSchema" xmlns:p="http://schemas.microsoft.com/office/2006/metadata/properties" xmlns:ns2="13ca7600-3bff-434a-a5d1-dfd04fb39ad7" targetNamespace="http://schemas.microsoft.com/office/2006/metadata/properties" ma:root="true" ma:fieldsID="294c9424800082d8b2a7c761590199a7" ns2:_="">
    <xsd:import namespace="13ca7600-3bff-434a-a5d1-dfd04fb39ad7"/>
    <xsd:element name="properties">
      <xsd:complexType>
        <xsd:sequence>
          <xsd:element name="documentManagement">
            <xsd:complexType>
              <xsd:all>
                <xsd:element ref="ns2:Category"/>
                <xsd:element ref="ns2:Archived" minOccurs="0"/>
                <xsd:element ref="ns2:Program" minOccurs="0"/>
                <xsd:element ref="ns2:Lead_x0020_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a7600-3bff-434a-a5d1-dfd04fb39ad7"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Contact List - team"/>
          <xsd:enumeration value="Historical Reference"/>
          <xsd:enumeration value="Instruction Sets"/>
          <xsd:enumeration value="Issues Information"/>
          <xsd:enumeration value="Newspaper Subscriptions"/>
          <xsd:enumeration value="Trainings, tips, and tricks"/>
          <xsd:enumeration value="Org Chart"/>
          <xsd:enumeration value="Presentations"/>
          <xsd:enumeration value="Program Resources"/>
          <xsd:enumeration value="Sample Communication Plans"/>
          <xsd:enumeration value="Templates"/>
          <xsd:enumeration value="Webinars"/>
        </xsd:restriction>
      </xsd:simpleType>
    </xsd:element>
    <xsd:element name="Archived" ma:index="9" nillable="true" ma:displayName="Archived" ma:default="0" ma:internalName="Archived">
      <xsd:simpleType>
        <xsd:restriction base="dms:Boolean"/>
      </xsd:simpleType>
    </xsd:element>
    <xsd:element name="Program" ma:index="10" nillable="true" ma:displayName="Program" ma:format="Dropdown" ma:internalName="Program">
      <xsd:simpleType>
        <xsd:restriction base="dms:Choice">
          <xsd:enumeration value="Air Quality Program"/>
          <xsd:enumeration value="Environmental Assessment Program"/>
          <xsd:enumeration value="Hazardous Waste &amp; Toxics Reduction Program"/>
          <xsd:enumeration value="Nuclear Waste Program"/>
          <xsd:enumeration value="Shorelands &amp; Environmental Assistance Program"/>
          <xsd:enumeration value="Spill Prevention, Preparedness, &amp; Response Program"/>
          <xsd:enumeration value="Toxics Cleanup Program"/>
          <xsd:enumeration value="Waste 2 Resources Program"/>
          <xsd:enumeration value="Water Quality Program"/>
          <xsd:enumeration value="Water Resources Program"/>
          <xsd:enumeration value="Regional Office - Central"/>
          <xsd:enumeration value="Regional Office - Eastern"/>
          <xsd:enumeration value="Regional Office - Northwest"/>
          <xsd:enumeration value="Regional Office - Southwest"/>
          <xsd:enumeration value="Office of Columbia River"/>
        </xsd:restriction>
      </xsd:simpleType>
    </xsd:element>
    <xsd:element name="Lead_x0020_Person" ma:index="11" nillable="true" ma:displayName="Lead Person" ma:list="UserInfo" ma:SharePointGroup="0" ma:internalName="Lead_x0020_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2354-A4A2-454E-8AA9-CCB7F8309D90}">
  <ds:schemaRefs>
    <ds:schemaRef ds:uri="http://purl.org/dc/terms/"/>
    <ds:schemaRef ds:uri="http://schemas.openxmlformats.org/package/2006/metadata/core-properties"/>
    <ds:schemaRef ds:uri="http://schemas.microsoft.com/office/2006/documentManagement/types"/>
    <ds:schemaRef ds:uri="13ca7600-3bff-434a-a5d1-dfd04fb39ad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DD182A9-EE28-4DEC-93BE-63837806FD1E}">
  <ds:schemaRefs>
    <ds:schemaRef ds:uri="http://schemas.microsoft.com/sharepoint/v3/contenttype/forms"/>
  </ds:schemaRefs>
</ds:datastoreItem>
</file>

<file path=customXml/itemProps3.xml><?xml version="1.0" encoding="utf-8"?>
<ds:datastoreItem xmlns:ds="http://schemas.openxmlformats.org/officeDocument/2006/customXml" ds:itemID="{588DE854-194F-49CF-92F2-905D37455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a7600-3bff-434a-a5d1-dfd04fb39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47114-8057-4BD1-9E12-61F51570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2016 Communication Plan template - 1-pager</vt:lpstr>
    </vt:vector>
  </TitlesOfParts>
  <Company>WA Department of Ecology</Company>
  <LinksUpToDate>false</LinksUpToDate>
  <CharactersWithSpaces>10694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Communication Plan template - 1-pager</dc:title>
  <dc:creator>cast461</dc:creator>
  <cp:lastModifiedBy>Dexel, Michael (DOH)</cp:lastModifiedBy>
  <cp:revision>4</cp:revision>
  <cp:lastPrinted>2018-01-30T00:56:00Z</cp:lastPrinted>
  <dcterms:created xsi:type="dcterms:W3CDTF">2018-02-13T18:30:00Z</dcterms:created>
  <dcterms:modified xsi:type="dcterms:W3CDTF">2018-02-13T18:30:00Z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0x0101004710CB2479D91A4792A1A99B37BFEC01</vt:lpwstr>
  </property>
  <property fmtid="{D5CDD505-2E9C-101B-9397-08002B2CF9AE}" pid="3" name="Workgroup">
    <vt:lpwstr>--</vt:lpwstr>
  </property>
  <property fmtid="{D5CDD505-2E9C-101B-9397-08002B2CF9AE}" pid="4" name="Order">
    <vt:r8>9500</vt:r8>
  </property>
</Properties>
</file>