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AB1723" w14:textId="77777777" w:rsidR="00936E5E" w:rsidRDefault="002008DC">
      <w:pPr>
        <w:pBdr>
          <w:top w:val="nil"/>
          <w:left w:val="nil"/>
          <w:bottom w:val="nil"/>
          <w:right w:val="nil"/>
          <w:between w:val="nil"/>
        </w:pBdr>
        <w:rPr>
          <w:rFonts w:ascii="Open Sans" w:eastAsia="Open Sans" w:hAnsi="Open Sans" w:cs="Open Sans"/>
          <w:color w:val="333333"/>
          <w:sz w:val="20"/>
          <w:szCs w:val="20"/>
          <w:highlight w:val="white"/>
        </w:rPr>
      </w:pPr>
      <w:r>
        <w:rPr>
          <w:rFonts w:ascii="Open Sans" w:eastAsia="Open Sans" w:hAnsi="Open Sans" w:cs="Open Sans"/>
          <w:sz w:val="20"/>
          <w:szCs w:val="20"/>
        </w:rPr>
        <w:br/>
        <w:t xml:space="preserve">To: </w:t>
      </w:r>
      <w:r>
        <w:rPr>
          <w:rFonts w:ascii="Open Sans" w:eastAsia="Open Sans" w:hAnsi="Open Sans" w:cs="Open Sans"/>
          <w:color w:val="333333"/>
          <w:sz w:val="20"/>
          <w:szCs w:val="20"/>
          <w:highlight w:val="white"/>
        </w:rPr>
        <w:t>Rich Doenges</w:t>
      </w:r>
    </w:p>
    <w:p w14:paraId="4BA39F89" w14:textId="77777777" w:rsidR="00936E5E" w:rsidRDefault="002008DC">
      <w:pPr>
        <w:pBdr>
          <w:top w:val="nil"/>
          <w:left w:val="nil"/>
          <w:bottom w:val="nil"/>
          <w:right w:val="nil"/>
          <w:between w:val="nil"/>
        </w:pBdr>
        <w:rPr>
          <w:rFonts w:ascii="Open Sans" w:eastAsia="Open Sans" w:hAnsi="Open Sans" w:cs="Open Sans"/>
          <w:color w:val="333333"/>
          <w:sz w:val="20"/>
          <w:szCs w:val="20"/>
          <w:highlight w:val="white"/>
        </w:rPr>
      </w:pPr>
      <w:r>
        <w:rPr>
          <w:rFonts w:ascii="Open Sans" w:eastAsia="Open Sans" w:hAnsi="Open Sans" w:cs="Open Sans"/>
          <w:color w:val="333333"/>
          <w:sz w:val="20"/>
          <w:szCs w:val="20"/>
          <w:highlight w:val="white"/>
        </w:rPr>
        <w:t>Washington State Department of Ecology</w:t>
      </w:r>
    </w:p>
    <w:p w14:paraId="5F2C347E" w14:textId="77777777" w:rsidR="00936E5E" w:rsidRDefault="002008DC">
      <w:pPr>
        <w:pBdr>
          <w:top w:val="nil"/>
          <w:left w:val="nil"/>
          <w:bottom w:val="nil"/>
          <w:right w:val="nil"/>
          <w:between w:val="nil"/>
        </w:pBdr>
        <w:rPr>
          <w:rFonts w:ascii="Open Sans" w:eastAsia="Open Sans" w:hAnsi="Open Sans" w:cs="Open Sans"/>
          <w:color w:val="333333"/>
          <w:sz w:val="20"/>
          <w:szCs w:val="20"/>
          <w:highlight w:val="white"/>
        </w:rPr>
      </w:pPr>
      <w:r>
        <w:rPr>
          <w:rFonts w:ascii="Open Sans" w:eastAsia="Open Sans" w:hAnsi="Open Sans" w:cs="Open Sans"/>
          <w:color w:val="333333"/>
          <w:sz w:val="20"/>
          <w:szCs w:val="20"/>
          <w:highlight w:val="white"/>
        </w:rPr>
        <w:t>PO Box 47600</w:t>
      </w:r>
    </w:p>
    <w:p w14:paraId="3DE6AAED" w14:textId="77777777" w:rsidR="00936E5E" w:rsidRDefault="002008DC">
      <w:pPr>
        <w:pBdr>
          <w:top w:val="nil"/>
          <w:left w:val="nil"/>
          <w:bottom w:val="nil"/>
          <w:right w:val="nil"/>
          <w:between w:val="nil"/>
        </w:pBdr>
        <w:rPr>
          <w:rFonts w:ascii="Open Sans" w:eastAsia="Open Sans" w:hAnsi="Open Sans" w:cs="Open Sans"/>
          <w:color w:val="999999"/>
          <w:sz w:val="20"/>
          <w:szCs w:val="20"/>
        </w:rPr>
      </w:pPr>
      <w:r>
        <w:rPr>
          <w:rFonts w:ascii="Open Sans" w:eastAsia="Open Sans" w:hAnsi="Open Sans" w:cs="Open Sans"/>
          <w:color w:val="333333"/>
          <w:sz w:val="20"/>
          <w:szCs w:val="20"/>
          <w:highlight w:val="white"/>
        </w:rPr>
        <w:t>Olympia, WA 98504</w:t>
      </w:r>
    </w:p>
    <w:p w14:paraId="5538282E" w14:textId="77777777" w:rsidR="00936E5E" w:rsidRDefault="002008DC">
      <w:pPr>
        <w:rPr>
          <w:rFonts w:ascii="Open Sans" w:eastAsia="Open Sans" w:hAnsi="Open Sans" w:cs="Open Sans"/>
          <w:color w:val="999999"/>
          <w:sz w:val="20"/>
          <w:szCs w:val="20"/>
        </w:rPr>
      </w:pPr>
      <w:r>
        <w:rPr>
          <w:rFonts w:ascii="Open Sans" w:eastAsia="Open Sans" w:hAnsi="Open Sans" w:cs="Open Sans"/>
          <w:sz w:val="20"/>
          <w:szCs w:val="20"/>
        </w:rPr>
        <w:t>Submitted online via online form: http://ws.ecology.commentinput.com/?id=7kdj4</w:t>
      </w:r>
    </w:p>
    <w:p w14:paraId="666A3DA2" w14:textId="77777777" w:rsidR="00936E5E" w:rsidRDefault="00936E5E">
      <w:pPr>
        <w:pBdr>
          <w:top w:val="nil"/>
          <w:left w:val="nil"/>
          <w:bottom w:val="nil"/>
          <w:right w:val="nil"/>
          <w:between w:val="nil"/>
        </w:pBdr>
        <w:rPr>
          <w:rFonts w:ascii="Open Sans" w:eastAsia="Open Sans" w:hAnsi="Open Sans" w:cs="Open Sans"/>
        </w:rPr>
      </w:pPr>
    </w:p>
    <w:p w14:paraId="14CB504A" w14:textId="77777777" w:rsidR="00936E5E" w:rsidRDefault="002008DC">
      <w:pPr>
        <w:pBdr>
          <w:top w:val="nil"/>
          <w:left w:val="nil"/>
          <w:bottom w:val="nil"/>
          <w:right w:val="nil"/>
          <w:between w:val="nil"/>
        </w:pBdr>
        <w:jc w:val="right"/>
        <w:rPr>
          <w:rFonts w:ascii="Open Sans" w:eastAsia="Open Sans" w:hAnsi="Open Sans" w:cs="Open Sans"/>
        </w:rPr>
      </w:pPr>
      <w:r>
        <w:rPr>
          <w:rFonts w:ascii="Open Sans" w:eastAsia="Open Sans" w:hAnsi="Open Sans" w:cs="Open Sans"/>
        </w:rPr>
        <w:t xml:space="preserve"> February 25, 2019</w:t>
      </w:r>
    </w:p>
    <w:p w14:paraId="56D3D197" w14:textId="77777777" w:rsidR="00936E5E" w:rsidRDefault="002008DC">
      <w:pPr>
        <w:pBdr>
          <w:top w:val="nil"/>
          <w:left w:val="nil"/>
          <w:bottom w:val="nil"/>
          <w:right w:val="nil"/>
          <w:between w:val="nil"/>
        </w:pBdr>
        <w:rPr>
          <w:rFonts w:ascii="Open Sans" w:eastAsia="Open Sans" w:hAnsi="Open Sans" w:cs="Open Sans"/>
          <w:b/>
        </w:rPr>
      </w:pPr>
      <w:r>
        <w:rPr>
          <w:rFonts w:ascii="Open Sans" w:eastAsia="Open Sans" w:hAnsi="Open Sans" w:cs="Open Sans"/>
          <w:b/>
        </w:rPr>
        <w:t>RE: Atlantic Salmon Net Pen Updated Water Quality Individual Permits</w:t>
      </w:r>
    </w:p>
    <w:p w14:paraId="171C7C3A"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14:paraId="3AD685E7"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Dear Rich Doenges,</w:t>
      </w:r>
    </w:p>
    <w:p w14:paraId="52DBB7AC" w14:textId="77777777" w:rsidR="00936E5E" w:rsidRDefault="00936E5E">
      <w:pPr>
        <w:pBdr>
          <w:top w:val="nil"/>
          <w:left w:val="nil"/>
          <w:bottom w:val="nil"/>
          <w:right w:val="nil"/>
          <w:between w:val="nil"/>
        </w:pBdr>
        <w:rPr>
          <w:rFonts w:ascii="Open Sans" w:eastAsia="Open Sans" w:hAnsi="Open Sans" w:cs="Open Sans"/>
        </w:rPr>
      </w:pPr>
    </w:p>
    <w:p w14:paraId="522229A2"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Thank you for taking the time to consider our comment on the updates to the individual Atlantic salmon net pen water quality permits. While these 4 net pens are scheduled to phase out in our state by 2022, it is important to still pr</w:t>
      </w:r>
      <w:r>
        <w:rPr>
          <w:rFonts w:ascii="Open Sans" w:eastAsia="Open Sans" w:hAnsi="Open Sans" w:cs="Open Sans"/>
        </w:rPr>
        <w:t xml:space="preserve">otect water quality and to ensure that no further damages are caused by these operations. </w:t>
      </w:r>
    </w:p>
    <w:p w14:paraId="03A41820" w14:textId="77777777" w:rsidR="00936E5E" w:rsidRDefault="00936E5E">
      <w:pPr>
        <w:pBdr>
          <w:top w:val="nil"/>
          <w:left w:val="nil"/>
          <w:bottom w:val="nil"/>
          <w:right w:val="nil"/>
          <w:between w:val="nil"/>
        </w:pBdr>
        <w:rPr>
          <w:rFonts w:ascii="Open Sans" w:eastAsia="Open Sans" w:hAnsi="Open Sans" w:cs="Open Sans"/>
        </w:rPr>
      </w:pPr>
    </w:p>
    <w:p w14:paraId="493E4929"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RE Sources for Sustainable Communities is a local organization in northwest Washington, founded in 1982. RE Sources works to build sustainable communities and prote</w:t>
      </w:r>
      <w:r>
        <w:rPr>
          <w:rFonts w:ascii="Open Sans" w:eastAsia="Open Sans" w:hAnsi="Open Sans" w:cs="Open Sans"/>
        </w:rPr>
        <w:t xml:space="preserve">ct the health of northwest Washington's people and ecosystems through the application of science, education, advocacy, and action. Our North Sound </w:t>
      </w:r>
      <w:proofErr w:type="spellStart"/>
      <w:r>
        <w:rPr>
          <w:rFonts w:ascii="Open Sans" w:eastAsia="Open Sans" w:hAnsi="Open Sans" w:cs="Open Sans"/>
        </w:rPr>
        <w:t>Baykeeper</w:t>
      </w:r>
      <w:proofErr w:type="spellEnd"/>
      <w:r>
        <w:rPr>
          <w:rFonts w:ascii="Open Sans" w:eastAsia="Open Sans" w:hAnsi="Open Sans" w:cs="Open Sans"/>
        </w:rPr>
        <w:t xml:space="preserve"> program is dedicated to protecting and enhancing the marine and nearshore habitats of northern Puge</w:t>
      </w:r>
      <w:r>
        <w:rPr>
          <w:rFonts w:ascii="Open Sans" w:eastAsia="Open Sans" w:hAnsi="Open Sans" w:cs="Open Sans"/>
        </w:rPr>
        <w:t>t Sound and the Georgia Strait. Our chief focus is on preventing pollution from entering the North Sound and Strait, while helping our local citizenry better understand the complex connections between prosperity, society, environmental health, and individu</w:t>
      </w:r>
      <w:r>
        <w:rPr>
          <w:rFonts w:ascii="Open Sans" w:eastAsia="Open Sans" w:hAnsi="Open Sans" w:cs="Open Sans"/>
        </w:rPr>
        <w:t xml:space="preserve">al wellbeing. Our North Sound </w:t>
      </w:r>
      <w:proofErr w:type="spellStart"/>
      <w:r>
        <w:rPr>
          <w:rFonts w:ascii="Open Sans" w:eastAsia="Open Sans" w:hAnsi="Open Sans" w:cs="Open Sans"/>
        </w:rPr>
        <w:t>Baykeeper</w:t>
      </w:r>
      <w:proofErr w:type="spellEnd"/>
      <w:r>
        <w:rPr>
          <w:rFonts w:ascii="Open Sans" w:eastAsia="Open Sans" w:hAnsi="Open Sans" w:cs="Open Sans"/>
        </w:rPr>
        <w:t xml:space="preserve"> is the 43</w:t>
      </w:r>
      <w:r>
        <w:rPr>
          <w:rFonts w:ascii="Open Sans" w:eastAsia="Open Sans" w:hAnsi="Open Sans" w:cs="Open Sans"/>
          <w:vertAlign w:val="superscript"/>
        </w:rPr>
        <w:t>rd</w:t>
      </w:r>
      <w:r>
        <w:rPr>
          <w:rFonts w:ascii="Open Sans" w:eastAsia="Open Sans" w:hAnsi="Open Sans" w:cs="Open Sans"/>
        </w:rPr>
        <w:t xml:space="preserve"> member of the Waterkeeper Alliance, with over 300 organizations in 34 countries around the world that promote fishable, swimmable, drinkable water. RE Sources has over 20,000 members in Whatcom, Skagit, a</w:t>
      </w:r>
      <w:r>
        <w:rPr>
          <w:rFonts w:ascii="Open Sans" w:eastAsia="Open Sans" w:hAnsi="Open Sans" w:cs="Open Sans"/>
        </w:rPr>
        <w:t>nd San Juan counties, and we submit these comments on their behalf.</w:t>
      </w:r>
    </w:p>
    <w:p w14:paraId="758972F2" w14:textId="77777777" w:rsidR="00936E5E" w:rsidRDefault="00936E5E">
      <w:pPr>
        <w:pBdr>
          <w:top w:val="nil"/>
          <w:left w:val="nil"/>
          <w:bottom w:val="nil"/>
          <w:right w:val="nil"/>
          <w:between w:val="nil"/>
        </w:pBdr>
        <w:rPr>
          <w:rFonts w:ascii="Open Sans" w:eastAsia="Open Sans" w:hAnsi="Open Sans" w:cs="Open Sans"/>
        </w:rPr>
      </w:pPr>
    </w:p>
    <w:p w14:paraId="350BB1F0" w14:textId="77777777" w:rsidR="00936E5E" w:rsidRDefault="002008DC">
      <w:pPr>
        <w:pBdr>
          <w:top w:val="nil"/>
          <w:left w:val="nil"/>
          <w:bottom w:val="nil"/>
          <w:right w:val="nil"/>
          <w:between w:val="nil"/>
        </w:pBdr>
        <w:rPr>
          <w:rFonts w:ascii="Open Sans" w:eastAsia="Open Sans" w:hAnsi="Open Sans" w:cs="Open Sans"/>
          <w:b/>
          <w:i/>
        </w:rPr>
      </w:pPr>
      <w:r>
        <w:rPr>
          <w:rFonts w:ascii="Open Sans" w:eastAsia="Open Sans" w:hAnsi="Open Sans" w:cs="Open Sans"/>
          <w:b/>
          <w:i/>
        </w:rPr>
        <w:t>A threat to native species:</w:t>
      </w:r>
    </w:p>
    <w:p w14:paraId="1CB62021" w14:textId="210D2C31"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As we write this comment letter there are bills in both the House and Senate (1579 and 5580, respectively) that are working to increase Chinook salmon and fora</w:t>
      </w:r>
      <w:r>
        <w:rPr>
          <w:rFonts w:ascii="Open Sans" w:eastAsia="Open Sans" w:hAnsi="Open Sans" w:cs="Open Sans"/>
        </w:rPr>
        <w:t xml:space="preserve">ge fish abundance to address the alarmingly low populations of the Southern Resident Orca Whale.  Net pens have the potential to have adverse effects on the orca food chain including ESA listed Chinook and forage fish.  The high density of Atlantic salmon </w:t>
      </w:r>
      <w:r>
        <w:rPr>
          <w:rFonts w:ascii="Open Sans" w:eastAsia="Open Sans" w:hAnsi="Open Sans" w:cs="Open Sans"/>
        </w:rPr>
        <w:t>in the net pens leads to the emergence of diseases and parasites that can spread to native fishes.</w:t>
      </w:r>
      <w:r>
        <w:rPr>
          <w:rFonts w:ascii="Open Sans" w:eastAsia="Open Sans" w:hAnsi="Open Sans" w:cs="Open Sans"/>
          <w:vertAlign w:val="superscript"/>
        </w:rPr>
        <w:t>1,</w:t>
      </w:r>
      <w:proofErr w:type="gramStart"/>
      <w:r>
        <w:rPr>
          <w:rFonts w:ascii="Open Sans" w:eastAsia="Open Sans" w:hAnsi="Open Sans" w:cs="Open Sans"/>
          <w:vertAlign w:val="superscript"/>
        </w:rPr>
        <w:t>2</w:t>
      </w:r>
      <w:r>
        <w:rPr>
          <w:rFonts w:ascii="Open Sans" w:eastAsia="Open Sans" w:hAnsi="Open Sans" w:cs="Open Sans"/>
        </w:rPr>
        <w:t xml:space="preserve">  In</w:t>
      </w:r>
      <w:proofErr w:type="gramEnd"/>
      <w:r>
        <w:rPr>
          <w:rFonts w:ascii="Open Sans" w:eastAsia="Open Sans" w:hAnsi="Open Sans" w:cs="Open Sans"/>
        </w:rPr>
        <w:t xml:space="preserve"> addition, escaped Atlantic salmon could potentially compete with Chinook salmon for forage fish (over 180,000 Atlantic salmon remained unaccounted for</w:t>
      </w:r>
      <w:r>
        <w:rPr>
          <w:rFonts w:ascii="Open Sans" w:eastAsia="Open Sans" w:hAnsi="Open Sans" w:cs="Open Sans"/>
        </w:rPr>
        <w:t xml:space="preserve"> from the Cyprus Island Net Pen collapse of 2017)</w:t>
      </w:r>
      <w:r>
        <w:rPr>
          <w:rFonts w:ascii="Open Sans" w:eastAsia="Open Sans" w:hAnsi="Open Sans" w:cs="Open Sans"/>
          <w:vertAlign w:val="superscript"/>
        </w:rPr>
        <w:t>3</w:t>
      </w:r>
      <w:r>
        <w:rPr>
          <w:rFonts w:ascii="Open Sans" w:eastAsia="Open Sans" w:hAnsi="Open Sans" w:cs="Open Sans"/>
        </w:rPr>
        <w:t xml:space="preserve">.  One of the quickest ways we can help our dwindling Southern Resident Orca Whales is to remove this potential threat to their primary food base. </w:t>
      </w:r>
    </w:p>
    <w:p w14:paraId="1165294C" w14:textId="77777777" w:rsidR="00594A96" w:rsidRDefault="00594A96">
      <w:pPr>
        <w:pBdr>
          <w:top w:val="nil"/>
          <w:left w:val="nil"/>
          <w:bottom w:val="nil"/>
          <w:right w:val="nil"/>
          <w:between w:val="nil"/>
        </w:pBdr>
        <w:rPr>
          <w:rFonts w:ascii="Open Sans" w:eastAsia="Open Sans" w:hAnsi="Open Sans" w:cs="Open Sans"/>
        </w:rPr>
      </w:pPr>
      <w:bookmarkStart w:id="0" w:name="_GoBack"/>
      <w:bookmarkEnd w:id="0"/>
    </w:p>
    <w:p w14:paraId="11FB4099" w14:textId="77777777" w:rsidR="00936E5E" w:rsidRDefault="00936E5E">
      <w:pPr>
        <w:pBdr>
          <w:top w:val="nil"/>
          <w:left w:val="nil"/>
          <w:bottom w:val="nil"/>
          <w:right w:val="nil"/>
          <w:between w:val="nil"/>
        </w:pBdr>
        <w:rPr>
          <w:rFonts w:ascii="Open Sans" w:eastAsia="Open Sans" w:hAnsi="Open Sans" w:cs="Open Sans"/>
        </w:rPr>
      </w:pPr>
    </w:p>
    <w:p w14:paraId="6EE9E04E"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b/>
          <w:i/>
        </w:rPr>
        <w:lastRenderedPageBreak/>
        <w:t>Uncontrolled pollutants contaminating our ocean:</w:t>
      </w:r>
    </w:p>
    <w:p w14:paraId="1D4F0F6B"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We are also concerned with the pollutants that are associated with the net pens. The fact sheets provided for the 4 net pen permits list the following as potential pollutants: uneaten fish food, fish feces, disease control chemicals administered in food, m</w:t>
      </w:r>
      <w:r>
        <w:rPr>
          <w:rFonts w:ascii="Open Sans" w:eastAsia="Open Sans" w:hAnsi="Open Sans" w:cs="Open Sans"/>
        </w:rPr>
        <w:t xml:space="preserve">arine fouling organisms displaced from the nets during net cleaning, and escaped fish.  Specifically, </w:t>
      </w:r>
      <w:proofErr w:type="spellStart"/>
      <w:r>
        <w:rPr>
          <w:rFonts w:ascii="Open Sans" w:eastAsia="Open Sans" w:hAnsi="Open Sans" w:cs="Open Sans"/>
        </w:rPr>
        <w:t>Romet</w:t>
      </w:r>
      <w:proofErr w:type="spellEnd"/>
      <w:r>
        <w:rPr>
          <w:rFonts w:ascii="Open Sans" w:eastAsia="Open Sans" w:hAnsi="Open Sans" w:cs="Open Sans"/>
        </w:rPr>
        <w:t xml:space="preserve">® 30 and Oxytetracycline are listed as disease control agents that are used to treat bacterial infections in these salmon.  These drugs have a </w:t>
      </w:r>
      <w:proofErr w:type="gramStart"/>
      <w:r>
        <w:rPr>
          <w:rFonts w:ascii="Open Sans" w:eastAsia="Open Sans" w:hAnsi="Open Sans" w:cs="Open Sans"/>
        </w:rPr>
        <w:t xml:space="preserve">30-70 </w:t>
      </w:r>
      <w:r>
        <w:rPr>
          <w:rFonts w:ascii="Open Sans" w:eastAsia="Open Sans" w:hAnsi="Open Sans" w:cs="Open Sans"/>
        </w:rPr>
        <w:t>day</w:t>
      </w:r>
      <w:proofErr w:type="gramEnd"/>
      <w:r>
        <w:rPr>
          <w:rFonts w:ascii="Open Sans" w:eastAsia="Open Sans" w:hAnsi="Open Sans" w:cs="Open Sans"/>
        </w:rPr>
        <w:t xml:space="preserve"> withdrawal period,</w:t>
      </w:r>
      <w:r>
        <w:rPr>
          <w:rFonts w:ascii="Open Sans" w:eastAsia="Open Sans" w:hAnsi="Open Sans" w:cs="Open Sans"/>
          <w:vertAlign w:val="superscript"/>
        </w:rPr>
        <w:t>4</w:t>
      </w:r>
      <w:r>
        <w:rPr>
          <w:rFonts w:ascii="Open Sans" w:eastAsia="Open Sans" w:hAnsi="Open Sans" w:cs="Open Sans"/>
        </w:rPr>
        <w:t xml:space="preserve"> meaning the salmon are unsafe to consume for up to 70 days after the drugs are administered.  There is no guarantee that all of the drug infused food will be ingested by the net pen fish which therefore, exposes our native fish to t</w:t>
      </w:r>
      <w:r>
        <w:rPr>
          <w:rFonts w:ascii="Open Sans" w:eastAsia="Open Sans" w:hAnsi="Open Sans" w:cs="Open Sans"/>
        </w:rPr>
        <w:t xml:space="preserve">hese drugs and potentially to people who may eat such fish.  The only way to truly control all of the harmful pollutants associated with net pens is to remove them from our oceans and construct the facilities inland.   </w:t>
      </w:r>
    </w:p>
    <w:p w14:paraId="7D0F31BE" w14:textId="77777777" w:rsidR="00936E5E" w:rsidRDefault="00936E5E">
      <w:pPr>
        <w:pBdr>
          <w:top w:val="nil"/>
          <w:left w:val="nil"/>
          <w:bottom w:val="nil"/>
          <w:right w:val="nil"/>
          <w:between w:val="nil"/>
        </w:pBdr>
        <w:rPr>
          <w:rFonts w:ascii="Open Sans" w:eastAsia="Open Sans" w:hAnsi="Open Sans" w:cs="Open Sans"/>
        </w:rPr>
      </w:pPr>
    </w:p>
    <w:p w14:paraId="4AF436DD"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Additionally, pollutants can have i</w:t>
      </w:r>
      <w:r>
        <w:rPr>
          <w:rFonts w:ascii="Open Sans" w:eastAsia="Open Sans" w:hAnsi="Open Sans" w:cs="Open Sans"/>
        </w:rPr>
        <w:t>mpacts on other important water quality parameters, such as dissolved oxygen (DO). In late summer when water temperatures are warmer, or other times when DO requirements are harder to meet, there should be a threshold included in the permit that would caus</w:t>
      </w:r>
      <w:r>
        <w:rPr>
          <w:rFonts w:ascii="Open Sans" w:eastAsia="Open Sans" w:hAnsi="Open Sans" w:cs="Open Sans"/>
        </w:rPr>
        <w:t xml:space="preserve">e implementation of mitigation and/or corrective action measures for the permit holder. This appears to be left out of the current permit and should be included to ensure the surrounding aquatic organisms are protected. </w:t>
      </w:r>
    </w:p>
    <w:p w14:paraId="15E9AB68" w14:textId="77777777" w:rsidR="00936E5E" w:rsidRDefault="00936E5E">
      <w:pPr>
        <w:pBdr>
          <w:top w:val="nil"/>
          <w:left w:val="nil"/>
          <w:bottom w:val="nil"/>
          <w:right w:val="nil"/>
          <w:between w:val="nil"/>
        </w:pBdr>
        <w:rPr>
          <w:rFonts w:ascii="Open Sans" w:eastAsia="Open Sans" w:hAnsi="Open Sans" w:cs="Open Sans"/>
        </w:rPr>
      </w:pPr>
    </w:p>
    <w:p w14:paraId="40617692" w14:textId="77777777" w:rsidR="00936E5E" w:rsidRDefault="002008DC">
      <w:pPr>
        <w:pBdr>
          <w:top w:val="nil"/>
          <w:left w:val="nil"/>
          <w:bottom w:val="nil"/>
          <w:right w:val="nil"/>
          <w:between w:val="nil"/>
        </w:pBdr>
        <w:rPr>
          <w:rFonts w:ascii="Open Sans" w:eastAsia="Open Sans" w:hAnsi="Open Sans" w:cs="Open Sans"/>
          <w:b/>
          <w:i/>
        </w:rPr>
      </w:pPr>
      <w:r>
        <w:rPr>
          <w:rFonts w:ascii="Open Sans" w:eastAsia="Open Sans" w:hAnsi="Open Sans" w:cs="Open Sans"/>
          <w:b/>
          <w:i/>
        </w:rPr>
        <w:t>Unreliable technologies:</w:t>
      </w:r>
    </w:p>
    <w:p w14:paraId="760E84F2"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It was al</w:t>
      </w:r>
      <w:r>
        <w:rPr>
          <w:rFonts w:ascii="Open Sans" w:eastAsia="Open Sans" w:hAnsi="Open Sans" w:cs="Open Sans"/>
        </w:rPr>
        <w:t>so noted in the fact sheets that the Pollution Control Hearing Board heard testimony on 3 alternative technologies to marine net pens prior to reissuance of the 2002 permit.  The Board “ruled that none of the technologies constituted AKART because they wer</w:t>
      </w:r>
      <w:r>
        <w:rPr>
          <w:rFonts w:ascii="Open Sans" w:eastAsia="Open Sans" w:hAnsi="Open Sans" w:cs="Open Sans"/>
        </w:rPr>
        <w:t>e not technologically reliable and/or economically feasible, and dismissed with prejudice all AKART issues relating to all structural alternatives to net pens.” We interpret this to mean that the current net pen technologies being used in these 4 net pen o</w:t>
      </w:r>
      <w:r>
        <w:rPr>
          <w:rFonts w:ascii="Open Sans" w:eastAsia="Open Sans" w:hAnsi="Open Sans" w:cs="Open Sans"/>
        </w:rPr>
        <w:t xml:space="preserve">perations may not be technologically reliable to prevent or control waste discharges to the waters of the </w:t>
      </w:r>
      <w:proofErr w:type="spellStart"/>
      <w:r>
        <w:rPr>
          <w:rFonts w:ascii="Open Sans" w:eastAsia="Open Sans" w:hAnsi="Open Sans" w:cs="Open Sans"/>
        </w:rPr>
        <w:t>sate</w:t>
      </w:r>
      <w:proofErr w:type="spellEnd"/>
      <w:r>
        <w:rPr>
          <w:rFonts w:ascii="Open Sans" w:eastAsia="Open Sans" w:hAnsi="Open Sans" w:cs="Open Sans"/>
        </w:rPr>
        <w:t xml:space="preserve"> as mandated by Washington State’s Waste Discharge Permit Program, WAC 173-216-020(1).   Furthermore, “Ecology concludes requiring any major chang</w:t>
      </w:r>
      <w:r>
        <w:rPr>
          <w:rFonts w:ascii="Open Sans" w:eastAsia="Open Sans" w:hAnsi="Open Sans" w:cs="Open Sans"/>
        </w:rPr>
        <w:t>es to net pen siting [it] is not feasible in the limited time the pens can continue to operate.”  Because all Atlantic Salmon net pen facilities will be closed by 2022 in Washington State, in lieu of requiring upgrades or changes to the current technology,</w:t>
      </w:r>
      <w:r>
        <w:rPr>
          <w:rFonts w:ascii="Open Sans" w:eastAsia="Open Sans" w:hAnsi="Open Sans" w:cs="Open Sans"/>
        </w:rPr>
        <w:t xml:space="preserve"> Ecology will rely on “lessons learned” from the net pen failure of 2017 to construct this permit.  While we agree that increased monitoring of sediment, dissolved oxygen, velocity, and the net pet itself is really important we are not convinced that it is</w:t>
      </w:r>
      <w:r>
        <w:rPr>
          <w:rFonts w:ascii="Open Sans" w:eastAsia="Open Sans" w:hAnsi="Open Sans" w:cs="Open Sans"/>
        </w:rPr>
        <w:t xml:space="preserve"> enough to prevent irreparable damage to the sound given the unavoidable pollutants being discharged from the net pens coupled with the less-than-perfect track record demonstrated by Cooke Aquaculture. </w:t>
      </w:r>
    </w:p>
    <w:p w14:paraId="260F23D0" w14:textId="77777777" w:rsidR="00936E5E" w:rsidRDefault="00936E5E">
      <w:pPr>
        <w:pBdr>
          <w:top w:val="nil"/>
          <w:left w:val="nil"/>
          <w:bottom w:val="nil"/>
          <w:right w:val="nil"/>
          <w:between w:val="nil"/>
        </w:pBdr>
        <w:rPr>
          <w:rFonts w:ascii="Open Sans" w:eastAsia="Open Sans" w:hAnsi="Open Sans" w:cs="Open Sans"/>
        </w:rPr>
      </w:pPr>
    </w:p>
    <w:p w14:paraId="2DDDAB9E" w14:textId="77777777" w:rsidR="00936E5E" w:rsidRDefault="002008DC">
      <w:pPr>
        <w:pBdr>
          <w:top w:val="nil"/>
          <w:left w:val="nil"/>
          <w:bottom w:val="nil"/>
          <w:right w:val="nil"/>
          <w:between w:val="nil"/>
        </w:pBdr>
        <w:rPr>
          <w:rFonts w:ascii="Open Sans" w:eastAsia="Open Sans" w:hAnsi="Open Sans" w:cs="Open Sans"/>
          <w:b/>
          <w:i/>
        </w:rPr>
      </w:pPr>
      <w:r>
        <w:rPr>
          <w:rFonts w:ascii="Open Sans" w:eastAsia="Open Sans" w:hAnsi="Open Sans" w:cs="Open Sans"/>
          <w:b/>
          <w:i/>
        </w:rPr>
        <w:t>Questionable record from Cooke Aquaculture:</w:t>
      </w:r>
    </w:p>
    <w:p w14:paraId="2C0DAA0F"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An inves</w:t>
      </w:r>
      <w:r>
        <w:rPr>
          <w:rFonts w:ascii="Open Sans" w:eastAsia="Open Sans" w:hAnsi="Open Sans" w:cs="Open Sans"/>
        </w:rPr>
        <w:t>tigation following the Cypress Island net pen collapse in August 2017 highlights the failures of Cooke Aquaculture to prevent the catastrophic collapse</w:t>
      </w:r>
      <w:r>
        <w:rPr>
          <w:rFonts w:ascii="Open Sans" w:eastAsia="Open Sans" w:hAnsi="Open Sans" w:cs="Open Sans"/>
          <w:vertAlign w:val="superscript"/>
        </w:rPr>
        <w:t>3</w:t>
      </w:r>
      <w:r>
        <w:rPr>
          <w:rFonts w:ascii="Open Sans" w:eastAsia="Open Sans" w:hAnsi="Open Sans" w:cs="Open Sans"/>
        </w:rPr>
        <w:t>.  Emergency measures or special monitoring was not put in place when the net pens began to fail in July</w:t>
      </w:r>
      <w:r>
        <w:rPr>
          <w:rFonts w:ascii="Open Sans" w:eastAsia="Open Sans" w:hAnsi="Open Sans" w:cs="Open Sans"/>
        </w:rPr>
        <w:t xml:space="preserve">.  They also did not properly report the July </w:t>
      </w:r>
      <w:proofErr w:type="gramStart"/>
      <w:r>
        <w:rPr>
          <w:rFonts w:ascii="Open Sans" w:eastAsia="Open Sans" w:hAnsi="Open Sans" w:cs="Open Sans"/>
        </w:rPr>
        <w:t>failings,</w:t>
      </w:r>
      <w:proofErr w:type="gramEnd"/>
      <w:r>
        <w:rPr>
          <w:rFonts w:ascii="Open Sans" w:eastAsia="Open Sans" w:hAnsi="Open Sans" w:cs="Open Sans"/>
        </w:rPr>
        <w:t xml:space="preserve"> therefore, government agencies were not aware of the extent of damage that was beginning to occur.  Inadequate inspection and maintenance of the nets in conjunction with the failure and unreliability </w:t>
      </w:r>
      <w:r>
        <w:rPr>
          <w:rFonts w:ascii="Open Sans" w:eastAsia="Open Sans" w:hAnsi="Open Sans" w:cs="Open Sans"/>
        </w:rPr>
        <w:t>of net washing systems most likely contributed to the collapse.  Following the collapse, Cooke Aquaculture was slow to respond and underreported the amount of fish that escaped by nearly half and then during the cleanup phase, post-collapse, they did not p</w:t>
      </w:r>
      <w:r>
        <w:rPr>
          <w:rFonts w:ascii="Open Sans" w:eastAsia="Open Sans" w:hAnsi="Open Sans" w:cs="Open Sans"/>
        </w:rPr>
        <w:t xml:space="preserve">rovide all of the documents that the investigative team requested.  In addition, Cooke Aquaculture has not yet paid their fines for the net pen collapse as they have appealed the court’s decision.  </w:t>
      </w:r>
    </w:p>
    <w:p w14:paraId="2341DD3D" w14:textId="77777777" w:rsidR="00936E5E" w:rsidRDefault="00936E5E">
      <w:pPr>
        <w:pBdr>
          <w:top w:val="nil"/>
          <w:left w:val="nil"/>
          <w:bottom w:val="nil"/>
          <w:right w:val="nil"/>
          <w:between w:val="nil"/>
        </w:pBdr>
        <w:rPr>
          <w:rFonts w:ascii="Open Sans" w:eastAsia="Open Sans" w:hAnsi="Open Sans" w:cs="Open Sans"/>
        </w:rPr>
      </w:pPr>
    </w:p>
    <w:p w14:paraId="30D13432"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Meanwhile, down south at the Fort Ward net pet operation</w:t>
      </w:r>
      <w:r>
        <w:rPr>
          <w:rFonts w:ascii="Open Sans" w:eastAsia="Open Sans" w:hAnsi="Open Sans" w:cs="Open Sans"/>
        </w:rPr>
        <w:t xml:space="preserve"> there were another series of violations occurring from August to December 2017.  Ecology staff sent 2 separate notices and called multiple times regarding illicit discharges coming from the facility with no response from Cooke.  Cooke Aquaculture was fine</w:t>
      </w:r>
      <w:r>
        <w:rPr>
          <w:rFonts w:ascii="Open Sans" w:eastAsia="Open Sans" w:hAnsi="Open Sans" w:cs="Open Sans"/>
        </w:rPr>
        <w:t xml:space="preserve">d $8,000 for this infraction.  </w:t>
      </w:r>
    </w:p>
    <w:p w14:paraId="64CC1D21" w14:textId="77777777" w:rsidR="00936E5E" w:rsidRDefault="00936E5E">
      <w:pPr>
        <w:pBdr>
          <w:top w:val="nil"/>
          <w:left w:val="nil"/>
          <w:bottom w:val="nil"/>
          <w:right w:val="nil"/>
          <w:between w:val="nil"/>
        </w:pBdr>
        <w:rPr>
          <w:rFonts w:ascii="Open Sans" w:eastAsia="Open Sans" w:hAnsi="Open Sans" w:cs="Open Sans"/>
        </w:rPr>
      </w:pPr>
    </w:p>
    <w:p w14:paraId="05867952"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The behavior from Cooke Aquaculture during these 2 instances makes us skeptical that they will be good stewards of their net pens and the environment in which they are housed. The NPDES permit relies on a self-monitoring pr</w:t>
      </w:r>
      <w:r>
        <w:rPr>
          <w:rFonts w:ascii="Open Sans" w:eastAsia="Open Sans" w:hAnsi="Open Sans" w:cs="Open Sans"/>
        </w:rPr>
        <w:t>ogram and history shows that Cooke Aquaculture may not be reliable to adequately monitor and maintain the health of these 4 net pens.   If you decide to issue these permits despite the potential environmental risks we strongly encourage you to require a 3r</w:t>
      </w:r>
      <w:r>
        <w:rPr>
          <w:rFonts w:ascii="Open Sans" w:eastAsia="Open Sans" w:hAnsi="Open Sans" w:cs="Open Sans"/>
        </w:rPr>
        <w:t>d party to regularly monitor the net pens for both effluent limitations and structural integrity.  This goes for the cleanup process as well that will commence in 2022.</w:t>
      </w:r>
    </w:p>
    <w:p w14:paraId="12E8FBB5" w14:textId="77777777" w:rsidR="00936E5E" w:rsidRDefault="00936E5E">
      <w:pPr>
        <w:pBdr>
          <w:top w:val="nil"/>
          <w:left w:val="nil"/>
          <w:bottom w:val="nil"/>
          <w:right w:val="nil"/>
          <w:between w:val="nil"/>
        </w:pBdr>
        <w:rPr>
          <w:rFonts w:ascii="Open Sans" w:eastAsia="Open Sans" w:hAnsi="Open Sans" w:cs="Open Sans"/>
        </w:rPr>
      </w:pPr>
    </w:p>
    <w:p w14:paraId="0F0D1C15"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For the reasons listed above, our recommendation is to close the Cooke Aquaculture net</w:t>
      </w:r>
      <w:r>
        <w:rPr>
          <w:rFonts w:ascii="Open Sans" w:eastAsia="Open Sans" w:hAnsi="Open Sans" w:cs="Open Sans"/>
        </w:rPr>
        <w:t xml:space="preserve"> pens as quickly as possible without wasting any of the fish that are currently being raised in the pens.  Deconstructing and cleaning up after the pens are removed will take time to complete, therefore, the sooner we start the deconstruction process the b</w:t>
      </w:r>
      <w:r>
        <w:rPr>
          <w:rFonts w:ascii="Open Sans" w:eastAsia="Open Sans" w:hAnsi="Open Sans" w:cs="Open Sans"/>
        </w:rPr>
        <w:t>etter it will be for the Puget Sound and all the organisms that depend on it for their survival.  Furthermore, we recommend that Cooke Aquaculture be held accountable for the cleanup procedures and associated costs.  Thank-you for your time and considerati</w:t>
      </w:r>
      <w:r>
        <w:rPr>
          <w:rFonts w:ascii="Open Sans" w:eastAsia="Open Sans" w:hAnsi="Open Sans" w:cs="Open Sans"/>
        </w:rPr>
        <w:t xml:space="preserve">on. </w:t>
      </w:r>
    </w:p>
    <w:p w14:paraId="04FB167E" w14:textId="77777777" w:rsidR="00936E5E" w:rsidRDefault="00936E5E">
      <w:pPr>
        <w:pBdr>
          <w:top w:val="nil"/>
          <w:left w:val="nil"/>
          <w:bottom w:val="nil"/>
          <w:right w:val="nil"/>
          <w:between w:val="nil"/>
        </w:pBdr>
        <w:rPr>
          <w:rFonts w:ascii="Open Sans" w:eastAsia="Open Sans" w:hAnsi="Open Sans" w:cs="Open Sans"/>
        </w:rPr>
      </w:pPr>
    </w:p>
    <w:p w14:paraId="2F9A907A"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Sincerely,</w:t>
      </w:r>
    </w:p>
    <w:p w14:paraId="57A574B5" w14:textId="77777777" w:rsidR="00936E5E" w:rsidRDefault="00936E5E">
      <w:pPr>
        <w:pBdr>
          <w:top w:val="nil"/>
          <w:left w:val="nil"/>
          <w:bottom w:val="nil"/>
          <w:right w:val="nil"/>
          <w:between w:val="nil"/>
        </w:pBdr>
        <w:rPr>
          <w:rFonts w:ascii="Open Sans" w:eastAsia="Open Sans" w:hAnsi="Open Sans" w:cs="Open Sans"/>
        </w:rPr>
      </w:pPr>
    </w:p>
    <w:p w14:paraId="017B1C2C"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Kirsten McDade</w:t>
      </w:r>
    </w:p>
    <w:p w14:paraId="6AF48458"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Pollution Prevention Specialist</w:t>
      </w:r>
    </w:p>
    <w:p w14:paraId="4186254C" w14:textId="77777777" w:rsidR="00936E5E" w:rsidRDefault="00936E5E">
      <w:pPr>
        <w:pBdr>
          <w:top w:val="nil"/>
          <w:left w:val="nil"/>
          <w:bottom w:val="nil"/>
          <w:right w:val="nil"/>
          <w:between w:val="nil"/>
        </w:pBdr>
        <w:rPr>
          <w:rFonts w:ascii="Open Sans" w:eastAsia="Open Sans" w:hAnsi="Open Sans" w:cs="Open Sans"/>
        </w:rPr>
      </w:pPr>
    </w:p>
    <w:p w14:paraId="5251A741" w14:textId="77777777" w:rsidR="00936E5E" w:rsidRDefault="002008DC">
      <w:pPr>
        <w:pBdr>
          <w:top w:val="nil"/>
          <w:left w:val="nil"/>
          <w:bottom w:val="nil"/>
          <w:right w:val="nil"/>
          <w:between w:val="nil"/>
        </w:pBdr>
        <w:rPr>
          <w:rFonts w:ascii="Open Sans" w:eastAsia="Open Sans" w:hAnsi="Open Sans" w:cs="Open Sans"/>
        </w:rPr>
      </w:pPr>
      <w:r>
        <w:rPr>
          <w:rFonts w:ascii="Open Sans" w:eastAsia="Open Sans" w:hAnsi="Open Sans" w:cs="Open Sans"/>
        </w:rPr>
        <w:t>Eleanor Hines</w:t>
      </w:r>
    </w:p>
    <w:p w14:paraId="218A4FDE" w14:textId="77777777" w:rsidR="00936E5E" w:rsidRDefault="002008DC">
      <w:pPr>
        <w:pBdr>
          <w:top w:val="nil"/>
          <w:left w:val="nil"/>
          <w:bottom w:val="nil"/>
          <w:right w:val="nil"/>
          <w:between w:val="nil"/>
        </w:pBdr>
        <w:rPr>
          <w:rFonts w:ascii="Open Sans" w:eastAsia="Open Sans" w:hAnsi="Open Sans" w:cs="Open Sans"/>
          <w:color w:val="999999"/>
        </w:rPr>
      </w:pPr>
      <w:r>
        <w:rPr>
          <w:rFonts w:ascii="Open Sans" w:eastAsia="Open Sans" w:hAnsi="Open Sans" w:cs="Open Sans"/>
        </w:rPr>
        <w:t xml:space="preserve">North Sound </w:t>
      </w:r>
      <w:proofErr w:type="spellStart"/>
      <w:r>
        <w:rPr>
          <w:rFonts w:ascii="Open Sans" w:eastAsia="Open Sans" w:hAnsi="Open Sans" w:cs="Open Sans"/>
        </w:rPr>
        <w:t>Baykeeper</w:t>
      </w:r>
      <w:proofErr w:type="spellEnd"/>
      <w:r>
        <w:rPr>
          <w:rFonts w:ascii="Open Sans" w:eastAsia="Open Sans" w:hAnsi="Open Sans" w:cs="Open Sans"/>
        </w:rPr>
        <w:t>, Lead Scientist</w:t>
      </w:r>
    </w:p>
    <w:p w14:paraId="5226B6AA" w14:textId="77777777" w:rsidR="00936E5E" w:rsidRDefault="00936E5E">
      <w:pPr>
        <w:pBdr>
          <w:top w:val="nil"/>
          <w:left w:val="nil"/>
          <w:bottom w:val="nil"/>
          <w:right w:val="nil"/>
          <w:between w:val="nil"/>
        </w:pBdr>
        <w:rPr>
          <w:rFonts w:ascii="Open Sans" w:eastAsia="Open Sans" w:hAnsi="Open Sans" w:cs="Open Sans"/>
          <w:color w:val="999999"/>
        </w:rPr>
      </w:pPr>
    </w:p>
    <w:p w14:paraId="323A6862" w14:textId="77777777" w:rsidR="00936E5E" w:rsidRDefault="00936E5E">
      <w:pPr>
        <w:pBdr>
          <w:top w:val="nil"/>
          <w:left w:val="nil"/>
          <w:bottom w:val="nil"/>
          <w:right w:val="nil"/>
          <w:between w:val="nil"/>
        </w:pBdr>
        <w:rPr>
          <w:rFonts w:ascii="Open Sans" w:eastAsia="Open Sans" w:hAnsi="Open Sans" w:cs="Open Sans"/>
          <w:sz w:val="20"/>
          <w:szCs w:val="20"/>
          <w:u w:val="single"/>
        </w:rPr>
      </w:pPr>
    </w:p>
    <w:p w14:paraId="05C33C2A" w14:textId="77777777" w:rsidR="00936E5E" w:rsidRDefault="002008DC">
      <w:pPr>
        <w:pBdr>
          <w:top w:val="nil"/>
          <w:left w:val="nil"/>
          <w:bottom w:val="nil"/>
          <w:right w:val="nil"/>
          <w:between w:val="nil"/>
        </w:pBdr>
        <w:rPr>
          <w:rFonts w:ascii="Open Sans" w:eastAsia="Open Sans" w:hAnsi="Open Sans" w:cs="Open Sans"/>
          <w:sz w:val="20"/>
          <w:szCs w:val="20"/>
          <w:u w:val="single"/>
        </w:rPr>
      </w:pPr>
      <w:r>
        <w:rPr>
          <w:rFonts w:ascii="Open Sans" w:eastAsia="Open Sans" w:hAnsi="Open Sans" w:cs="Open Sans"/>
          <w:sz w:val="20"/>
          <w:szCs w:val="20"/>
          <w:u w:val="single"/>
        </w:rPr>
        <w:t>Resources</w:t>
      </w:r>
    </w:p>
    <w:p w14:paraId="2DE7D274" w14:textId="77777777" w:rsidR="00936E5E" w:rsidRDefault="002008DC">
      <w:p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vertAlign w:val="superscript"/>
        </w:rPr>
        <w:t>1</w:t>
      </w:r>
      <w:r>
        <w:rPr>
          <w:rFonts w:ascii="Open Sans" w:eastAsia="Open Sans" w:hAnsi="Open Sans" w:cs="Open Sans"/>
          <w:sz w:val="20"/>
          <w:szCs w:val="20"/>
        </w:rPr>
        <w:t>Walker, Peter &amp; R Winton, James. (2010). Emerging Viral Diseases of Fish and Shrimp. Veterinary research. 41. 51. 10.1051/</w:t>
      </w:r>
      <w:proofErr w:type="spellStart"/>
      <w:r>
        <w:rPr>
          <w:rFonts w:ascii="Open Sans" w:eastAsia="Open Sans" w:hAnsi="Open Sans" w:cs="Open Sans"/>
          <w:sz w:val="20"/>
          <w:szCs w:val="20"/>
        </w:rPr>
        <w:t>vetres</w:t>
      </w:r>
      <w:proofErr w:type="spellEnd"/>
      <w:r>
        <w:rPr>
          <w:rFonts w:ascii="Open Sans" w:eastAsia="Open Sans" w:hAnsi="Open Sans" w:cs="Open Sans"/>
          <w:sz w:val="20"/>
          <w:szCs w:val="20"/>
        </w:rPr>
        <w:t xml:space="preserve">/2010022. </w:t>
      </w:r>
    </w:p>
    <w:p w14:paraId="318172A6" w14:textId="77777777" w:rsidR="00936E5E" w:rsidRDefault="002008DC">
      <w:p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vertAlign w:val="superscript"/>
        </w:rPr>
        <w:t>2</w:t>
      </w:r>
      <w:r>
        <w:rPr>
          <w:rFonts w:ascii="Open Sans" w:eastAsia="Open Sans" w:hAnsi="Open Sans" w:cs="Open Sans"/>
          <w:sz w:val="20"/>
          <w:szCs w:val="20"/>
        </w:rPr>
        <w:t xml:space="preserve">Bateman, Andrew W, and S.J. Peacock, B. Connors, Z. Polk, D. Berg, M. </w:t>
      </w:r>
      <w:proofErr w:type="spellStart"/>
      <w:r>
        <w:rPr>
          <w:rFonts w:ascii="Open Sans" w:eastAsia="Open Sans" w:hAnsi="Open Sans" w:cs="Open Sans"/>
          <w:sz w:val="20"/>
          <w:szCs w:val="20"/>
        </w:rPr>
        <w:t>Krkosek</w:t>
      </w:r>
      <w:proofErr w:type="spellEnd"/>
      <w:r>
        <w:rPr>
          <w:rFonts w:ascii="Open Sans" w:eastAsia="Open Sans" w:hAnsi="Open Sans" w:cs="Open Sans"/>
          <w:sz w:val="20"/>
          <w:szCs w:val="20"/>
        </w:rPr>
        <w:t xml:space="preserve"> and A.</w:t>
      </w:r>
    </w:p>
    <w:p w14:paraId="4E182139" w14:textId="77777777" w:rsidR="00936E5E" w:rsidRDefault="002008DC">
      <w:p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rPr>
        <w:t>Morton. 2016 Recent Failure to Control Sea Louse Outbreak on Salmon in the Broughton</w:t>
      </w:r>
    </w:p>
    <w:p w14:paraId="0EBF5629" w14:textId="77777777" w:rsidR="00936E5E" w:rsidRDefault="002008DC">
      <w:p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rPr>
        <w:t>Archipelago. Canadian Journal of Fisheries and Aquatic Sciences</w:t>
      </w:r>
    </w:p>
    <w:p w14:paraId="5D591D30" w14:textId="77777777" w:rsidR="00936E5E" w:rsidRDefault="002008DC">
      <w:p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vertAlign w:val="superscript"/>
        </w:rPr>
        <w:t>3</w:t>
      </w:r>
      <w:r>
        <w:rPr>
          <w:rFonts w:ascii="Open Sans" w:eastAsia="Open Sans" w:hAnsi="Open Sans" w:cs="Open Sans"/>
          <w:sz w:val="20"/>
          <w:szCs w:val="20"/>
        </w:rPr>
        <w:t xml:space="preserve">Lee, </w:t>
      </w:r>
      <w:proofErr w:type="spellStart"/>
      <w:r>
        <w:rPr>
          <w:rFonts w:ascii="Open Sans" w:eastAsia="Open Sans" w:hAnsi="Open Sans" w:cs="Open Sans"/>
          <w:sz w:val="20"/>
          <w:szCs w:val="20"/>
        </w:rPr>
        <w:t>Kessina</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Windrope</w:t>
      </w:r>
      <w:proofErr w:type="spellEnd"/>
      <w:r>
        <w:rPr>
          <w:rFonts w:ascii="Open Sans" w:eastAsia="Open Sans" w:hAnsi="Open Sans" w:cs="Open Sans"/>
          <w:sz w:val="20"/>
          <w:szCs w:val="20"/>
        </w:rPr>
        <w:t xml:space="preserve">, Amy, &amp; Murphy, Kyle 2018. 2017 Cypress Island Atlantic Salmon Net Pen Failure: An </w:t>
      </w:r>
      <w:r>
        <w:rPr>
          <w:rFonts w:ascii="Open Sans" w:eastAsia="Open Sans" w:hAnsi="Open Sans" w:cs="Open Sans"/>
          <w:sz w:val="20"/>
          <w:szCs w:val="20"/>
        </w:rPr>
        <w:t xml:space="preserve">Investigation and Review. Retrieved from: </w:t>
      </w:r>
      <w:hyperlink r:id="rId6">
        <w:r>
          <w:rPr>
            <w:rFonts w:ascii="Open Sans" w:eastAsia="Open Sans" w:hAnsi="Open Sans" w:cs="Open Sans"/>
            <w:sz w:val="20"/>
            <w:szCs w:val="20"/>
          </w:rPr>
          <w:t>https://www.dnr.wa.gov/sites/default/files/publications/aqr_cypress_investigation_repor</w:t>
        </w:r>
        <w:r>
          <w:rPr>
            <w:rFonts w:ascii="Open Sans" w:eastAsia="Open Sans" w:hAnsi="Open Sans" w:cs="Open Sans"/>
            <w:sz w:val="20"/>
            <w:szCs w:val="20"/>
          </w:rPr>
          <w:t>t.pdf?vdqi7rk&amp;exb4gd</w:t>
        </w:r>
      </w:hyperlink>
    </w:p>
    <w:p w14:paraId="3EC1A06A" w14:textId="77777777" w:rsidR="00936E5E" w:rsidRDefault="002008DC">
      <w:p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vertAlign w:val="superscript"/>
        </w:rPr>
        <w:t>4</w:t>
      </w:r>
      <w:r>
        <w:rPr>
          <w:rFonts w:ascii="Open Sans" w:eastAsia="Open Sans" w:hAnsi="Open Sans" w:cs="Open Sans"/>
          <w:sz w:val="20"/>
          <w:szCs w:val="20"/>
        </w:rPr>
        <w:t xml:space="preserve">Guide to using Drugs, Biologics, and Other Chemicals in Aquaculture. (2016). American Fisheries Society Fish Culture Section. Retrieved from: </w:t>
      </w:r>
      <w:hyperlink r:id="rId7">
        <w:r>
          <w:rPr>
            <w:rFonts w:ascii="Open Sans" w:eastAsia="Open Sans" w:hAnsi="Open Sans" w:cs="Open Sans"/>
            <w:sz w:val="20"/>
            <w:szCs w:val="20"/>
          </w:rPr>
          <w:t>https://www.syndel.com/d</w:t>
        </w:r>
        <w:r>
          <w:rPr>
            <w:rFonts w:ascii="Open Sans" w:eastAsia="Open Sans" w:hAnsi="Open Sans" w:cs="Open Sans"/>
            <w:sz w:val="20"/>
            <w:szCs w:val="20"/>
          </w:rPr>
          <w:t>ownloads/dl/file/id/112/</w:t>
        </w:r>
      </w:hyperlink>
    </w:p>
    <w:p w14:paraId="2533E484" w14:textId="77777777" w:rsidR="00936E5E" w:rsidRDefault="00936E5E">
      <w:pPr>
        <w:pBdr>
          <w:top w:val="nil"/>
          <w:left w:val="nil"/>
          <w:bottom w:val="nil"/>
          <w:right w:val="nil"/>
          <w:between w:val="nil"/>
        </w:pBdr>
        <w:rPr>
          <w:rFonts w:ascii="Open Sans" w:eastAsia="Open Sans" w:hAnsi="Open Sans" w:cs="Open Sans"/>
          <w:color w:val="999999"/>
        </w:rPr>
      </w:pPr>
    </w:p>
    <w:sectPr w:rsidR="00936E5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25B8E" w14:textId="77777777" w:rsidR="002008DC" w:rsidRDefault="002008DC">
      <w:pPr>
        <w:spacing w:line="240" w:lineRule="auto"/>
      </w:pPr>
      <w:r>
        <w:separator/>
      </w:r>
    </w:p>
  </w:endnote>
  <w:endnote w:type="continuationSeparator" w:id="0">
    <w:p w14:paraId="29C8B131" w14:textId="77777777" w:rsidR="002008DC" w:rsidRDefault="00200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587D" w14:textId="77777777" w:rsidR="00403E9A" w:rsidRDefault="00403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FF53" w14:textId="77777777" w:rsidR="00936E5E" w:rsidRDefault="002008DC">
    <w:pPr>
      <w:pBdr>
        <w:top w:val="nil"/>
        <w:left w:val="nil"/>
        <w:bottom w:val="nil"/>
        <w:right w:val="nil"/>
        <w:between w:val="nil"/>
      </w:pBdr>
      <w:tabs>
        <w:tab w:val="center" w:pos="4680"/>
        <w:tab w:val="right" w:pos="9360"/>
      </w:tabs>
      <w:spacing w:after="720" w:line="240" w:lineRule="auto"/>
      <w:jc w:val="right"/>
      <w:rPr>
        <w:b/>
        <w:i/>
      </w:rPr>
    </w:pPr>
    <w:r>
      <w:rPr>
        <w:b/>
        <w:i/>
      </w:rPr>
      <w:fldChar w:fldCharType="begin"/>
    </w:r>
    <w:r>
      <w:rPr>
        <w:b/>
        <w:i/>
      </w:rPr>
      <w:instrText>PAGE</w:instrText>
    </w:r>
    <w:r w:rsidR="00403E9A">
      <w:rPr>
        <w:b/>
        <w:i/>
      </w:rPr>
      <w:fldChar w:fldCharType="separate"/>
    </w:r>
    <w:r w:rsidR="00403E9A">
      <w:rPr>
        <w:b/>
        <w:i/>
        <w:noProof/>
      </w:rPr>
      <w:t>2</w:t>
    </w:r>
    <w:r>
      <w:rPr>
        <w:b/>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22C9" w14:textId="77777777" w:rsidR="00936E5E" w:rsidRDefault="002008DC">
    <w:pPr>
      <w:pBdr>
        <w:top w:val="nil"/>
        <w:left w:val="nil"/>
        <w:bottom w:val="nil"/>
        <w:right w:val="nil"/>
        <w:between w:val="nil"/>
      </w:pBdr>
      <w:tabs>
        <w:tab w:val="center" w:pos="4320"/>
        <w:tab w:val="right" w:pos="8640"/>
      </w:tabs>
      <w:spacing w:after="720" w:line="240" w:lineRule="auto"/>
      <w:ind w:right="-360"/>
      <w:jc w:val="center"/>
      <w:rPr>
        <w:rFonts w:ascii="Open Sans" w:eastAsia="Open Sans" w:hAnsi="Open Sans" w:cs="Open Sans"/>
        <w:color w:val="434343"/>
        <w:sz w:val="18"/>
        <w:szCs w:val="18"/>
      </w:rPr>
    </w:pPr>
    <w:r>
      <w:rPr>
        <w:rFonts w:ascii="Open Sans" w:eastAsia="Open Sans" w:hAnsi="Open Sans" w:cs="Open Sans"/>
        <w:noProof/>
        <w:color w:val="434343"/>
        <w:sz w:val="18"/>
        <w:szCs w:val="18"/>
      </w:rPr>
      <w:drawing>
        <wp:inline distT="0" distB="0" distL="0" distR="0" wp14:anchorId="523C5729" wp14:editId="6FE89DDA">
          <wp:extent cx="6134100" cy="361950"/>
          <wp:effectExtent l="0" t="0" r="0" b="0"/>
          <wp:docPr id="2" name="image2.png" descr="Line of logos for letterhead.png"/>
          <wp:cNvGraphicFramePr/>
          <a:graphic xmlns:a="http://schemas.openxmlformats.org/drawingml/2006/main">
            <a:graphicData uri="http://schemas.openxmlformats.org/drawingml/2006/picture">
              <pic:pic xmlns:pic="http://schemas.openxmlformats.org/drawingml/2006/picture">
                <pic:nvPicPr>
                  <pic:cNvPr id="0" name="image2.png" descr="Line of logos for letterhead.png"/>
                  <pic:cNvPicPr preferRelativeResize="0"/>
                </pic:nvPicPr>
                <pic:blipFill>
                  <a:blip r:embed="rId1"/>
                  <a:srcRect/>
                  <a:stretch>
                    <a:fillRect/>
                  </a:stretch>
                </pic:blipFill>
                <pic:spPr>
                  <a:xfrm>
                    <a:off x="0" y="0"/>
                    <a:ext cx="6134100" cy="361950"/>
                  </a:xfrm>
                  <a:prstGeom prst="rect">
                    <a:avLst/>
                  </a:prstGeom>
                  <a:ln/>
                </pic:spPr>
              </pic:pic>
            </a:graphicData>
          </a:graphic>
        </wp:inline>
      </w:drawing>
    </w:r>
  </w:p>
  <w:p w14:paraId="023636D7" w14:textId="77777777" w:rsidR="00936E5E" w:rsidRDefault="002008DC">
    <w:pPr>
      <w:pBdr>
        <w:top w:val="nil"/>
        <w:left w:val="nil"/>
        <w:bottom w:val="nil"/>
        <w:right w:val="nil"/>
        <w:between w:val="nil"/>
      </w:pBdr>
      <w:tabs>
        <w:tab w:val="center" w:pos="4320"/>
        <w:tab w:val="right" w:pos="8640"/>
      </w:tabs>
      <w:spacing w:after="720" w:line="240" w:lineRule="auto"/>
      <w:ind w:right="-360"/>
      <w:jc w:val="right"/>
      <w:rPr>
        <w:rFonts w:ascii="Open Sans" w:eastAsia="Open Sans" w:hAnsi="Open Sans" w:cs="Open Sans"/>
        <w:color w:val="434343"/>
        <w:sz w:val="18"/>
        <w:szCs w:val="18"/>
      </w:rPr>
    </w:pPr>
    <w:r>
      <w:rPr>
        <w:rFonts w:ascii="Open Sans" w:eastAsia="Open Sans" w:hAnsi="Open Sans" w:cs="Open Sans"/>
        <w:color w:val="434343"/>
        <w:sz w:val="18"/>
        <w:szCs w:val="18"/>
      </w:rPr>
      <w:fldChar w:fldCharType="begin"/>
    </w:r>
    <w:r>
      <w:rPr>
        <w:rFonts w:ascii="Open Sans" w:eastAsia="Open Sans" w:hAnsi="Open Sans" w:cs="Open Sans"/>
        <w:color w:val="434343"/>
        <w:sz w:val="18"/>
        <w:szCs w:val="18"/>
      </w:rPr>
      <w:instrText>PAGE</w:instrText>
    </w:r>
    <w:r w:rsidR="00403E9A">
      <w:rPr>
        <w:rFonts w:ascii="Open Sans" w:eastAsia="Open Sans" w:hAnsi="Open Sans" w:cs="Open Sans"/>
        <w:color w:val="434343"/>
        <w:sz w:val="18"/>
        <w:szCs w:val="18"/>
      </w:rPr>
      <w:fldChar w:fldCharType="separate"/>
    </w:r>
    <w:r w:rsidR="00403E9A">
      <w:rPr>
        <w:rFonts w:ascii="Open Sans" w:eastAsia="Open Sans" w:hAnsi="Open Sans" w:cs="Open Sans"/>
        <w:noProof/>
        <w:color w:val="434343"/>
        <w:sz w:val="18"/>
        <w:szCs w:val="18"/>
      </w:rPr>
      <w:t>1</w:t>
    </w:r>
    <w:r>
      <w:rPr>
        <w:rFonts w:ascii="Open Sans" w:eastAsia="Open Sans" w:hAnsi="Open Sans" w:cs="Open Sans"/>
        <w:color w:val="43434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41B6" w14:textId="77777777" w:rsidR="002008DC" w:rsidRDefault="002008DC">
      <w:pPr>
        <w:spacing w:line="240" w:lineRule="auto"/>
      </w:pPr>
      <w:r>
        <w:separator/>
      </w:r>
    </w:p>
  </w:footnote>
  <w:footnote w:type="continuationSeparator" w:id="0">
    <w:p w14:paraId="0D38B78A" w14:textId="77777777" w:rsidR="002008DC" w:rsidRDefault="00200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16DC" w14:textId="77777777" w:rsidR="00403E9A" w:rsidRDefault="00403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43B7" w14:textId="77777777" w:rsidR="00936E5E" w:rsidRDefault="00936E5E">
    <w:pPr>
      <w:pBdr>
        <w:top w:val="nil"/>
        <w:left w:val="nil"/>
        <w:bottom w:val="nil"/>
        <w:right w:val="nil"/>
        <w:between w:val="nil"/>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5646" w14:textId="77777777" w:rsidR="00936E5E" w:rsidRDefault="002008DC">
    <w:pPr>
      <w:pBdr>
        <w:top w:val="nil"/>
        <w:left w:val="nil"/>
        <w:bottom w:val="nil"/>
        <w:right w:val="nil"/>
        <w:between w:val="nil"/>
      </w:pBdr>
      <w:spacing w:before="720"/>
      <w:jc w:val="right"/>
      <w:rPr>
        <w:rFonts w:ascii="Open Sans" w:eastAsia="Open Sans" w:hAnsi="Open Sans" w:cs="Open Sans"/>
        <w:color w:val="434343"/>
        <w:sz w:val="18"/>
        <w:szCs w:val="18"/>
      </w:rPr>
    </w:pPr>
    <w:r>
      <w:rPr>
        <w:rFonts w:ascii="Open Sans" w:eastAsia="Open Sans" w:hAnsi="Open Sans" w:cs="Open Sans"/>
        <w:color w:val="434343"/>
        <w:sz w:val="16"/>
        <w:szCs w:val="16"/>
      </w:rPr>
      <w:t>2309 Meridian Street</w:t>
    </w:r>
    <w:r>
      <w:rPr>
        <w:rFonts w:ascii="Open Sans" w:eastAsia="Open Sans" w:hAnsi="Open Sans" w:cs="Open Sans"/>
        <w:color w:val="434343"/>
        <w:sz w:val="16"/>
        <w:szCs w:val="16"/>
      </w:rPr>
      <w:br/>
      <w:t>Bellingham, WA 98225</w:t>
    </w:r>
    <w:r>
      <w:rPr>
        <w:noProof/>
      </w:rPr>
      <w:drawing>
        <wp:anchor distT="57150" distB="57150" distL="57150" distR="57150" simplePos="0" relativeHeight="251658240" behindDoc="0" locked="0" layoutInCell="1" hidden="0" allowOverlap="1" wp14:anchorId="3FF282A5" wp14:editId="558AC46A">
          <wp:simplePos x="0" y="0"/>
          <wp:positionH relativeFrom="column">
            <wp:posOffset>2</wp:posOffset>
          </wp:positionH>
          <wp:positionV relativeFrom="paragraph">
            <wp:posOffset>428625</wp:posOffset>
          </wp:positionV>
          <wp:extent cx="2776220" cy="441960"/>
          <wp:effectExtent l="0" t="0" r="0" b="0"/>
          <wp:wrapSquare wrapText="bothSides" distT="57150" distB="57150" distL="57150" distR="57150"/>
          <wp:docPr id="1" name="image1.png" descr="RE Sources Logo.png"/>
          <wp:cNvGraphicFramePr/>
          <a:graphic xmlns:a="http://schemas.openxmlformats.org/drawingml/2006/main">
            <a:graphicData uri="http://schemas.openxmlformats.org/drawingml/2006/picture">
              <pic:pic xmlns:pic="http://schemas.openxmlformats.org/drawingml/2006/picture">
                <pic:nvPicPr>
                  <pic:cNvPr id="0" name="image1.png" descr="RE Sources Logo.png"/>
                  <pic:cNvPicPr preferRelativeResize="0"/>
                </pic:nvPicPr>
                <pic:blipFill>
                  <a:blip r:embed="rId1"/>
                  <a:srcRect/>
                  <a:stretch>
                    <a:fillRect/>
                  </a:stretch>
                </pic:blipFill>
                <pic:spPr>
                  <a:xfrm>
                    <a:off x="0" y="0"/>
                    <a:ext cx="2776220" cy="441960"/>
                  </a:xfrm>
                  <a:prstGeom prst="rect">
                    <a:avLst/>
                  </a:prstGeom>
                  <a:ln/>
                </pic:spPr>
              </pic:pic>
            </a:graphicData>
          </a:graphic>
        </wp:anchor>
      </w:drawing>
    </w:r>
  </w:p>
  <w:p w14:paraId="13E3A2FC" w14:textId="77777777" w:rsidR="00936E5E" w:rsidRDefault="002008DC">
    <w:pPr>
      <w:pBdr>
        <w:top w:val="nil"/>
        <w:left w:val="nil"/>
        <w:bottom w:val="nil"/>
        <w:right w:val="nil"/>
        <w:between w:val="nil"/>
      </w:pBdr>
      <w:jc w:val="right"/>
    </w:pPr>
    <w:r>
      <w:rPr>
        <w:rFonts w:ascii="Open Sans" w:eastAsia="Open Sans" w:hAnsi="Open Sans" w:cs="Open Sans"/>
        <w:color w:val="434343"/>
        <w:sz w:val="16"/>
        <w:szCs w:val="16"/>
      </w:rPr>
      <w:t>(360) 733-8307 • re-sources.org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5E"/>
    <w:rsid w:val="002008DC"/>
    <w:rsid w:val="00403E9A"/>
    <w:rsid w:val="00594A96"/>
    <w:rsid w:val="0093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9CD8B"/>
  <w15:docId w15:val="{9D041879-CA41-2044-BE97-05526ECD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03E9A"/>
    <w:pPr>
      <w:tabs>
        <w:tab w:val="center" w:pos="4680"/>
        <w:tab w:val="right" w:pos="9360"/>
      </w:tabs>
      <w:spacing w:line="240" w:lineRule="auto"/>
    </w:pPr>
  </w:style>
  <w:style w:type="character" w:customStyle="1" w:styleId="HeaderChar">
    <w:name w:val="Header Char"/>
    <w:basedOn w:val="DefaultParagraphFont"/>
    <w:link w:val="Header"/>
    <w:uiPriority w:val="99"/>
    <w:rsid w:val="00403E9A"/>
  </w:style>
  <w:style w:type="paragraph" w:styleId="Footer">
    <w:name w:val="footer"/>
    <w:basedOn w:val="Normal"/>
    <w:link w:val="FooterChar"/>
    <w:uiPriority w:val="99"/>
    <w:unhideWhenUsed/>
    <w:rsid w:val="00403E9A"/>
    <w:pPr>
      <w:tabs>
        <w:tab w:val="center" w:pos="4680"/>
        <w:tab w:val="right" w:pos="9360"/>
      </w:tabs>
      <w:spacing w:line="240" w:lineRule="auto"/>
    </w:pPr>
  </w:style>
  <w:style w:type="character" w:customStyle="1" w:styleId="FooterChar">
    <w:name w:val="Footer Char"/>
    <w:basedOn w:val="DefaultParagraphFont"/>
    <w:link w:val="Footer"/>
    <w:uiPriority w:val="99"/>
    <w:rsid w:val="0040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yndel.com/downloads/dl/file/id/11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nr.wa.gov/sites/default/files/publications/aqr_cypress_investigation_report.pdf?vdqi7rk&amp;exb4g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2019-02-25T22:30:00Z</dcterms:created>
  <dcterms:modified xsi:type="dcterms:W3CDTF">2019-02-25T22:30:00Z</dcterms:modified>
</cp:coreProperties>
</file>