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4C16" w14:textId="77777777" w:rsidR="008B1F7D" w:rsidRDefault="00F84310" w:rsidP="00F84310">
      <w:pPr>
        <w:rPr>
          <w:rFonts w:ascii="Arial" w:hAnsi="Arial"/>
          <w:b/>
          <w:smallCaps/>
          <w:spacing w:val="25"/>
          <w:sz w:val="44"/>
          <w:szCs w:val="44"/>
        </w:rPr>
      </w:pPr>
      <w:r w:rsidRPr="00F84310">
        <w:rPr>
          <w:rFonts w:ascii="Arial" w:hAnsi="Arial"/>
          <w:b/>
          <w:smallCaps/>
          <w:spacing w:val="25"/>
          <w:sz w:val="44"/>
          <w:szCs w:val="44"/>
        </w:rPr>
        <w:t>Memorandum</w:t>
      </w:r>
    </w:p>
    <w:tbl>
      <w:tblPr>
        <w:tblW w:w="94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8280"/>
      </w:tblGrid>
      <w:tr w:rsidR="007B53A3" w14:paraId="0E08D43D" w14:textId="77777777" w:rsidTr="002223CA">
        <w:tc>
          <w:tcPr>
            <w:tcW w:w="1195" w:type="dxa"/>
            <w:tcBorders>
              <w:top w:val="single" w:sz="18" w:space="0" w:color="7F7F7F" w:themeColor="text1" w:themeTint="80"/>
            </w:tcBorders>
          </w:tcPr>
          <w:p w14:paraId="200EBDA3" w14:textId="77777777" w:rsidR="007B53A3" w:rsidRDefault="007B53A3" w:rsidP="008045D9">
            <w:pPr>
              <w:tabs>
                <w:tab w:val="left" w:pos="1080"/>
              </w:tabs>
              <w:spacing w:before="40" w:after="80"/>
              <w:rPr>
                <w:rFonts w:ascii="Humanst521 Cn BT" w:hAnsi="Humanst521 Cn BT"/>
              </w:rPr>
            </w:pPr>
          </w:p>
        </w:tc>
        <w:tc>
          <w:tcPr>
            <w:tcW w:w="8280" w:type="dxa"/>
            <w:tcBorders>
              <w:top w:val="single" w:sz="18" w:space="0" w:color="7F7F7F" w:themeColor="text1" w:themeTint="80"/>
            </w:tcBorders>
          </w:tcPr>
          <w:p w14:paraId="708DE14A" w14:textId="77777777" w:rsidR="007B53A3" w:rsidRDefault="007B53A3" w:rsidP="008045D9">
            <w:pPr>
              <w:tabs>
                <w:tab w:val="left" w:pos="1080"/>
              </w:tabs>
              <w:spacing w:before="40" w:after="40"/>
            </w:pPr>
          </w:p>
        </w:tc>
      </w:tr>
      <w:tr w:rsidR="001547AD" w14:paraId="4D0B9A53" w14:textId="77777777" w:rsidTr="002223CA">
        <w:tc>
          <w:tcPr>
            <w:tcW w:w="1195" w:type="dxa"/>
          </w:tcPr>
          <w:p w14:paraId="03C2E17C" w14:textId="77777777" w:rsidR="001547AD" w:rsidRPr="00F84310" w:rsidRDefault="001547AD" w:rsidP="009931E7">
            <w:pPr>
              <w:tabs>
                <w:tab w:val="left" w:pos="1080"/>
              </w:tabs>
              <w:spacing w:before="40" w:after="8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To:</w:t>
            </w:r>
            <w:r w:rsidR="000C2A5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14:paraId="665103CC" w14:textId="7FAC65E0" w:rsidR="001547AD" w:rsidRDefault="005470B8" w:rsidP="00F84310">
            <w:pPr>
              <w:tabs>
                <w:tab w:val="left" w:pos="1080"/>
              </w:tabs>
              <w:spacing w:before="40" w:after="40"/>
            </w:pPr>
            <w:r>
              <w:t xml:space="preserve">Washington State Department of Ecology </w:t>
            </w:r>
          </w:p>
        </w:tc>
      </w:tr>
      <w:tr w:rsidR="008B1F7D" w14:paraId="2CFF619C" w14:textId="77777777" w:rsidTr="002223CA">
        <w:tc>
          <w:tcPr>
            <w:tcW w:w="1195" w:type="dxa"/>
          </w:tcPr>
          <w:p w14:paraId="512C4D99" w14:textId="77777777" w:rsidR="008B1F7D" w:rsidRPr="00F84310" w:rsidRDefault="00F84310" w:rsidP="009931E7">
            <w:pPr>
              <w:tabs>
                <w:tab w:val="left" w:pos="1080"/>
              </w:tabs>
              <w:spacing w:before="40" w:after="80"/>
              <w:rPr>
                <w:rFonts w:ascii="Arial" w:hAnsi="Arial"/>
                <w:b/>
                <w:sz w:val="22"/>
                <w:szCs w:val="22"/>
              </w:rPr>
            </w:pPr>
            <w:r w:rsidRPr="00F84310">
              <w:rPr>
                <w:rFonts w:ascii="Arial" w:hAnsi="Arial"/>
                <w:b/>
                <w:sz w:val="22"/>
                <w:szCs w:val="22"/>
              </w:rPr>
              <w:t>From:</w:t>
            </w:r>
            <w:r w:rsidR="000C2A5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14:paraId="2BA9D28E" w14:textId="088CD09A" w:rsidR="008B1F7D" w:rsidRDefault="002B5A99" w:rsidP="00F84310">
            <w:pPr>
              <w:tabs>
                <w:tab w:val="left" w:pos="1080"/>
              </w:tabs>
              <w:spacing w:before="40" w:after="40"/>
            </w:pPr>
            <w:r>
              <w:t xml:space="preserve">Aaron Edgington, </w:t>
            </w:r>
            <w:r w:rsidR="004D77A2">
              <w:t>Abby Hawley</w:t>
            </w:r>
            <w:r w:rsidR="005470B8">
              <w:t xml:space="preserve">, EIT, </w:t>
            </w:r>
            <w:r>
              <w:t xml:space="preserve">and Kathy Godtfredson </w:t>
            </w:r>
            <w:r w:rsidR="005470B8">
              <w:t>Windward Environmental LLC</w:t>
            </w:r>
          </w:p>
        </w:tc>
      </w:tr>
      <w:tr w:rsidR="008B1F7D" w14:paraId="39E1722B" w14:textId="77777777" w:rsidTr="002223CA">
        <w:tc>
          <w:tcPr>
            <w:tcW w:w="1195" w:type="dxa"/>
          </w:tcPr>
          <w:p w14:paraId="5C507736" w14:textId="77777777" w:rsidR="008B1F7D" w:rsidRPr="00F84310" w:rsidRDefault="00F84310" w:rsidP="009931E7">
            <w:pPr>
              <w:tabs>
                <w:tab w:val="left" w:pos="1080"/>
              </w:tabs>
              <w:spacing w:before="40" w:after="80"/>
              <w:rPr>
                <w:rFonts w:ascii="Arial" w:hAnsi="Arial"/>
                <w:b/>
                <w:sz w:val="22"/>
                <w:szCs w:val="22"/>
              </w:rPr>
            </w:pPr>
            <w:r w:rsidRPr="00F84310">
              <w:rPr>
                <w:rFonts w:ascii="Arial" w:hAnsi="Arial"/>
                <w:b/>
                <w:sz w:val="22"/>
                <w:szCs w:val="22"/>
              </w:rPr>
              <w:t>Subject:</w:t>
            </w:r>
            <w:r w:rsidR="000C2A5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14:paraId="15FA2EC8" w14:textId="6769F3AB" w:rsidR="008B1F7D" w:rsidRDefault="00FF33B3" w:rsidP="00AD26A4">
            <w:pPr>
              <w:tabs>
                <w:tab w:val="left" w:pos="1080"/>
              </w:tabs>
              <w:spacing w:before="40" w:after="40"/>
            </w:pPr>
            <w:r>
              <w:t xml:space="preserve">Comments </w:t>
            </w:r>
            <w:r w:rsidR="005470B8">
              <w:t xml:space="preserve">on </w:t>
            </w:r>
            <w:r w:rsidR="00AD26A4">
              <w:t>the draft</w:t>
            </w:r>
            <w:r>
              <w:t xml:space="preserve"> Industrial Stormwater General Permit</w:t>
            </w:r>
          </w:p>
        </w:tc>
      </w:tr>
      <w:tr w:rsidR="008B1F7D" w14:paraId="480FC1A8" w14:textId="77777777" w:rsidTr="002223CA">
        <w:tc>
          <w:tcPr>
            <w:tcW w:w="1195" w:type="dxa"/>
            <w:tcBorders>
              <w:bottom w:val="single" w:sz="6" w:space="0" w:color="A6A6A6" w:themeColor="background1" w:themeShade="A6"/>
            </w:tcBorders>
          </w:tcPr>
          <w:p w14:paraId="18E5A85A" w14:textId="77777777" w:rsidR="008B1F7D" w:rsidRPr="00F84310" w:rsidRDefault="00F84310" w:rsidP="009931E7">
            <w:pPr>
              <w:tabs>
                <w:tab w:val="left" w:pos="1080"/>
              </w:tabs>
              <w:spacing w:before="40" w:after="80"/>
              <w:rPr>
                <w:rFonts w:ascii="Arial" w:hAnsi="Arial"/>
                <w:b/>
                <w:sz w:val="22"/>
                <w:szCs w:val="22"/>
              </w:rPr>
            </w:pPr>
            <w:r w:rsidRPr="00F84310">
              <w:rPr>
                <w:rFonts w:ascii="Arial" w:hAnsi="Arial"/>
                <w:b/>
                <w:sz w:val="22"/>
                <w:szCs w:val="22"/>
              </w:rPr>
              <w:t>Date:</w:t>
            </w:r>
            <w:r w:rsidR="000C2A5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tcBorders>
              <w:bottom w:val="single" w:sz="6" w:space="0" w:color="A6A6A6" w:themeColor="background1" w:themeShade="A6"/>
            </w:tcBorders>
          </w:tcPr>
          <w:p w14:paraId="3D78382C" w14:textId="77777777" w:rsidR="008B1F7D" w:rsidRDefault="009B75B6" w:rsidP="00F84310">
            <w:pPr>
              <w:tabs>
                <w:tab w:val="left" w:pos="1080"/>
              </w:tabs>
              <w:spacing w:before="40" w:after="40"/>
            </w:pPr>
            <w:r>
              <w:t>June 28, 2019</w:t>
            </w:r>
          </w:p>
        </w:tc>
      </w:tr>
      <w:tr w:rsidR="009D34B3" w14:paraId="20225D04" w14:textId="77777777" w:rsidTr="002223CA">
        <w:tc>
          <w:tcPr>
            <w:tcW w:w="1195" w:type="dxa"/>
            <w:tcBorders>
              <w:top w:val="single" w:sz="6" w:space="0" w:color="A6A6A6" w:themeColor="background1" w:themeShade="A6"/>
            </w:tcBorders>
          </w:tcPr>
          <w:p w14:paraId="68D045BD" w14:textId="77777777" w:rsidR="009D34B3" w:rsidRDefault="009D34B3" w:rsidP="00F84310">
            <w:pPr>
              <w:tabs>
                <w:tab w:val="left" w:pos="1080"/>
              </w:tabs>
              <w:spacing w:before="40" w:after="80"/>
              <w:rPr>
                <w:rFonts w:ascii="Humanst521 Cn BT" w:hAnsi="Humanst521 Cn BT"/>
              </w:rPr>
            </w:pPr>
          </w:p>
        </w:tc>
        <w:tc>
          <w:tcPr>
            <w:tcW w:w="8280" w:type="dxa"/>
            <w:tcBorders>
              <w:top w:val="single" w:sz="6" w:space="0" w:color="A6A6A6" w:themeColor="background1" w:themeShade="A6"/>
            </w:tcBorders>
          </w:tcPr>
          <w:p w14:paraId="1910448C" w14:textId="77777777" w:rsidR="009D34B3" w:rsidRDefault="009D34B3" w:rsidP="00F84310">
            <w:pPr>
              <w:tabs>
                <w:tab w:val="left" w:pos="1080"/>
              </w:tabs>
              <w:spacing w:before="40" w:after="40"/>
            </w:pPr>
          </w:p>
        </w:tc>
      </w:tr>
    </w:tbl>
    <w:p w14:paraId="00469941" w14:textId="40887F01" w:rsidR="002F0387" w:rsidRDefault="002F0387">
      <w:pPr>
        <w:pStyle w:val="Defaultparagraph"/>
      </w:pPr>
      <w:r>
        <w:t xml:space="preserve">Thank you for offering the opportunity to comment on the Washington State Department of Ecology’s (Ecology’s) draft National Pollutant Discharge Elimination System (NPDES) Industrial Stormwater General Permit (ISGP). </w:t>
      </w:r>
      <w:r w:rsidR="005470B8">
        <w:t>This memorandum</w:t>
      </w:r>
      <w:r w:rsidR="00B90218">
        <w:t xml:space="preserve"> provide</w:t>
      </w:r>
      <w:r w:rsidR="005470B8">
        <w:t>s Windward Environmental LLC’s (Windward’s)</w:t>
      </w:r>
      <w:r w:rsidR="00B90218">
        <w:t xml:space="preserve"> comments. </w:t>
      </w:r>
    </w:p>
    <w:p w14:paraId="6A0FE228" w14:textId="3E87F173" w:rsidR="00B90218" w:rsidRDefault="00B90218">
      <w:pPr>
        <w:pStyle w:val="Defaultparagraph"/>
      </w:pPr>
      <w:r>
        <w:t xml:space="preserve">The </w:t>
      </w:r>
      <w:r w:rsidR="005470B8">
        <w:t xml:space="preserve">most substantial </w:t>
      </w:r>
      <w:r>
        <w:t xml:space="preserve">proposed changes </w:t>
      </w:r>
      <w:r w:rsidR="005470B8">
        <w:t xml:space="preserve">to this permit </w:t>
      </w:r>
      <w:r w:rsidR="00A2450B">
        <w:t xml:space="preserve">from the 2015 version of the ISGP </w:t>
      </w:r>
      <w:r w:rsidR="005470B8">
        <w:t>include</w:t>
      </w:r>
      <w:r>
        <w:t>:</w:t>
      </w:r>
    </w:p>
    <w:p w14:paraId="7E6418E1" w14:textId="00C14EB9" w:rsidR="00595868" w:rsidRDefault="00A2450B" w:rsidP="00B90218">
      <w:pPr>
        <w:pStyle w:val="Defaultparagraph"/>
        <w:numPr>
          <w:ilvl w:val="0"/>
          <w:numId w:val="6"/>
        </w:numPr>
      </w:pPr>
      <w:r>
        <w:t>The addition of</w:t>
      </w:r>
      <w:r w:rsidR="00B90218">
        <w:t xml:space="preserve"> two new industry groups </w:t>
      </w:r>
      <w:r w:rsidR="005470B8">
        <w:t xml:space="preserve">to those </w:t>
      </w:r>
      <w:r>
        <w:t xml:space="preserve">groups </w:t>
      </w:r>
      <w:r w:rsidR="005470B8">
        <w:t xml:space="preserve">requiring ISGP </w:t>
      </w:r>
      <w:r w:rsidR="00B90218">
        <w:t>coverage:</w:t>
      </w:r>
    </w:p>
    <w:p w14:paraId="611B75B5" w14:textId="2E0AD9DF" w:rsidR="00B90218" w:rsidRDefault="00B90218" w:rsidP="00B90218">
      <w:pPr>
        <w:pStyle w:val="Defaultparagraph"/>
        <w:numPr>
          <w:ilvl w:val="1"/>
          <w:numId w:val="6"/>
        </w:numPr>
      </w:pPr>
      <w:r>
        <w:t>Marine construction</w:t>
      </w:r>
      <w:r w:rsidR="00A2450B">
        <w:t>.</w:t>
      </w:r>
    </w:p>
    <w:p w14:paraId="757F9843" w14:textId="71550638" w:rsidR="00B90218" w:rsidRDefault="00B90218" w:rsidP="00B90218">
      <w:pPr>
        <w:pStyle w:val="Defaultparagraph"/>
        <w:numPr>
          <w:ilvl w:val="1"/>
          <w:numId w:val="6"/>
        </w:numPr>
      </w:pPr>
      <w:r>
        <w:t>Construction, transportation, and mining equipment rental and leasing</w:t>
      </w:r>
      <w:r w:rsidR="00A2450B">
        <w:t>.</w:t>
      </w:r>
    </w:p>
    <w:p w14:paraId="38C1D312" w14:textId="71ADE3B6" w:rsidR="00B90218" w:rsidRDefault="00A2450B" w:rsidP="00B90218">
      <w:pPr>
        <w:pStyle w:val="Defaultparagraph"/>
        <w:numPr>
          <w:ilvl w:val="0"/>
          <w:numId w:val="6"/>
        </w:numPr>
      </w:pPr>
      <w:r>
        <w:t xml:space="preserve">The change </w:t>
      </w:r>
      <w:r w:rsidR="002F0387">
        <w:t>in</w:t>
      </w:r>
      <w:r w:rsidR="00B90218">
        <w:t xml:space="preserve"> timing of </w:t>
      </w:r>
      <w:r w:rsidR="005470B8">
        <w:t xml:space="preserve">the required </w:t>
      </w:r>
      <w:r w:rsidR="00B90218">
        <w:t>first flush</w:t>
      </w:r>
      <w:r w:rsidR="005470B8">
        <w:t xml:space="preserve"> </w:t>
      </w:r>
      <w:r>
        <w:t>sampling event.</w:t>
      </w:r>
    </w:p>
    <w:p w14:paraId="5AD1B955" w14:textId="77777777" w:rsidR="00E73439" w:rsidRDefault="00E73439" w:rsidP="00E73439">
      <w:pPr>
        <w:pStyle w:val="Defaultparagraph"/>
        <w:numPr>
          <w:ilvl w:val="0"/>
          <w:numId w:val="6"/>
        </w:numPr>
      </w:pPr>
      <w:r>
        <w:t>Revisions to the requirements for consistent attainment.</w:t>
      </w:r>
    </w:p>
    <w:p w14:paraId="75C29FDF" w14:textId="59715177" w:rsidR="00E73439" w:rsidRDefault="00E73439" w:rsidP="00B90218">
      <w:pPr>
        <w:pStyle w:val="Defaultparagraph"/>
      </w:pPr>
      <w:r>
        <w:t xml:space="preserve">We have comments on timing of the required first flush sampling event. </w:t>
      </w:r>
    </w:p>
    <w:p w14:paraId="2BEDAE0B" w14:textId="697423DA" w:rsidR="00354C27" w:rsidRDefault="00354C27" w:rsidP="00354C27">
      <w:pPr>
        <w:pStyle w:val="Heading2"/>
      </w:pPr>
      <w:r>
        <w:t>First Flush Sampling Event</w:t>
      </w:r>
    </w:p>
    <w:p w14:paraId="541486B2" w14:textId="3EDC7E1F" w:rsidR="00A37BE7" w:rsidRDefault="00354C27">
      <w:pPr>
        <w:pStyle w:val="Defaultparagraph"/>
      </w:pPr>
      <w:r>
        <w:t>Changes to first flush</w:t>
      </w:r>
      <w:r w:rsidR="00936836">
        <w:t xml:space="preserve"> timing</w:t>
      </w:r>
      <w:r>
        <w:t>, as outlined in section S4.B.1, would present an undue burden on some permittees in the state of Washington</w:t>
      </w:r>
      <w:r w:rsidR="00936836">
        <w:t xml:space="preserve"> based on their geographical location.</w:t>
      </w:r>
      <w:r>
        <w:t xml:space="preserve">. </w:t>
      </w:r>
      <w:r w:rsidR="00936836">
        <w:t xml:space="preserve">The change would require first flush sampling “on or after September 1” rather than “on or after October 1.” </w:t>
      </w:r>
      <w:r w:rsidR="00A6445F">
        <w:t xml:space="preserve">Table 1 presents September precipitation data from the National Weather Service for </w:t>
      </w:r>
      <w:r w:rsidR="00AD26A4">
        <w:t xml:space="preserve">select </w:t>
      </w:r>
      <w:r w:rsidR="00A6445F">
        <w:t xml:space="preserve">metropolitan areas throughout the state of </w:t>
      </w:r>
      <w:r w:rsidR="00A6445F">
        <w:lastRenderedPageBreak/>
        <w:t xml:space="preserve">Washington from 2015 </w:t>
      </w:r>
      <w:r w:rsidR="004F67D8">
        <w:t>to</w:t>
      </w:r>
      <w:r w:rsidR="00A6445F">
        <w:t xml:space="preserve"> 2018. These metropolitan areas cover regions west of the Cascade Mountains (Seattle-Tacoma and Olympia), east of the Cascade Mountains</w:t>
      </w:r>
      <w:r w:rsidR="00AD26A4">
        <w:t xml:space="preserve"> in central Washington</w:t>
      </w:r>
      <w:r w:rsidR="00A6445F">
        <w:t xml:space="preserve"> (Wenatchee, Mosses Lake, and Pasco), and east of the Cascade Mountains near the</w:t>
      </w:r>
      <w:r w:rsidR="00FA3DDF">
        <w:t xml:space="preserve"> Washington – Idaho boarder</w:t>
      </w:r>
      <w:r w:rsidR="00A6445F">
        <w:t xml:space="preserve"> (Spokane).</w:t>
      </w:r>
      <w:r w:rsidR="00582975">
        <w:t xml:space="preserve"> </w:t>
      </w:r>
    </w:p>
    <w:p w14:paraId="78509AB7" w14:textId="77777777" w:rsidR="00951EFC" w:rsidRDefault="00951EFC" w:rsidP="00951EFC">
      <w:pPr>
        <w:pStyle w:val="TableTitle"/>
      </w:pPr>
      <w:r>
        <w:t>Table 1.</w:t>
      </w:r>
      <w:r>
        <w:tab/>
        <w:t xml:space="preserve">Precipitation Amounts for the Month of September in Major Metropolitan Areas of Washington State for Years 2018-2015 </w:t>
      </w:r>
    </w:p>
    <w:tbl>
      <w:tblPr>
        <w:tblStyle w:val="TableGrid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814"/>
        <w:gridCol w:w="1321"/>
        <w:gridCol w:w="1420"/>
        <w:gridCol w:w="1689"/>
        <w:gridCol w:w="1550"/>
        <w:gridCol w:w="1550"/>
      </w:tblGrid>
      <w:tr w:rsidR="00951EFC" w14:paraId="4C898C99" w14:textId="77777777" w:rsidTr="00D435DB">
        <w:trPr>
          <w:tblHeader/>
        </w:trPr>
        <w:tc>
          <w:tcPr>
            <w:tcW w:w="1814" w:type="dxa"/>
            <w:shd w:val="clear" w:color="auto" w:fill="D9D9D9" w:themeFill="background1" w:themeFillShade="D9"/>
            <w:vAlign w:val="bottom"/>
          </w:tcPr>
          <w:p w14:paraId="474C4881" w14:textId="77777777" w:rsidR="00951EFC" w:rsidRDefault="00951EFC" w:rsidP="00D435DB">
            <w:pPr>
              <w:pStyle w:val="TableHeaderRow"/>
            </w:pPr>
            <w:r>
              <w:t>Location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486579A" w14:textId="77777777" w:rsidR="00951EFC" w:rsidRDefault="00951EFC" w:rsidP="00D435DB">
            <w:pPr>
              <w:pStyle w:val="TableHeaderRow"/>
            </w:pPr>
            <w:r>
              <w:t>Region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14:paraId="40DB8783" w14:textId="77777777" w:rsidR="00951EFC" w:rsidRDefault="00951EFC" w:rsidP="00D435DB">
            <w:pPr>
              <w:pStyle w:val="TableHeaderRow"/>
            </w:pPr>
            <w:r>
              <w:t>Year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bottom"/>
          </w:tcPr>
          <w:p w14:paraId="40EA7AE4" w14:textId="77777777" w:rsidR="00951EFC" w:rsidRDefault="00951EFC" w:rsidP="00D435DB">
            <w:pPr>
              <w:pStyle w:val="TableHeaderRow"/>
            </w:pPr>
            <w:r>
              <w:t>Monthly Total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14:paraId="7E794F8C" w14:textId="77777777" w:rsidR="00951EFC" w:rsidRDefault="00951EFC" w:rsidP="00D435DB">
            <w:pPr>
              <w:pStyle w:val="TableHeaderRow"/>
            </w:pPr>
            <w:r>
              <w:t>Daily Min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14:paraId="0EED9C15" w14:textId="77777777" w:rsidR="00951EFC" w:rsidRDefault="00951EFC" w:rsidP="00D435DB">
            <w:pPr>
              <w:pStyle w:val="TableHeaderRow"/>
            </w:pPr>
            <w:r>
              <w:t>Daily Max</w:t>
            </w:r>
          </w:p>
        </w:tc>
      </w:tr>
      <w:tr w:rsidR="00951EFC" w14:paraId="43EAF9EE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53E3A18C" w14:textId="77777777" w:rsidR="00951EFC" w:rsidRDefault="00951EFC" w:rsidP="00D435DB">
            <w:pPr>
              <w:pStyle w:val="TableText"/>
            </w:pPr>
            <w:r>
              <w:t>Seattle-Tacoma</w:t>
            </w:r>
          </w:p>
        </w:tc>
        <w:tc>
          <w:tcPr>
            <w:tcW w:w="1321" w:type="dxa"/>
            <w:vMerge w:val="restart"/>
            <w:vAlign w:val="center"/>
          </w:tcPr>
          <w:p w14:paraId="5EB95B23" w14:textId="77777777" w:rsidR="00951EFC" w:rsidRDefault="00951EFC" w:rsidP="00D435DB">
            <w:pPr>
              <w:pStyle w:val="TableText"/>
              <w:jc w:val="center"/>
            </w:pPr>
            <w:r>
              <w:t>Western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EA4168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0DBF7A4" w14:textId="77777777" w:rsidR="00951EFC" w:rsidRDefault="00951EFC" w:rsidP="00D435DB">
            <w:pPr>
              <w:pStyle w:val="TableText"/>
            </w:pPr>
            <w:r>
              <w:t>1.04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1B825A5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0890755" w14:textId="77777777" w:rsidR="00951EFC" w:rsidRPr="00FE29D2" w:rsidRDefault="00951EFC" w:rsidP="00D435DB">
            <w:pPr>
              <w:pStyle w:val="TableText"/>
            </w:pPr>
            <w:r w:rsidRPr="00FE29D2">
              <w:t>0.42</w:t>
            </w:r>
          </w:p>
        </w:tc>
      </w:tr>
      <w:tr w:rsidR="00951EFC" w14:paraId="1E1E0B56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28830630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  <w:vAlign w:val="center"/>
          </w:tcPr>
          <w:p w14:paraId="45913A67" w14:textId="77777777" w:rsidR="00951EFC" w:rsidRDefault="00951EFC" w:rsidP="00D435DB">
            <w:pPr>
              <w:pStyle w:val="TableText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F7A4886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13D24FB" w14:textId="77777777" w:rsidR="00951EFC" w:rsidRDefault="00951EFC" w:rsidP="00D435DB">
            <w:pPr>
              <w:pStyle w:val="TableText"/>
            </w:pPr>
            <w:r>
              <w:t>0.59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1C08507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BC4133" w14:textId="77777777" w:rsidR="00951EFC" w:rsidRPr="00FE29D2" w:rsidRDefault="00951EFC" w:rsidP="00D435DB">
            <w:pPr>
              <w:pStyle w:val="TableText"/>
            </w:pPr>
            <w:r w:rsidRPr="00FE29D2">
              <w:t>0.16</w:t>
            </w:r>
          </w:p>
        </w:tc>
      </w:tr>
      <w:tr w:rsidR="00951EFC" w14:paraId="135BCF99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01A59280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  <w:vAlign w:val="center"/>
          </w:tcPr>
          <w:p w14:paraId="47F1EB14" w14:textId="77777777" w:rsidR="00951EFC" w:rsidRDefault="00951EFC" w:rsidP="00D435DB">
            <w:pPr>
              <w:pStyle w:val="TableText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6D4290C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377AF1" w14:textId="77777777" w:rsidR="00951EFC" w:rsidRDefault="00951EFC" w:rsidP="00D435DB">
            <w:pPr>
              <w:pStyle w:val="TableText"/>
            </w:pPr>
            <w:r>
              <w:t>1.05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F743143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792BCA5" w14:textId="77777777" w:rsidR="00951EFC" w:rsidRPr="00FE29D2" w:rsidRDefault="00951EFC" w:rsidP="00D435DB">
            <w:pPr>
              <w:pStyle w:val="TableText"/>
            </w:pPr>
            <w:r w:rsidRPr="00FE29D2">
              <w:t>0.42</w:t>
            </w:r>
          </w:p>
        </w:tc>
      </w:tr>
      <w:tr w:rsidR="00951EFC" w14:paraId="614E596C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4437E943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  <w:vAlign w:val="center"/>
          </w:tcPr>
          <w:p w14:paraId="2FFC9086" w14:textId="77777777" w:rsidR="00951EFC" w:rsidRDefault="00951EFC" w:rsidP="00D435DB">
            <w:pPr>
              <w:pStyle w:val="TableText"/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7412EB6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AA9C146" w14:textId="77777777" w:rsidR="00951EFC" w:rsidRDefault="00951EFC" w:rsidP="00D435DB">
            <w:pPr>
              <w:pStyle w:val="TableText"/>
            </w:pPr>
            <w:r>
              <w:t>0.83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D688D60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F044169" w14:textId="77777777" w:rsidR="00951EFC" w:rsidRPr="00FE29D2" w:rsidRDefault="00951EFC" w:rsidP="00D435DB">
            <w:pPr>
              <w:pStyle w:val="TableText"/>
            </w:pPr>
            <w:r w:rsidRPr="00FE29D2">
              <w:t>0.23</w:t>
            </w:r>
          </w:p>
        </w:tc>
      </w:tr>
      <w:tr w:rsidR="00951EFC" w14:paraId="3B7FA5A1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15C95CE1" w14:textId="77777777" w:rsidR="00951EFC" w:rsidRDefault="00951EFC" w:rsidP="00D435DB">
            <w:pPr>
              <w:pStyle w:val="TableText"/>
            </w:pPr>
            <w:r>
              <w:t>Olympia</w:t>
            </w:r>
          </w:p>
        </w:tc>
        <w:tc>
          <w:tcPr>
            <w:tcW w:w="1321" w:type="dxa"/>
            <w:vMerge w:val="restart"/>
            <w:vAlign w:val="center"/>
          </w:tcPr>
          <w:p w14:paraId="68FCD2A4" w14:textId="77777777" w:rsidR="00951EFC" w:rsidRDefault="00951EFC" w:rsidP="00D435DB">
            <w:pPr>
              <w:pStyle w:val="TableText"/>
              <w:jc w:val="center"/>
            </w:pPr>
            <w:r>
              <w:t>Western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29D28B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D7EE6BA" w14:textId="77777777" w:rsidR="00951EFC" w:rsidRDefault="00951EFC" w:rsidP="00D435DB">
            <w:pPr>
              <w:pStyle w:val="TableText"/>
            </w:pPr>
            <w:r>
              <w:t>2.06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8664B4F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763D218" w14:textId="77777777" w:rsidR="00951EFC" w:rsidRPr="00FE29D2" w:rsidRDefault="00951EFC" w:rsidP="00D435DB">
            <w:pPr>
              <w:pStyle w:val="TableText"/>
            </w:pPr>
            <w:r w:rsidRPr="00FE29D2">
              <w:t>0.59</w:t>
            </w:r>
          </w:p>
        </w:tc>
      </w:tr>
      <w:tr w:rsidR="00951EFC" w14:paraId="0AA75D6E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2B01F332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04DB999D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A0C458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D995987" w14:textId="77777777" w:rsidR="00951EFC" w:rsidRDefault="00951EFC" w:rsidP="00D435DB">
            <w:pPr>
              <w:pStyle w:val="TableText"/>
            </w:pPr>
            <w:r>
              <w:t>1.24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F0C9019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00D2E5" w14:textId="77777777" w:rsidR="00951EFC" w:rsidRPr="00FE29D2" w:rsidRDefault="00951EFC" w:rsidP="00D435DB">
            <w:pPr>
              <w:pStyle w:val="TableText"/>
            </w:pPr>
            <w:r w:rsidRPr="00FE29D2">
              <w:t>0.45</w:t>
            </w:r>
          </w:p>
        </w:tc>
      </w:tr>
      <w:tr w:rsidR="00951EFC" w14:paraId="56835827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51B80E51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1D0A0C99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59214E3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03810FE" w14:textId="77777777" w:rsidR="00951EFC" w:rsidRDefault="00951EFC" w:rsidP="00D435DB">
            <w:pPr>
              <w:pStyle w:val="TableText"/>
            </w:pPr>
            <w:r>
              <w:t>1.73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F0D9E2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FE38572" w14:textId="77777777" w:rsidR="00951EFC" w:rsidRPr="00FE29D2" w:rsidRDefault="00951EFC" w:rsidP="00D435DB">
            <w:pPr>
              <w:pStyle w:val="TableText"/>
            </w:pPr>
            <w:r w:rsidRPr="00FE29D2">
              <w:t>0.53</w:t>
            </w:r>
          </w:p>
        </w:tc>
      </w:tr>
      <w:tr w:rsidR="00951EFC" w14:paraId="7BBA7C83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07D9C62F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4894AFC6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280956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9FAE9E2" w14:textId="77777777" w:rsidR="00951EFC" w:rsidRDefault="00951EFC" w:rsidP="00D435DB">
            <w:pPr>
              <w:pStyle w:val="TableText"/>
            </w:pPr>
            <w:r>
              <w:t>0.90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9EB3B13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4615AD" w14:textId="77777777" w:rsidR="00951EFC" w:rsidRPr="00FE29D2" w:rsidRDefault="00951EFC" w:rsidP="00D435DB">
            <w:pPr>
              <w:pStyle w:val="TableText"/>
            </w:pPr>
            <w:r w:rsidRPr="00FE29D2">
              <w:t>0.25</w:t>
            </w:r>
          </w:p>
        </w:tc>
      </w:tr>
      <w:tr w:rsidR="00951EFC" w14:paraId="113FC778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3C47B8A8" w14:textId="77777777" w:rsidR="00951EFC" w:rsidRDefault="00951EFC" w:rsidP="00D435DB">
            <w:pPr>
              <w:pStyle w:val="TableText"/>
            </w:pPr>
            <w:r>
              <w:t>Spokane</w:t>
            </w:r>
          </w:p>
        </w:tc>
        <w:tc>
          <w:tcPr>
            <w:tcW w:w="1321" w:type="dxa"/>
            <w:vMerge w:val="restart"/>
            <w:vAlign w:val="center"/>
          </w:tcPr>
          <w:p w14:paraId="2683E3AB" w14:textId="77777777" w:rsidR="00951EFC" w:rsidRDefault="00951EFC" w:rsidP="00D435DB">
            <w:pPr>
              <w:pStyle w:val="TableText"/>
              <w:jc w:val="center"/>
            </w:pPr>
            <w:r>
              <w:t>Eastern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C1DA68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E4A5F8" w14:textId="77777777" w:rsidR="00951EFC" w:rsidRDefault="00951EFC" w:rsidP="00D435DB">
            <w:pPr>
              <w:pStyle w:val="TableText"/>
            </w:pPr>
            <w:r>
              <w:t>0.02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5BFDAF0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3ED35E" w14:textId="77777777" w:rsidR="00951EFC" w:rsidRPr="00FE29D2" w:rsidRDefault="00951EFC" w:rsidP="00D435DB">
            <w:pPr>
              <w:pStyle w:val="TableText"/>
            </w:pPr>
            <w:r w:rsidRPr="00FE29D2">
              <w:t>0.01</w:t>
            </w:r>
          </w:p>
        </w:tc>
      </w:tr>
      <w:tr w:rsidR="00951EFC" w14:paraId="12072CDF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56D4060F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1EF94185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B535D83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8374E65" w14:textId="77777777" w:rsidR="00951EFC" w:rsidRDefault="00951EFC" w:rsidP="00D435DB">
            <w:pPr>
              <w:pStyle w:val="TableText"/>
            </w:pPr>
            <w:r>
              <w:t>1.21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CC7506E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56580B3" w14:textId="77777777" w:rsidR="00951EFC" w:rsidRPr="00FE29D2" w:rsidRDefault="00951EFC" w:rsidP="00D435DB">
            <w:pPr>
              <w:pStyle w:val="TableText"/>
            </w:pPr>
            <w:r w:rsidRPr="00FE29D2">
              <w:t>0.62</w:t>
            </w:r>
          </w:p>
        </w:tc>
      </w:tr>
      <w:tr w:rsidR="00951EFC" w14:paraId="085F5D9F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38511252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1938AD2E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E588BF0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5FD41F1" w14:textId="77777777" w:rsidR="00951EFC" w:rsidRDefault="00951EFC" w:rsidP="00D435DB">
            <w:pPr>
              <w:pStyle w:val="TableText"/>
            </w:pPr>
            <w:r>
              <w:t>0.21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FD78688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A50C9EC" w14:textId="77777777" w:rsidR="00951EFC" w:rsidRPr="00FE29D2" w:rsidRDefault="00951EFC" w:rsidP="00D435DB">
            <w:pPr>
              <w:pStyle w:val="TableText"/>
            </w:pPr>
            <w:r w:rsidRPr="00FE29D2">
              <w:t>0.11</w:t>
            </w:r>
          </w:p>
        </w:tc>
      </w:tr>
      <w:tr w:rsidR="00951EFC" w14:paraId="0FF2658E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4D974C0A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404D0D13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6FB6BE4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666E970" w14:textId="77777777" w:rsidR="00951EFC" w:rsidRDefault="00951EFC" w:rsidP="00D435DB">
            <w:pPr>
              <w:pStyle w:val="TableText"/>
            </w:pPr>
            <w:r>
              <w:t>0.52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5163ED6" w14:textId="77777777" w:rsidR="00951EFC" w:rsidRDefault="00951EFC" w:rsidP="00D435DB">
            <w:pPr>
              <w:pStyle w:val="TableText"/>
            </w:pPr>
            <w:r>
              <w:t>0.02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7566B9" w14:textId="77777777" w:rsidR="00951EFC" w:rsidRPr="00FE29D2" w:rsidRDefault="00951EFC" w:rsidP="00D435DB">
            <w:pPr>
              <w:pStyle w:val="TableText"/>
            </w:pPr>
            <w:r w:rsidRPr="00FE29D2">
              <w:t>0.43</w:t>
            </w:r>
          </w:p>
        </w:tc>
      </w:tr>
      <w:tr w:rsidR="00951EFC" w14:paraId="188D4C46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612EC1B7" w14:textId="77777777" w:rsidR="00951EFC" w:rsidRDefault="00951EFC" w:rsidP="00D435DB">
            <w:pPr>
              <w:pStyle w:val="TableText"/>
            </w:pPr>
            <w:r>
              <w:t>Wenatchee</w:t>
            </w:r>
          </w:p>
        </w:tc>
        <w:tc>
          <w:tcPr>
            <w:tcW w:w="1321" w:type="dxa"/>
            <w:vMerge w:val="restart"/>
            <w:vAlign w:val="center"/>
          </w:tcPr>
          <w:p w14:paraId="59CA799C" w14:textId="77777777" w:rsidR="00951EFC" w:rsidRDefault="00951EFC" w:rsidP="00D435DB">
            <w:pPr>
              <w:pStyle w:val="TableText"/>
              <w:jc w:val="center"/>
            </w:pPr>
            <w:r>
              <w:t>Central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A83C06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C1390AB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5A1A579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555D306" w14:textId="77777777" w:rsidR="00951EFC" w:rsidRPr="00FE29D2" w:rsidRDefault="00951EFC" w:rsidP="00D435DB">
            <w:pPr>
              <w:pStyle w:val="TableText"/>
            </w:pPr>
            <w:r w:rsidRPr="00FE29D2">
              <w:t>0.01</w:t>
            </w:r>
          </w:p>
        </w:tc>
      </w:tr>
      <w:tr w:rsidR="00951EFC" w14:paraId="22F80645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7FB3CAA7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2F7275D6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51F4E4F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D0C160D" w14:textId="77777777" w:rsidR="00951EFC" w:rsidRDefault="00951EFC" w:rsidP="00D435DB">
            <w:pPr>
              <w:pStyle w:val="TableText"/>
            </w:pPr>
            <w:r>
              <w:t>0.02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B6B309" w14:textId="77777777" w:rsidR="00951EFC" w:rsidRDefault="00951EFC" w:rsidP="00D435DB">
            <w:pPr>
              <w:pStyle w:val="TableText"/>
            </w:pPr>
            <w:r>
              <w:t>0.02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FF3098" w14:textId="77777777" w:rsidR="00951EFC" w:rsidRPr="00FE29D2" w:rsidRDefault="00951EFC" w:rsidP="00D435DB">
            <w:pPr>
              <w:pStyle w:val="TableText"/>
            </w:pPr>
            <w:r w:rsidRPr="00FE29D2">
              <w:t>0.02</w:t>
            </w:r>
          </w:p>
        </w:tc>
      </w:tr>
      <w:tr w:rsidR="00951EFC" w14:paraId="7B3BEFB5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201550BF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6CC77465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C92BB2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29E1FCF" w14:textId="77777777" w:rsidR="00951EFC" w:rsidRDefault="00951EFC" w:rsidP="00D435DB">
            <w:pPr>
              <w:pStyle w:val="TableText"/>
            </w:pPr>
            <w:r>
              <w:t>0.05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737215E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907CC78" w14:textId="77777777" w:rsidR="00951EFC" w:rsidRPr="00FE29D2" w:rsidRDefault="00951EFC" w:rsidP="00D435DB">
            <w:pPr>
              <w:pStyle w:val="TableText"/>
            </w:pPr>
            <w:r w:rsidRPr="00FE29D2">
              <w:t>0.04</w:t>
            </w:r>
          </w:p>
        </w:tc>
      </w:tr>
      <w:tr w:rsidR="00951EFC" w14:paraId="6C233FF2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4567E3F8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3DA18C9E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99C55F9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D9B23B8" w14:textId="77777777" w:rsidR="00951EFC" w:rsidRDefault="00951EFC" w:rsidP="00D435DB">
            <w:pPr>
              <w:pStyle w:val="TableText"/>
            </w:pPr>
            <w:r>
              <w:t>0.40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B64A32" w14:textId="77777777" w:rsidR="00951EFC" w:rsidRDefault="00951EFC" w:rsidP="00D435DB">
            <w:pPr>
              <w:pStyle w:val="TableText"/>
            </w:pPr>
            <w:r>
              <w:t>0.02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493FD9" w14:textId="77777777" w:rsidR="00951EFC" w:rsidRPr="00FE29D2" w:rsidRDefault="00951EFC" w:rsidP="00D435DB">
            <w:pPr>
              <w:pStyle w:val="TableText"/>
            </w:pPr>
            <w:r w:rsidRPr="00FE29D2">
              <w:t>0.38</w:t>
            </w:r>
          </w:p>
        </w:tc>
      </w:tr>
      <w:tr w:rsidR="00951EFC" w14:paraId="06165E32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1F591822" w14:textId="77777777" w:rsidR="00951EFC" w:rsidRDefault="00951EFC" w:rsidP="00D435DB">
            <w:pPr>
              <w:pStyle w:val="TableText"/>
            </w:pPr>
            <w:r>
              <w:t>Moses Lake</w:t>
            </w:r>
          </w:p>
        </w:tc>
        <w:tc>
          <w:tcPr>
            <w:tcW w:w="1321" w:type="dxa"/>
            <w:vMerge w:val="restart"/>
            <w:vAlign w:val="center"/>
          </w:tcPr>
          <w:p w14:paraId="37FF9583" w14:textId="77777777" w:rsidR="00951EFC" w:rsidRDefault="00951EFC" w:rsidP="00D435DB">
            <w:pPr>
              <w:pStyle w:val="TableText"/>
              <w:jc w:val="center"/>
            </w:pPr>
            <w:r>
              <w:t>Central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178F2A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9DC3087" w14:textId="77777777" w:rsidR="00951EFC" w:rsidRDefault="00951EFC" w:rsidP="00D435DB">
            <w:pPr>
              <w:pStyle w:val="TableText"/>
            </w:pPr>
            <w:r>
              <w:t>0.0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F3E5E98" w14:textId="77777777" w:rsidR="00951EFC" w:rsidRDefault="00951EFC" w:rsidP="00D435DB">
            <w:pPr>
              <w:pStyle w:val="TableText"/>
            </w:pPr>
            <w:r>
              <w:t>0.0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6BFC5DD" w14:textId="77777777" w:rsidR="00951EFC" w:rsidRPr="00FE29D2" w:rsidRDefault="00951EFC" w:rsidP="00D435DB">
            <w:pPr>
              <w:pStyle w:val="TableText"/>
            </w:pPr>
            <w:r w:rsidRPr="00FE29D2">
              <w:t>0.0</w:t>
            </w:r>
          </w:p>
        </w:tc>
      </w:tr>
      <w:tr w:rsidR="00951EFC" w14:paraId="7C044017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23284C67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5C07D3A6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34F650B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7E41364" w14:textId="77777777" w:rsidR="00951EFC" w:rsidRDefault="00951EFC" w:rsidP="00D435DB">
            <w:pPr>
              <w:pStyle w:val="TableText"/>
            </w:pPr>
            <w:r>
              <w:t>0.12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C8A63D" w14:textId="77777777" w:rsidR="00951EFC" w:rsidRDefault="00951EFC" w:rsidP="00D435DB">
            <w:pPr>
              <w:pStyle w:val="TableText"/>
            </w:pPr>
            <w:r>
              <w:t>0.03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9E53DE" w14:textId="77777777" w:rsidR="00951EFC" w:rsidRPr="00FE29D2" w:rsidRDefault="00951EFC" w:rsidP="00D435DB">
            <w:pPr>
              <w:pStyle w:val="TableText"/>
            </w:pPr>
            <w:r w:rsidRPr="00FE29D2">
              <w:t>0.06</w:t>
            </w:r>
          </w:p>
        </w:tc>
      </w:tr>
      <w:tr w:rsidR="00951EFC" w14:paraId="0F9F5716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4A1BA765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21F19D0B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D22702F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D3695F6" w14:textId="77777777" w:rsidR="00951EFC" w:rsidRDefault="00951EFC" w:rsidP="00D435DB">
            <w:pPr>
              <w:pStyle w:val="TableText"/>
            </w:pPr>
            <w:r>
              <w:t>0.13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223E4DE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6100511" w14:textId="77777777" w:rsidR="00951EFC" w:rsidRPr="00FE29D2" w:rsidRDefault="00951EFC" w:rsidP="00D435DB">
            <w:pPr>
              <w:pStyle w:val="TableText"/>
            </w:pPr>
            <w:r w:rsidRPr="00FE29D2">
              <w:t>0.04</w:t>
            </w:r>
          </w:p>
        </w:tc>
      </w:tr>
      <w:tr w:rsidR="00951EFC" w14:paraId="6ECFDF30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6EDCAEC5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2329BC38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326858A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DDC6C4" w14:textId="77777777" w:rsidR="00951EFC" w:rsidRDefault="00951EFC" w:rsidP="00D435DB">
            <w:pPr>
              <w:pStyle w:val="TableText"/>
            </w:pPr>
            <w:r>
              <w:t>0.16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21F198F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2439F3" w14:textId="77777777" w:rsidR="00951EFC" w:rsidRPr="00FE29D2" w:rsidRDefault="00951EFC" w:rsidP="00D435DB">
            <w:pPr>
              <w:pStyle w:val="TableText"/>
            </w:pPr>
            <w:r w:rsidRPr="00FE29D2">
              <w:t>0.07</w:t>
            </w:r>
          </w:p>
        </w:tc>
      </w:tr>
      <w:tr w:rsidR="00951EFC" w14:paraId="08B0277A" w14:textId="77777777" w:rsidTr="00D435DB">
        <w:trPr>
          <w:cantSplit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37B23251" w14:textId="77777777" w:rsidR="00951EFC" w:rsidRDefault="00951EFC" w:rsidP="00D435DB">
            <w:pPr>
              <w:pStyle w:val="TableText"/>
            </w:pPr>
            <w:r>
              <w:t>Pasco</w:t>
            </w:r>
          </w:p>
        </w:tc>
        <w:tc>
          <w:tcPr>
            <w:tcW w:w="1321" w:type="dxa"/>
            <w:vMerge w:val="restart"/>
            <w:vAlign w:val="center"/>
          </w:tcPr>
          <w:p w14:paraId="4A412D42" w14:textId="77777777" w:rsidR="00951EFC" w:rsidRDefault="00951EFC" w:rsidP="00D435DB">
            <w:pPr>
              <w:pStyle w:val="TableText"/>
              <w:jc w:val="center"/>
            </w:pPr>
            <w:r>
              <w:t>Central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722307" w14:textId="77777777" w:rsidR="00951EFC" w:rsidRDefault="00951EFC" w:rsidP="00D435DB">
            <w:pPr>
              <w:pStyle w:val="TableText"/>
            </w:pPr>
            <w:r>
              <w:t>2018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2B6AC84" w14:textId="77777777" w:rsidR="00951EFC" w:rsidRDefault="00951EFC" w:rsidP="00D435DB">
            <w:pPr>
              <w:pStyle w:val="TableText"/>
            </w:pPr>
            <w:r>
              <w:t>0.0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5053026" w14:textId="77777777" w:rsidR="00951EFC" w:rsidRDefault="00951EFC" w:rsidP="00D435DB">
            <w:pPr>
              <w:pStyle w:val="TableText"/>
            </w:pPr>
            <w:r>
              <w:t>0.0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1506BB" w14:textId="77777777" w:rsidR="00951EFC" w:rsidRPr="00FE29D2" w:rsidRDefault="00951EFC" w:rsidP="00D435DB">
            <w:pPr>
              <w:pStyle w:val="TableText"/>
            </w:pPr>
            <w:r>
              <w:t>0.0</w:t>
            </w:r>
          </w:p>
        </w:tc>
      </w:tr>
      <w:tr w:rsidR="00951EFC" w14:paraId="05CB9996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68E72A64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07522B94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65E79CB" w14:textId="77777777" w:rsidR="00951EFC" w:rsidRDefault="00951EFC" w:rsidP="00D435DB">
            <w:pPr>
              <w:pStyle w:val="TableText"/>
            </w:pPr>
            <w:r>
              <w:t>2017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1736752" w14:textId="77777777" w:rsidR="00951EFC" w:rsidRDefault="00951EFC" w:rsidP="00D435DB">
            <w:pPr>
              <w:pStyle w:val="TableText"/>
            </w:pPr>
            <w:r>
              <w:t>0.13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34F70F4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9AD3B5F" w14:textId="77777777" w:rsidR="00951EFC" w:rsidRPr="00FE29D2" w:rsidRDefault="00951EFC" w:rsidP="00D435DB">
            <w:pPr>
              <w:pStyle w:val="TableText"/>
            </w:pPr>
            <w:r>
              <w:t>0.09</w:t>
            </w:r>
          </w:p>
        </w:tc>
      </w:tr>
      <w:tr w:rsidR="00951EFC" w14:paraId="3AF2D8F7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6ECFBC86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328040E4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4626FE" w14:textId="77777777" w:rsidR="00951EFC" w:rsidRDefault="00951EFC" w:rsidP="00D435DB">
            <w:pPr>
              <w:pStyle w:val="TableText"/>
            </w:pPr>
            <w:r>
              <w:t>2016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752D903" w14:textId="77777777" w:rsidR="00951EFC" w:rsidRDefault="00951EFC" w:rsidP="00D435DB">
            <w:pPr>
              <w:pStyle w:val="TableText"/>
            </w:pPr>
            <w:r>
              <w:t>0.24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5BE996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1CDA63" w14:textId="77777777" w:rsidR="00951EFC" w:rsidRPr="00FE29D2" w:rsidRDefault="00951EFC" w:rsidP="00D435DB">
            <w:pPr>
              <w:pStyle w:val="TableText"/>
            </w:pPr>
            <w:r>
              <w:t>0.23</w:t>
            </w:r>
          </w:p>
        </w:tc>
      </w:tr>
      <w:tr w:rsidR="00951EFC" w14:paraId="5D97FA44" w14:textId="77777777" w:rsidTr="00D435DB">
        <w:trPr>
          <w:cantSplit/>
        </w:trPr>
        <w:tc>
          <w:tcPr>
            <w:tcW w:w="1814" w:type="dxa"/>
            <w:vMerge/>
            <w:shd w:val="clear" w:color="auto" w:fill="auto"/>
            <w:vAlign w:val="center"/>
          </w:tcPr>
          <w:p w14:paraId="117A3CC5" w14:textId="77777777" w:rsidR="00951EFC" w:rsidRDefault="00951EFC" w:rsidP="00D435DB">
            <w:pPr>
              <w:pStyle w:val="TableText"/>
            </w:pPr>
          </w:p>
        </w:tc>
        <w:tc>
          <w:tcPr>
            <w:tcW w:w="1321" w:type="dxa"/>
            <w:vMerge/>
          </w:tcPr>
          <w:p w14:paraId="197A1E85" w14:textId="77777777" w:rsidR="00951EFC" w:rsidRDefault="00951EFC" w:rsidP="00D435DB">
            <w:pPr>
              <w:pStyle w:val="TableText"/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CF19CB2" w14:textId="77777777" w:rsidR="00951EFC" w:rsidRDefault="00951EFC" w:rsidP="00D435DB">
            <w:pPr>
              <w:pStyle w:val="TableText"/>
            </w:pPr>
            <w:r>
              <w:t>2015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C154456" w14:textId="77777777" w:rsidR="00951EFC" w:rsidRDefault="00951EFC" w:rsidP="00D435DB">
            <w:pPr>
              <w:pStyle w:val="TableText"/>
            </w:pPr>
            <w:r>
              <w:t>0.12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EB71D5" w14:textId="77777777" w:rsidR="00951EFC" w:rsidRDefault="00951EFC" w:rsidP="00D435DB">
            <w:pPr>
              <w:pStyle w:val="TableText"/>
            </w:pPr>
            <w:r>
              <w:t>0.01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7AC303" w14:textId="77777777" w:rsidR="00951EFC" w:rsidRPr="00FE29D2" w:rsidRDefault="00951EFC" w:rsidP="00D435DB">
            <w:pPr>
              <w:pStyle w:val="TableText"/>
            </w:pPr>
            <w:r>
              <w:t>0.07</w:t>
            </w:r>
          </w:p>
        </w:tc>
      </w:tr>
    </w:tbl>
    <w:p w14:paraId="2A68FB0A" w14:textId="77777777" w:rsidR="00951EFC" w:rsidRDefault="00951EFC" w:rsidP="00951EFC">
      <w:pPr>
        <w:pStyle w:val="Defaultparagraph"/>
        <w:spacing w:before="0"/>
        <w:rPr>
          <w:sz w:val="20"/>
        </w:rPr>
      </w:pPr>
      <w:r>
        <w:rPr>
          <w:sz w:val="20"/>
        </w:rPr>
        <w:t xml:space="preserve">Source: </w:t>
      </w:r>
      <w:hyperlink r:id="rId7" w:history="1">
        <w:r w:rsidRPr="005B2606">
          <w:rPr>
            <w:rStyle w:val="Hyperlink"/>
            <w:sz w:val="20"/>
          </w:rPr>
          <w:t>www.noaa.gov</w:t>
        </w:r>
      </w:hyperlink>
    </w:p>
    <w:p w14:paraId="0877D5C5" w14:textId="77777777" w:rsidR="00951EFC" w:rsidRDefault="00951EFC">
      <w:pPr>
        <w:pStyle w:val="Defaultparagraph"/>
      </w:pPr>
    </w:p>
    <w:p w14:paraId="32803328" w14:textId="7DA92297" w:rsidR="00D40F58" w:rsidRDefault="001C33AF" w:rsidP="000C79E8">
      <w:pPr>
        <w:pStyle w:val="Defaultparagraph"/>
      </w:pPr>
      <w:r>
        <w:t xml:space="preserve">The precipitation data in Table 1 demonstrate </w:t>
      </w:r>
      <w:r w:rsidR="00582975">
        <w:t xml:space="preserve">that there are regional differences in the amount of precipitation </w:t>
      </w:r>
      <w:r w:rsidR="00A37BE7">
        <w:t>for</w:t>
      </w:r>
      <w:r w:rsidR="00582975">
        <w:t xml:space="preserve"> the month of September. The western part of the state (Seattle-Tacoma and Olympia) receives the most </w:t>
      </w:r>
      <w:r w:rsidR="004F67D8">
        <w:t>precipitation</w:t>
      </w:r>
      <w:r w:rsidR="00582975">
        <w:t>, while the eastern</w:t>
      </w:r>
      <w:r w:rsidR="00936836">
        <w:t>-</w:t>
      </w:r>
      <w:r w:rsidR="00582975">
        <w:t xml:space="preserve">most part of the state (Spokane) receives less, and the central part of the state (Wenatchee, Mosses Lake, and Pasco) receives the least. </w:t>
      </w:r>
      <w:r w:rsidR="00963533">
        <w:t xml:space="preserve">This </w:t>
      </w:r>
      <w:r w:rsidR="00FF412D">
        <w:t xml:space="preserve">pattern </w:t>
      </w:r>
      <w:r w:rsidR="00963533">
        <w:t xml:space="preserve">suggests a higher likelihood of </w:t>
      </w:r>
      <w:r w:rsidR="00963533">
        <w:lastRenderedPageBreak/>
        <w:t xml:space="preserve">a first flush storm event </w:t>
      </w:r>
      <w:r w:rsidR="00FF412D">
        <w:t xml:space="preserve">occurring in the month of September </w:t>
      </w:r>
      <w:r w:rsidR="00963533">
        <w:t xml:space="preserve">for permittees in the western </w:t>
      </w:r>
      <w:r w:rsidR="00B946F5">
        <w:t xml:space="preserve">portion of the state. </w:t>
      </w:r>
    </w:p>
    <w:p w14:paraId="72C3E664" w14:textId="38483232" w:rsidR="00B85B18" w:rsidRDefault="002E6179">
      <w:pPr>
        <w:pStyle w:val="Defaultparagraph"/>
      </w:pPr>
      <w:r>
        <w:t xml:space="preserve">The </w:t>
      </w:r>
      <w:r w:rsidR="00246FC8">
        <w:t>proposed</w:t>
      </w:r>
      <w:r>
        <w:t xml:space="preserve"> change to </w:t>
      </w:r>
      <w:r w:rsidR="00246FC8">
        <w:t xml:space="preserve">move the first flush </w:t>
      </w:r>
      <w:r>
        <w:t xml:space="preserve">sampling event </w:t>
      </w:r>
      <w:r w:rsidR="00246FC8">
        <w:t>to</w:t>
      </w:r>
      <w:r>
        <w:t xml:space="preserve"> September </w:t>
      </w:r>
      <w:r w:rsidR="00246FC8">
        <w:t xml:space="preserve">will likely </w:t>
      </w:r>
      <w:r w:rsidR="00951EFC">
        <w:t>pose</w:t>
      </w:r>
      <w:r w:rsidR="00246FC8">
        <w:t xml:space="preserve"> a larger burden on</w:t>
      </w:r>
      <w:r w:rsidR="00824D69">
        <w:t xml:space="preserve"> those permittees in the western </w:t>
      </w:r>
      <w:r w:rsidR="004F67D8">
        <w:t>portion of the state</w:t>
      </w:r>
      <w:r w:rsidR="00A74D5C">
        <w:t xml:space="preserve">. </w:t>
      </w:r>
      <w:r w:rsidR="000C79E8">
        <w:t>While the amount of rain that would trigger a first flush varies between permittees, it is our experience that storm events that produce approximately 0.1 inches of rain</w:t>
      </w:r>
      <w:r w:rsidR="00171B41">
        <w:t>, or greater,</w:t>
      </w:r>
      <w:r w:rsidR="000C79E8">
        <w:t xml:space="preserve"> in ≤ 24 hrs </w:t>
      </w:r>
      <w:r w:rsidR="004F0C35">
        <w:t>would trigger a first flush sampling event.</w:t>
      </w:r>
      <w:r w:rsidR="00C71A2D">
        <w:t xml:space="preserve"> </w:t>
      </w:r>
      <w:r w:rsidR="00CC13BE">
        <w:t>From the recorded</w:t>
      </w:r>
      <w:r w:rsidR="00CC13BE">
        <w:t xml:space="preserve"> </w:t>
      </w:r>
      <w:r w:rsidR="00CC13BE">
        <w:t>precipitation data presented in table 1,</w:t>
      </w:r>
      <w:r w:rsidR="00A74D5C">
        <w:t xml:space="preserve"> </w:t>
      </w:r>
      <w:r w:rsidR="009E2544">
        <w:t>permittees with facilities located in the western portion</w:t>
      </w:r>
      <w:r w:rsidR="00936836">
        <w:t xml:space="preserve"> </w:t>
      </w:r>
      <w:r w:rsidR="009E2544">
        <w:t xml:space="preserve">of the state </w:t>
      </w:r>
      <w:r w:rsidR="00C71A2D">
        <w:t>are more likely to</w:t>
      </w:r>
      <w:r w:rsidR="00C71A2D">
        <w:t xml:space="preserve"> </w:t>
      </w:r>
      <w:r w:rsidR="009E2544">
        <w:t xml:space="preserve">experience a qualifying storm event, and </w:t>
      </w:r>
      <w:r w:rsidR="004F0C35">
        <w:t xml:space="preserve">would </w:t>
      </w:r>
      <w:r w:rsidR="00951EFC">
        <w:t>therefore be required to sample</w:t>
      </w:r>
      <w:r w:rsidR="009E2544">
        <w:t xml:space="preserve"> in September. </w:t>
      </w:r>
      <w:r w:rsidR="00C71A2D">
        <w:t>Furthermore, o</w:t>
      </w:r>
      <w:r w:rsidR="009E2544">
        <w:t xml:space="preserve">nce that </w:t>
      </w:r>
      <w:r w:rsidR="00246FC8">
        <w:t xml:space="preserve">sampling </w:t>
      </w:r>
      <w:r w:rsidR="009E2544">
        <w:t>event occurs</w:t>
      </w:r>
      <w:r w:rsidR="00C71A2D">
        <w:t xml:space="preserve"> in September</w:t>
      </w:r>
      <w:r w:rsidR="009E2544">
        <w:t xml:space="preserve"> </w:t>
      </w:r>
      <w:r w:rsidR="00D40F58">
        <w:t xml:space="preserve">a second </w:t>
      </w:r>
      <w:r w:rsidR="00246FC8">
        <w:t xml:space="preserve">sampleable </w:t>
      </w:r>
      <w:r w:rsidR="00D40F58">
        <w:t xml:space="preserve">storm event </w:t>
      </w:r>
      <w:r w:rsidR="009E2544">
        <w:t>is not likely to occur</w:t>
      </w:r>
      <w:r w:rsidR="00C71A2D">
        <w:t xml:space="preserve"> during the month</w:t>
      </w:r>
      <w:r w:rsidR="00246FC8">
        <w:t>. This means</w:t>
      </w:r>
      <w:r w:rsidR="009E2544">
        <w:t xml:space="preserve"> permittees who </w:t>
      </w:r>
      <w:r w:rsidR="00936836">
        <w:t xml:space="preserve">are </w:t>
      </w:r>
      <w:r w:rsidR="009E2544">
        <w:t xml:space="preserve">required to sample in September will not likely be able to “average down” their </w:t>
      </w:r>
      <w:r w:rsidR="001854E1">
        <w:t>first flush</w:t>
      </w:r>
      <w:r w:rsidR="009E2544">
        <w:t xml:space="preserve"> results</w:t>
      </w:r>
      <w:r w:rsidR="00CC13BE">
        <w:t xml:space="preserve"> before the end of the 3</w:t>
      </w:r>
      <w:r w:rsidR="00CC13BE" w:rsidRPr="00CC13BE">
        <w:rPr>
          <w:vertAlign w:val="superscript"/>
        </w:rPr>
        <w:t>rd</w:t>
      </w:r>
      <w:r w:rsidR="00CC13BE">
        <w:t xml:space="preserve"> quarter (</w:t>
      </w:r>
      <w:r w:rsidR="002C60AF">
        <w:t xml:space="preserve">i.e. </w:t>
      </w:r>
      <w:r w:rsidR="00CC13BE">
        <w:t>the end of September)</w:t>
      </w:r>
      <w:r w:rsidR="009E2544">
        <w:t xml:space="preserve">. When one considers the time required to analyze the </w:t>
      </w:r>
      <w:r w:rsidR="001854E1">
        <w:t>first flush</w:t>
      </w:r>
      <w:r w:rsidR="009E2544">
        <w:t xml:space="preserve"> samples and/or implement additional BMPs</w:t>
      </w:r>
      <w:r w:rsidR="00246FC8">
        <w:t xml:space="preserve"> in re</w:t>
      </w:r>
      <w:bookmarkStart w:id="0" w:name="_GoBack"/>
      <w:bookmarkEnd w:id="0"/>
      <w:r w:rsidR="00246FC8">
        <w:t>sponse to unfavorable results</w:t>
      </w:r>
      <w:r w:rsidR="009E2544">
        <w:t xml:space="preserve">, the likelihood of sampling a second storm event in September (i.e., before the end of the third quarter) is even less. </w:t>
      </w:r>
      <w:r w:rsidR="00CC13BE">
        <w:t>Therefore</w:t>
      </w:r>
      <w:r w:rsidR="009E2544">
        <w:t xml:space="preserve">, it is likely that permittees that </w:t>
      </w:r>
      <w:r w:rsidR="00CC13BE">
        <w:t>would be required</w:t>
      </w:r>
      <w:r w:rsidR="009E2544">
        <w:t xml:space="preserve"> to sample a </w:t>
      </w:r>
      <w:r w:rsidR="001854E1">
        <w:t>first flush</w:t>
      </w:r>
      <w:r w:rsidR="009E2544">
        <w:t xml:space="preserve"> event in September (most likely </w:t>
      </w:r>
      <w:r w:rsidR="00936836">
        <w:t xml:space="preserve">for </w:t>
      </w:r>
      <w:r w:rsidR="009E2544">
        <w:t xml:space="preserve">permittees located in the western portion of the state), </w:t>
      </w:r>
      <w:r w:rsidR="00792547">
        <w:t xml:space="preserve">and that </w:t>
      </w:r>
      <w:r w:rsidR="009E2544">
        <w:t>receive results exceeding or out of range of the permit</w:t>
      </w:r>
      <w:r w:rsidR="00714242">
        <w:t xml:space="preserve"> benchmarks </w:t>
      </w:r>
      <w:r w:rsidR="00792547">
        <w:t>(</w:t>
      </w:r>
      <w:r w:rsidR="00714242">
        <w:t>or effluent limits</w:t>
      </w:r>
      <w:r w:rsidR="00792547">
        <w:t>)</w:t>
      </w:r>
      <w:r w:rsidR="00714242">
        <w:t xml:space="preserve">, </w:t>
      </w:r>
      <w:r w:rsidR="00CC13BE">
        <w:t>would</w:t>
      </w:r>
      <w:r w:rsidR="00CC13BE">
        <w:t xml:space="preserve"> </w:t>
      </w:r>
      <w:r w:rsidR="00792547">
        <w:t xml:space="preserve">be unable to sample a second storm event within the third quarter and </w:t>
      </w:r>
      <w:r w:rsidR="00CC13BE">
        <w:t>would</w:t>
      </w:r>
      <w:r w:rsidR="00CC13BE">
        <w:t xml:space="preserve"> </w:t>
      </w:r>
      <w:r w:rsidR="00792547">
        <w:t>need</w:t>
      </w:r>
      <w:r w:rsidR="00714242">
        <w:t xml:space="preserve"> to respond </w:t>
      </w:r>
      <w:r w:rsidR="00792547">
        <w:t xml:space="preserve">with </w:t>
      </w:r>
      <w:r w:rsidR="00714242">
        <w:t xml:space="preserve">a corrective action </w:t>
      </w:r>
      <w:r w:rsidR="00792547">
        <w:t xml:space="preserve">(or will be out of compliance with their permit) </w:t>
      </w:r>
      <w:r w:rsidR="00714242">
        <w:t>as outline</w:t>
      </w:r>
      <w:r w:rsidR="00792547">
        <w:t>d</w:t>
      </w:r>
      <w:r w:rsidR="00714242">
        <w:t xml:space="preserve"> in the</w:t>
      </w:r>
      <w:r w:rsidR="00792547">
        <w:t xml:space="preserve"> ISGP</w:t>
      </w:r>
      <w:r w:rsidR="00714242">
        <w:t>.</w:t>
      </w:r>
      <w:r w:rsidR="000D42ED">
        <w:t xml:space="preserve"> </w:t>
      </w:r>
    </w:p>
    <w:p w14:paraId="7B374CDC" w14:textId="6105AFEB" w:rsidR="000D42ED" w:rsidRDefault="00714242">
      <w:pPr>
        <w:pStyle w:val="Defaultparagraph"/>
      </w:pPr>
      <w:r>
        <w:t>In contrast</w:t>
      </w:r>
      <w:r w:rsidR="00D40F58">
        <w:t>, the precipitation data</w:t>
      </w:r>
      <w:r w:rsidR="00B85B18">
        <w:t xml:space="preserve"> in Table 1</w:t>
      </w:r>
      <w:r w:rsidR="00D40F58">
        <w:t xml:space="preserve"> suggest those permittees</w:t>
      </w:r>
      <w:r w:rsidR="00A831E7">
        <w:t xml:space="preserve"> in the central region of the state</w:t>
      </w:r>
      <w:r w:rsidR="00D40F58">
        <w:t xml:space="preserve"> w</w:t>
      </w:r>
      <w:r w:rsidR="00230E4F">
        <w:t>ill likely not experience</w:t>
      </w:r>
      <w:r w:rsidR="00D40F58">
        <w:t xml:space="preserve"> first flush event</w:t>
      </w:r>
      <w:r w:rsidR="00230E4F">
        <w:t>s during</w:t>
      </w:r>
      <w:r w:rsidR="00D40F58">
        <w:t xml:space="preserve"> the month of September</w:t>
      </w:r>
      <w:r w:rsidR="00230E4F">
        <w:t>,</w:t>
      </w:r>
      <w:r w:rsidR="00D40F58">
        <w:t xml:space="preserve"> and thus</w:t>
      </w:r>
      <w:r w:rsidR="00230E4F">
        <w:t>, will not be required to</w:t>
      </w:r>
      <w:r w:rsidR="00D40F58">
        <w:t xml:space="preserve"> sample until October</w:t>
      </w:r>
      <w:r w:rsidR="00230E4F">
        <w:t xml:space="preserve"> (i.e., the 4</w:t>
      </w:r>
      <w:r w:rsidR="00230E4F" w:rsidRPr="00F13F26">
        <w:rPr>
          <w:vertAlign w:val="superscript"/>
        </w:rPr>
        <w:t>th</w:t>
      </w:r>
      <w:r w:rsidR="00230E4F">
        <w:t xml:space="preserve"> quarter)</w:t>
      </w:r>
      <w:r w:rsidR="00D40F58">
        <w:t xml:space="preserve">. This would allow those permittees to </w:t>
      </w:r>
      <w:r w:rsidR="00A831E7">
        <w:t>sample throughout the remainder of the 4</w:t>
      </w:r>
      <w:r w:rsidR="00A831E7" w:rsidRPr="00A831E7">
        <w:rPr>
          <w:vertAlign w:val="superscript"/>
        </w:rPr>
        <w:t>th</w:t>
      </w:r>
      <w:r w:rsidR="00A831E7">
        <w:t xml:space="preserve"> quarter to average down </w:t>
      </w:r>
      <w:r w:rsidR="00230E4F">
        <w:t xml:space="preserve">any results exceeding or out of range of the ISGP benchmarks (or effluent limits), </w:t>
      </w:r>
      <w:r w:rsidR="007A533D">
        <w:t xml:space="preserve">thereby </w:t>
      </w:r>
      <w:r w:rsidR="00230E4F">
        <w:t>decreasing the</w:t>
      </w:r>
      <w:r w:rsidR="007A533D">
        <w:t>ir</w:t>
      </w:r>
      <w:r w:rsidR="00230E4F">
        <w:t xml:space="preserve"> likelihood of needing to implement a </w:t>
      </w:r>
      <w:r w:rsidR="002E6179">
        <w:t>corrective action</w:t>
      </w:r>
      <w:r w:rsidR="00230E4F">
        <w:t xml:space="preserve"> (or be out of compliance with the ISGP)</w:t>
      </w:r>
      <w:r w:rsidR="00A831E7">
        <w:t>.</w:t>
      </w:r>
    </w:p>
    <w:p w14:paraId="0206143D" w14:textId="77777777" w:rsidR="00595868" w:rsidRDefault="00595868">
      <w:pPr>
        <w:pStyle w:val="Defaultparagraph"/>
      </w:pPr>
    </w:p>
    <w:sectPr w:rsidR="00595868" w:rsidSect="008B1F7D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720" w:right="1440" w:bottom="1440" w:left="1440" w:header="720" w:footer="432" w:gutter="0"/>
      <w:cols w:space="720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85A2C" w16cid:durableId="20C0718E"/>
  <w16cid:commentId w16cid:paraId="6251F16B" w16cid:durableId="20C07433"/>
  <w16cid:commentId w16cid:paraId="13ABF878" w16cid:durableId="20C073F9"/>
  <w16cid:commentId w16cid:paraId="1920A95F" w16cid:durableId="20C075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7A46" w14:textId="77777777" w:rsidR="004D77A2" w:rsidRPr="00596A85" w:rsidRDefault="004D77A2" w:rsidP="00DA5257">
      <w:pPr>
        <w:pStyle w:val="Defaultparagraph"/>
        <w:spacing w:before="0"/>
        <w:rPr>
          <w:sz w:val="20"/>
        </w:rPr>
      </w:pPr>
      <w:r>
        <w:separator/>
      </w:r>
    </w:p>
  </w:endnote>
  <w:endnote w:type="continuationSeparator" w:id="0">
    <w:p w14:paraId="681D56CA" w14:textId="77777777" w:rsidR="004D77A2" w:rsidRPr="00596A85" w:rsidRDefault="004D77A2" w:rsidP="00DA5257">
      <w:pPr>
        <w:pStyle w:val="Defaultparagraph"/>
        <w:spacing w:before="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7C58" w14:textId="77777777" w:rsidR="004032CE" w:rsidRDefault="000804CE">
    <w:pPr>
      <w:jc w:val="right"/>
    </w:pPr>
    <w:r>
      <w:rPr>
        <w:noProof/>
      </w:rPr>
      <w:drawing>
        <wp:inline distT="0" distB="0" distL="0" distR="0" wp14:anchorId="17C0594A" wp14:editId="492E1A6A">
          <wp:extent cx="1504950" cy="609600"/>
          <wp:effectExtent l="0" t="0" r="0" b="0"/>
          <wp:docPr id="1" name="Picture 1" descr="WW revised logo 11_3_15 draft 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 revised logo 11_3_15 draft 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FDF4" w14:textId="77777777" w:rsidR="004D77A2" w:rsidRPr="00596A85" w:rsidRDefault="004D77A2" w:rsidP="00DA5257">
      <w:pPr>
        <w:pStyle w:val="Defaultparagraph"/>
        <w:spacing w:before="0"/>
        <w:rPr>
          <w:sz w:val="20"/>
        </w:rPr>
      </w:pPr>
      <w:r>
        <w:separator/>
      </w:r>
    </w:p>
  </w:footnote>
  <w:footnote w:type="continuationSeparator" w:id="0">
    <w:p w14:paraId="23B03578" w14:textId="77777777" w:rsidR="004D77A2" w:rsidRPr="00596A85" w:rsidRDefault="004D77A2" w:rsidP="00DA5257">
      <w:pPr>
        <w:pStyle w:val="Defaultparagraph"/>
        <w:spacing w:before="0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83C0" w14:textId="1B2DC09E" w:rsidR="004032CE" w:rsidRPr="00F84310" w:rsidRDefault="00AD26A4">
    <w:pPr>
      <w:pStyle w:val="Header"/>
      <w:rPr>
        <w:b/>
      </w:rPr>
    </w:pPr>
    <w:r>
      <w:rPr>
        <w:b/>
      </w:rPr>
      <w:t>Comments on the draft Industrial Stormwater General Permit</w:t>
    </w:r>
  </w:p>
  <w:p w14:paraId="3E8A5F33" w14:textId="45432871" w:rsidR="004032CE" w:rsidRDefault="00AD26A4">
    <w:pPr>
      <w:pStyle w:val="Header"/>
    </w:pPr>
    <w:r>
      <w:t>June 28, 2019</w:t>
    </w:r>
    <w:r w:rsidR="004032CE">
      <w:tab/>
    </w:r>
    <w:r w:rsidR="004032CE">
      <w:tab/>
      <w:t xml:space="preserve">Page </w:t>
    </w:r>
    <w:r w:rsidR="004032CE">
      <w:pgNum/>
    </w:r>
  </w:p>
  <w:p w14:paraId="5D730A82" w14:textId="77777777" w:rsidR="004032CE" w:rsidRDefault="0040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E176" w14:textId="77777777" w:rsidR="004032CE" w:rsidRDefault="000804CE">
    <w:pPr>
      <w:tabs>
        <w:tab w:val="center" w:pos="2772"/>
        <w:tab w:val="right" w:pos="5112"/>
      </w:tabs>
      <w:spacing w:after="120"/>
      <w:jc w:val="center"/>
    </w:pPr>
    <w:r>
      <w:rPr>
        <w:noProof/>
      </w:rPr>
      <w:drawing>
        <wp:inline distT="0" distB="0" distL="0" distR="0" wp14:anchorId="08B826A2" wp14:editId="1BAECB54">
          <wp:extent cx="2238375" cy="914400"/>
          <wp:effectExtent l="0" t="0" r="9525" b="0"/>
          <wp:docPr id="2" name="Picture 2" descr="WW revised logo_email sig_11_3_15 draft 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 revised logo_email sig_11_3_15 draft 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5239E" w14:textId="77777777" w:rsidR="004032CE" w:rsidRDefault="004032CE">
    <w:pPr>
      <w:tabs>
        <w:tab w:val="left" w:pos="1932"/>
        <w:tab w:val="center" w:pos="4632"/>
        <w:tab w:val="right" w:pos="7602"/>
      </w:tabs>
      <w:spacing w:after="120"/>
      <w:jc w:val="center"/>
      <w:rPr>
        <w:bCs/>
        <w:sz w:val="18"/>
      </w:rPr>
    </w:pPr>
    <w:r>
      <w:rPr>
        <w:bCs/>
        <w:sz w:val="18"/>
      </w:rPr>
      <w:t xml:space="preserve">200 West Mercer St. </w:t>
    </w:r>
    <w:r>
      <w:rPr>
        <w:bCs/>
        <w:sz w:val="18"/>
      </w:rPr>
      <w:sym w:font="Wingdings" w:char="F073"/>
    </w:r>
    <w:r>
      <w:rPr>
        <w:bCs/>
        <w:sz w:val="18"/>
      </w:rPr>
      <w:t xml:space="preserve"> Suite 401 </w:t>
    </w:r>
    <w:r>
      <w:rPr>
        <w:bCs/>
        <w:sz w:val="18"/>
      </w:rPr>
      <w:sym w:font="Wingdings" w:char="F073"/>
    </w:r>
    <w:r>
      <w:rPr>
        <w:bCs/>
        <w:sz w:val="18"/>
      </w:rPr>
      <w:t xml:space="preserve"> Seattle, WA  98119</w:t>
    </w:r>
    <w:r>
      <w:rPr>
        <w:bCs/>
        <w:sz w:val="18"/>
      </w:rPr>
      <w:br/>
      <w:t xml:space="preserve">Phone: 206.378.1364 </w:t>
    </w:r>
    <w:r>
      <w:rPr>
        <w:bCs/>
        <w:sz w:val="18"/>
      </w:rPr>
      <w:sym w:font="Wingdings" w:char="F073"/>
    </w:r>
    <w:r>
      <w:rPr>
        <w:bCs/>
        <w:sz w:val="18"/>
      </w:rPr>
      <w:t xml:space="preserve"> Fax: </w:t>
    </w:r>
    <w:r w:rsidRPr="001C685F">
      <w:rPr>
        <w:bCs/>
        <w:sz w:val="18"/>
        <w:szCs w:val="18"/>
      </w:rPr>
      <w:t>206.</w:t>
    </w:r>
    <w:r>
      <w:rPr>
        <w:bCs/>
        <w:sz w:val="18"/>
        <w:szCs w:val="18"/>
      </w:rPr>
      <w:t>973.3048</w:t>
    </w:r>
    <w:r>
      <w:rPr>
        <w:bCs/>
        <w:sz w:val="18"/>
      </w:rPr>
      <w:t xml:space="preserve"> </w:t>
    </w:r>
    <w:r>
      <w:rPr>
        <w:bCs/>
        <w:sz w:val="18"/>
      </w:rPr>
      <w:sym w:font="Wingdings" w:char="F073"/>
    </w:r>
    <w:r>
      <w:rPr>
        <w:bCs/>
        <w:sz w:val="18"/>
      </w:rPr>
      <w:t xml:space="preserve"> www.windwardenv.com</w:t>
    </w:r>
  </w:p>
  <w:p w14:paraId="02E41D46" w14:textId="77777777" w:rsidR="004032CE" w:rsidRDefault="0040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9F"/>
    <w:multiLevelType w:val="multilevel"/>
    <w:tmpl w:val="3E607DBE"/>
    <w:lvl w:ilvl="0">
      <w:start w:val="1"/>
      <w:numFmt w:val="bullet"/>
      <w:pStyle w:val="Bullet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pStyle w:val="BulletList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56B9"/>
    <w:multiLevelType w:val="hybridMultilevel"/>
    <w:tmpl w:val="4CEA43A4"/>
    <w:lvl w:ilvl="0" w:tplc="ECD079AE">
      <w:start w:val="1"/>
      <w:numFmt w:val="bullet"/>
      <w:pStyle w:val="Bullet-1"/>
      <w:lvlText w:val=""/>
      <w:lvlJc w:val="left"/>
      <w:pPr>
        <w:tabs>
          <w:tab w:val="num" w:pos="720"/>
        </w:tabs>
        <w:ind w:left="720" w:hanging="360"/>
      </w:pPr>
      <w:rPr>
        <w:rFonts w:ascii="ZapfDingbats" w:hAnsi="ZapfDingbats" w:cs="Times New Roman" w:hint="default"/>
        <w:sz w:val="16"/>
      </w:rPr>
    </w:lvl>
    <w:lvl w:ilvl="1" w:tplc="48822F2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ZapfDingbats" w:hAnsi="ZapfDingbat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52"/>
    <w:multiLevelType w:val="hybridMultilevel"/>
    <w:tmpl w:val="56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4479"/>
    <w:multiLevelType w:val="hybridMultilevel"/>
    <w:tmpl w:val="531CB232"/>
    <w:lvl w:ilvl="0" w:tplc="ECD07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ZapfDingbats" w:hAnsi="ZapfDingbats" w:cs="Times New Roman" w:hint="default"/>
        <w:sz w:val="16"/>
      </w:rPr>
    </w:lvl>
    <w:lvl w:ilvl="1" w:tplc="CAEEB966">
      <w:start w:val="1"/>
      <w:numFmt w:val="bullet"/>
      <w:pStyle w:val="Bullet-2"/>
      <w:lvlText w:val=""/>
      <w:lvlJc w:val="left"/>
      <w:pPr>
        <w:tabs>
          <w:tab w:val="num" w:pos="1080"/>
        </w:tabs>
        <w:ind w:left="1080" w:hanging="360"/>
      </w:pPr>
      <w:rPr>
        <w:rFonts w:ascii="ZapfDingbats" w:hAnsi="ZapfDingbats" w:cs="Times New Roman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C31"/>
    <w:multiLevelType w:val="hybridMultilevel"/>
    <w:tmpl w:val="AD1695D4"/>
    <w:lvl w:ilvl="0" w:tplc="EE42230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A5B2A"/>
    <w:multiLevelType w:val="hybridMultilevel"/>
    <w:tmpl w:val="22AC8D4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2"/>
    <w:rsid w:val="000301DA"/>
    <w:rsid w:val="000322BF"/>
    <w:rsid w:val="00060D52"/>
    <w:rsid w:val="00065455"/>
    <w:rsid w:val="00066139"/>
    <w:rsid w:val="00067DB8"/>
    <w:rsid w:val="000804CE"/>
    <w:rsid w:val="000955DD"/>
    <w:rsid w:val="000B7611"/>
    <w:rsid w:val="000C2A54"/>
    <w:rsid w:val="000C79E8"/>
    <w:rsid w:val="000D42ED"/>
    <w:rsid w:val="000F2DF8"/>
    <w:rsid w:val="001128FA"/>
    <w:rsid w:val="0012147B"/>
    <w:rsid w:val="00130DDC"/>
    <w:rsid w:val="001547AD"/>
    <w:rsid w:val="00171B41"/>
    <w:rsid w:val="001854E1"/>
    <w:rsid w:val="00187BE5"/>
    <w:rsid w:val="001A17D5"/>
    <w:rsid w:val="001C2DDB"/>
    <w:rsid w:val="001C33AF"/>
    <w:rsid w:val="001D7DAB"/>
    <w:rsid w:val="002102DB"/>
    <w:rsid w:val="002223CA"/>
    <w:rsid w:val="0022357B"/>
    <w:rsid w:val="00230E4F"/>
    <w:rsid w:val="00232941"/>
    <w:rsid w:val="00242CA3"/>
    <w:rsid w:val="00246FC8"/>
    <w:rsid w:val="0026169F"/>
    <w:rsid w:val="002864FB"/>
    <w:rsid w:val="00286DD9"/>
    <w:rsid w:val="002B5A99"/>
    <w:rsid w:val="002C60AF"/>
    <w:rsid w:val="002E0838"/>
    <w:rsid w:val="002E6179"/>
    <w:rsid w:val="002F0387"/>
    <w:rsid w:val="002F52BF"/>
    <w:rsid w:val="00317AB8"/>
    <w:rsid w:val="0034418B"/>
    <w:rsid w:val="0034507F"/>
    <w:rsid w:val="00354C27"/>
    <w:rsid w:val="00373844"/>
    <w:rsid w:val="00380EB8"/>
    <w:rsid w:val="003B0031"/>
    <w:rsid w:val="003D0212"/>
    <w:rsid w:val="0040265B"/>
    <w:rsid w:val="004032CE"/>
    <w:rsid w:val="00437161"/>
    <w:rsid w:val="004A700E"/>
    <w:rsid w:val="004D77A2"/>
    <w:rsid w:val="004F0C35"/>
    <w:rsid w:val="004F67D8"/>
    <w:rsid w:val="005059BC"/>
    <w:rsid w:val="0052497C"/>
    <w:rsid w:val="005470B8"/>
    <w:rsid w:val="00552882"/>
    <w:rsid w:val="00555B04"/>
    <w:rsid w:val="005577B3"/>
    <w:rsid w:val="00565399"/>
    <w:rsid w:val="00582975"/>
    <w:rsid w:val="00592491"/>
    <w:rsid w:val="00595868"/>
    <w:rsid w:val="005A6189"/>
    <w:rsid w:val="005A76E6"/>
    <w:rsid w:val="00601CC9"/>
    <w:rsid w:val="00643539"/>
    <w:rsid w:val="0065786F"/>
    <w:rsid w:val="006E683F"/>
    <w:rsid w:val="00704F02"/>
    <w:rsid w:val="00714242"/>
    <w:rsid w:val="00792547"/>
    <w:rsid w:val="007A533D"/>
    <w:rsid w:val="007B53A3"/>
    <w:rsid w:val="007F3959"/>
    <w:rsid w:val="007F6949"/>
    <w:rsid w:val="008045D9"/>
    <w:rsid w:val="00813581"/>
    <w:rsid w:val="00824D69"/>
    <w:rsid w:val="0084200E"/>
    <w:rsid w:val="00857423"/>
    <w:rsid w:val="008A4C03"/>
    <w:rsid w:val="008B1F7D"/>
    <w:rsid w:val="008C30B9"/>
    <w:rsid w:val="008E1F47"/>
    <w:rsid w:val="008F32F3"/>
    <w:rsid w:val="00936836"/>
    <w:rsid w:val="00951EFC"/>
    <w:rsid w:val="00961E40"/>
    <w:rsid w:val="00963533"/>
    <w:rsid w:val="00970D7E"/>
    <w:rsid w:val="00991B8B"/>
    <w:rsid w:val="009931E7"/>
    <w:rsid w:val="009A592B"/>
    <w:rsid w:val="009A76D2"/>
    <w:rsid w:val="009A7F8B"/>
    <w:rsid w:val="009B75B6"/>
    <w:rsid w:val="009C6072"/>
    <w:rsid w:val="009D34B3"/>
    <w:rsid w:val="009E2544"/>
    <w:rsid w:val="00A03AE5"/>
    <w:rsid w:val="00A10E59"/>
    <w:rsid w:val="00A2450B"/>
    <w:rsid w:val="00A37BE7"/>
    <w:rsid w:val="00A6445F"/>
    <w:rsid w:val="00A74D5C"/>
    <w:rsid w:val="00A831E7"/>
    <w:rsid w:val="00AB328B"/>
    <w:rsid w:val="00AD26A4"/>
    <w:rsid w:val="00AF02E2"/>
    <w:rsid w:val="00AF4995"/>
    <w:rsid w:val="00B124C6"/>
    <w:rsid w:val="00B1753B"/>
    <w:rsid w:val="00B85B18"/>
    <w:rsid w:val="00B90218"/>
    <w:rsid w:val="00B946F5"/>
    <w:rsid w:val="00BA4E44"/>
    <w:rsid w:val="00BB1CCB"/>
    <w:rsid w:val="00BC7065"/>
    <w:rsid w:val="00C064F2"/>
    <w:rsid w:val="00C11F2B"/>
    <w:rsid w:val="00C41672"/>
    <w:rsid w:val="00C71A2D"/>
    <w:rsid w:val="00C92786"/>
    <w:rsid w:val="00CB26AF"/>
    <w:rsid w:val="00CC13BE"/>
    <w:rsid w:val="00CC6C8C"/>
    <w:rsid w:val="00CE5F83"/>
    <w:rsid w:val="00D029F5"/>
    <w:rsid w:val="00D04421"/>
    <w:rsid w:val="00D10616"/>
    <w:rsid w:val="00D23D7D"/>
    <w:rsid w:val="00D40F58"/>
    <w:rsid w:val="00D51439"/>
    <w:rsid w:val="00D52618"/>
    <w:rsid w:val="00D72C67"/>
    <w:rsid w:val="00DA1286"/>
    <w:rsid w:val="00DA5257"/>
    <w:rsid w:val="00DB3F32"/>
    <w:rsid w:val="00DC3ABF"/>
    <w:rsid w:val="00DD446A"/>
    <w:rsid w:val="00E01EE6"/>
    <w:rsid w:val="00E73439"/>
    <w:rsid w:val="00F13F26"/>
    <w:rsid w:val="00F84310"/>
    <w:rsid w:val="00F93011"/>
    <w:rsid w:val="00FA3DDF"/>
    <w:rsid w:val="00FB662A"/>
    <w:rsid w:val="00FE29D2"/>
    <w:rsid w:val="00FF33B3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BB0B04"/>
  <w15:docId w15:val="{0556C881-F017-4D0D-AAB1-79369002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8B"/>
    <w:rPr>
      <w:rFonts w:ascii="Book Antiqua" w:hAnsi="Book Antiqua"/>
      <w:sz w:val="24"/>
    </w:rPr>
  </w:style>
  <w:style w:type="paragraph" w:styleId="Heading1">
    <w:name w:val="heading 1"/>
    <w:basedOn w:val="Defaultparagraph"/>
    <w:next w:val="Defaultparagraph"/>
    <w:link w:val="Heading1Char"/>
    <w:qFormat/>
    <w:rsid w:val="009A7F8B"/>
    <w:pPr>
      <w:keepNext/>
      <w:pBdr>
        <w:bottom w:val="thinThickSmallGap" w:sz="12" w:space="2" w:color="auto"/>
      </w:pBdr>
      <w:tabs>
        <w:tab w:val="left" w:pos="1080"/>
      </w:tabs>
      <w:suppressAutoHyphens/>
      <w:spacing w:before="360"/>
      <w:ind w:left="720" w:hanging="720"/>
      <w:outlineLvl w:val="0"/>
    </w:pPr>
    <w:rPr>
      <w:rFonts w:ascii="Arial" w:hAnsi="Arial"/>
      <w:b/>
      <w:color w:val="000000"/>
      <w:kern w:val="28"/>
      <w:sz w:val="28"/>
    </w:rPr>
  </w:style>
  <w:style w:type="paragraph" w:styleId="Heading2">
    <w:name w:val="heading 2"/>
    <w:basedOn w:val="Defaultparagraph"/>
    <w:next w:val="Defaultparagraph"/>
    <w:qFormat/>
    <w:rsid w:val="009A7F8B"/>
    <w:pPr>
      <w:keepNext/>
      <w:tabs>
        <w:tab w:val="left" w:pos="1080"/>
      </w:tabs>
      <w:spacing w:before="240"/>
      <w:ind w:left="720" w:hanging="720"/>
      <w:outlineLvl w:val="1"/>
    </w:pPr>
    <w:rPr>
      <w:rFonts w:ascii="Arial" w:hAnsi="Arial"/>
      <w:b/>
      <w:smallCaps/>
      <w:color w:val="000000"/>
      <w:sz w:val="26"/>
    </w:rPr>
  </w:style>
  <w:style w:type="paragraph" w:styleId="Heading3">
    <w:name w:val="heading 3"/>
    <w:basedOn w:val="Defaultparagraph"/>
    <w:next w:val="Defaultparagraph"/>
    <w:link w:val="Heading3Char"/>
    <w:qFormat/>
    <w:rsid w:val="009A7F8B"/>
    <w:pPr>
      <w:keepNext/>
      <w:tabs>
        <w:tab w:val="left" w:pos="1080"/>
      </w:tabs>
      <w:spacing w:before="240"/>
      <w:ind w:left="720" w:hanging="720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Defaultparagraph"/>
    <w:next w:val="Defaultparagraph"/>
    <w:link w:val="Heading4Char"/>
    <w:qFormat/>
    <w:rsid w:val="009A7F8B"/>
    <w:pPr>
      <w:keepNext/>
      <w:tabs>
        <w:tab w:val="left" w:pos="1080"/>
      </w:tabs>
      <w:spacing w:before="180"/>
      <w:ind w:left="720" w:hanging="720"/>
      <w:outlineLvl w:val="3"/>
    </w:pPr>
    <w:rPr>
      <w:rFonts w:ascii="Arial" w:hAnsi="Arial"/>
      <w:b/>
      <w:i/>
      <w:color w:val="000000"/>
      <w:sz w:val="22"/>
    </w:rPr>
  </w:style>
  <w:style w:type="paragraph" w:styleId="Heading5">
    <w:name w:val="heading 5"/>
    <w:basedOn w:val="Defaultparagraph"/>
    <w:next w:val="Defaultparagraph"/>
    <w:qFormat/>
    <w:rsid w:val="009A7F8B"/>
    <w:pPr>
      <w:keepNext/>
      <w:suppressAutoHyphens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Defaultparagraph"/>
    <w:next w:val="Defaultparagraph"/>
    <w:semiHidden/>
    <w:unhideWhenUsed/>
    <w:qFormat/>
    <w:rsid w:val="009A7F8B"/>
    <w:pPr>
      <w:keepNext/>
      <w:suppressAutoHyphens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Defaultparagraph"/>
    <w:next w:val="Defaultparagraph"/>
    <w:semiHidden/>
    <w:unhideWhenUsed/>
    <w:qFormat/>
    <w:rsid w:val="009A7F8B"/>
    <w:pPr>
      <w:keepNext/>
      <w:suppressAutoHyphens/>
      <w:outlineLvl w:val="6"/>
    </w:pPr>
  </w:style>
  <w:style w:type="paragraph" w:styleId="Heading8">
    <w:name w:val="heading 8"/>
    <w:basedOn w:val="Defaultparagraph"/>
    <w:next w:val="Defaultparagraph"/>
    <w:semiHidden/>
    <w:unhideWhenUsed/>
    <w:qFormat/>
    <w:rsid w:val="009A7F8B"/>
    <w:pPr>
      <w:keepNext/>
      <w:outlineLvl w:val="7"/>
    </w:pPr>
  </w:style>
  <w:style w:type="paragraph" w:styleId="Heading9">
    <w:name w:val="heading 9"/>
    <w:basedOn w:val="Defaultparagraph"/>
    <w:next w:val="Defaultparagraph"/>
    <w:semiHidden/>
    <w:unhideWhenUsed/>
    <w:qFormat/>
    <w:rsid w:val="009A7F8B"/>
    <w:pPr>
      <w:keepNext/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">
    <w:name w:val="Default paragraph"/>
    <w:rsid w:val="008B1F7D"/>
    <w:pPr>
      <w:spacing w:before="120"/>
    </w:pPr>
    <w:rPr>
      <w:rFonts w:ascii="Book Antiqua" w:hAnsi="Book Antiqua"/>
      <w:sz w:val="24"/>
    </w:rPr>
  </w:style>
  <w:style w:type="character" w:styleId="FootnoteReference">
    <w:name w:val="footnote reference"/>
    <w:basedOn w:val="DefaultParagraphFont"/>
    <w:semiHidden/>
    <w:rsid w:val="008B1F7D"/>
    <w:rPr>
      <w:vertAlign w:val="superscript"/>
    </w:rPr>
  </w:style>
  <w:style w:type="paragraph" w:styleId="Header">
    <w:name w:val="header"/>
    <w:basedOn w:val="Normal"/>
    <w:rsid w:val="008B1F7D"/>
    <w:pPr>
      <w:tabs>
        <w:tab w:val="center" w:pos="4680"/>
        <w:tab w:val="right" w:pos="9360"/>
      </w:tabs>
    </w:pPr>
    <w:rPr>
      <w:rFonts w:ascii="Arial" w:hAnsi="Arial" w:cs="Arial"/>
      <w:sz w:val="20"/>
    </w:rPr>
  </w:style>
  <w:style w:type="paragraph" w:styleId="Footer">
    <w:name w:val="footer"/>
    <w:basedOn w:val="Defaultparagraph"/>
    <w:unhideWhenUsed/>
    <w:rsid w:val="008B1F7D"/>
    <w:pPr>
      <w:tabs>
        <w:tab w:val="center" w:pos="4320"/>
        <w:tab w:val="right" w:pos="8640"/>
      </w:tabs>
      <w:spacing w:before="0"/>
    </w:pPr>
    <w:rPr>
      <w:rFonts w:ascii="Arial" w:hAnsi="Arial"/>
      <w:sz w:val="18"/>
    </w:rPr>
  </w:style>
  <w:style w:type="paragraph" w:styleId="FootnoteText">
    <w:name w:val="footnote text"/>
    <w:basedOn w:val="Defaultparagraph"/>
    <w:link w:val="FootnoteTextChar"/>
    <w:uiPriority w:val="99"/>
    <w:qFormat/>
    <w:rsid w:val="009A7F8B"/>
    <w:pPr>
      <w:ind w:left="144" w:hanging="144"/>
    </w:pPr>
    <w:rPr>
      <w:sz w:val="20"/>
    </w:rPr>
  </w:style>
  <w:style w:type="paragraph" w:styleId="TOC1">
    <w:name w:val="toc 1"/>
    <w:basedOn w:val="Defaultparagraph"/>
    <w:next w:val="Normal"/>
    <w:semiHidden/>
    <w:rsid w:val="008B1F7D"/>
    <w:pPr>
      <w:tabs>
        <w:tab w:val="left" w:pos="720"/>
        <w:tab w:val="right" w:pos="9180"/>
      </w:tabs>
      <w:spacing w:before="180"/>
      <w:ind w:left="720" w:hanging="720"/>
    </w:pPr>
    <w:rPr>
      <w:rFonts w:ascii="Arial" w:hAnsi="Arial" w:cs="Arial"/>
      <w:b/>
      <w:bCs/>
      <w:smallCaps/>
      <w:noProof/>
      <w:color w:val="000000"/>
      <w:kern w:val="20"/>
    </w:rPr>
  </w:style>
  <w:style w:type="paragraph" w:styleId="TOC2">
    <w:name w:val="toc 2"/>
    <w:basedOn w:val="TOC1"/>
    <w:next w:val="Normal"/>
    <w:semiHidden/>
    <w:rsid w:val="008B1F7D"/>
    <w:pPr>
      <w:tabs>
        <w:tab w:val="clear" w:pos="720"/>
        <w:tab w:val="left" w:pos="1080"/>
      </w:tabs>
      <w:spacing w:before="0"/>
      <w:ind w:left="1080"/>
    </w:pPr>
    <w:rPr>
      <w:rFonts w:ascii="Book Antiqua" w:hAnsi="Book Antiqua"/>
      <w:b w:val="0"/>
      <w:bCs w:val="0"/>
    </w:rPr>
  </w:style>
  <w:style w:type="paragraph" w:styleId="TOC3">
    <w:name w:val="toc 3"/>
    <w:basedOn w:val="TOC2"/>
    <w:next w:val="Normal"/>
    <w:semiHidden/>
    <w:rsid w:val="008B1F7D"/>
    <w:pPr>
      <w:tabs>
        <w:tab w:val="clear" w:pos="1080"/>
        <w:tab w:val="left" w:pos="1800"/>
      </w:tabs>
      <w:ind w:left="1800" w:hanging="1080"/>
    </w:pPr>
    <w:rPr>
      <w:smallCaps w:val="0"/>
    </w:rPr>
  </w:style>
  <w:style w:type="paragraph" w:styleId="TOC4">
    <w:name w:val="toc 4"/>
    <w:basedOn w:val="TOC3"/>
    <w:next w:val="Normal"/>
    <w:semiHidden/>
    <w:rsid w:val="008B1F7D"/>
    <w:pPr>
      <w:tabs>
        <w:tab w:val="clear" w:pos="1800"/>
        <w:tab w:val="left" w:pos="2520"/>
      </w:tabs>
      <w:ind w:left="2520" w:hanging="1440"/>
    </w:pPr>
    <w:rPr>
      <w:rFonts w:ascii="Arial" w:hAnsi="Arial"/>
      <w:bCs/>
      <w:i/>
      <w:smallCaps/>
      <w:sz w:val="22"/>
    </w:rPr>
  </w:style>
  <w:style w:type="paragraph" w:customStyle="1" w:styleId="Bullet-1">
    <w:name w:val="Bullet-1"/>
    <w:basedOn w:val="Defaultparagraph"/>
    <w:rsid w:val="008B1F7D"/>
    <w:pPr>
      <w:numPr>
        <w:numId w:val="1"/>
      </w:numPr>
      <w:tabs>
        <w:tab w:val="left" w:pos="1080"/>
      </w:tabs>
    </w:pPr>
  </w:style>
  <w:style w:type="paragraph" w:customStyle="1" w:styleId="Bullet-2">
    <w:name w:val="Bullet-2"/>
    <w:basedOn w:val="Defaultparagraph"/>
    <w:rsid w:val="008B1F7D"/>
    <w:pPr>
      <w:numPr>
        <w:ilvl w:val="1"/>
        <w:numId w:val="2"/>
      </w:numPr>
    </w:pPr>
  </w:style>
  <w:style w:type="paragraph" w:styleId="HTMLAddress">
    <w:name w:val="HTML Address"/>
    <w:basedOn w:val="Normal"/>
    <w:semiHidden/>
    <w:rsid w:val="008B1F7D"/>
    <w:rPr>
      <w:i/>
      <w:iCs/>
    </w:rPr>
  </w:style>
  <w:style w:type="character" w:styleId="Hyperlink">
    <w:name w:val="Hyperlink"/>
    <w:basedOn w:val="DefaultParagraphFont"/>
    <w:semiHidden/>
    <w:rsid w:val="008B1F7D"/>
    <w:rPr>
      <w:color w:val="0000FF"/>
      <w:u w:val="single"/>
    </w:rPr>
  </w:style>
  <w:style w:type="paragraph" w:customStyle="1" w:styleId="Numberedlist">
    <w:name w:val="Numbered list"/>
    <w:basedOn w:val="Defaultparagraph"/>
    <w:rsid w:val="008B1F7D"/>
    <w:pPr>
      <w:numPr>
        <w:numId w:val="3"/>
      </w:numPr>
      <w:tabs>
        <w:tab w:val="left" w:pos="1080"/>
      </w:tabs>
    </w:pPr>
  </w:style>
  <w:style w:type="paragraph" w:customStyle="1" w:styleId="ProjectTitle">
    <w:name w:val="Project Title"/>
    <w:basedOn w:val="Defaultparagraph"/>
    <w:next w:val="Normal"/>
    <w:semiHidden/>
    <w:unhideWhenUsed/>
    <w:rsid w:val="008B1F7D"/>
    <w:pPr>
      <w:pBdr>
        <w:top w:val="single" w:sz="4" w:space="1" w:color="auto"/>
      </w:pBdr>
      <w:suppressAutoHyphens/>
      <w:spacing w:before="0"/>
    </w:pPr>
    <w:rPr>
      <w:bCs/>
      <w:kern w:val="36"/>
      <w:sz w:val="36"/>
    </w:rPr>
  </w:style>
  <w:style w:type="paragraph" w:customStyle="1" w:styleId="Reference">
    <w:name w:val="Reference"/>
    <w:basedOn w:val="Defaultparagraph"/>
    <w:rsid w:val="008B1F7D"/>
    <w:pPr>
      <w:ind w:left="720" w:hanging="720"/>
    </w:pPr>
  </w:style>
  <w:style w:type="paragraph" w:customStyle="1" w:styleId="Reporttitle">
    <w:name w:val="Report title"/>
    <w:basedOn w:val="Defaultparagraph"/>
    <w:next w:val="Heading4"/>
    <w:semiHidden/>
    <w:unhideWhenUsed/>
    <w:rsid w:val="008B1F7D"/>
    <w:pPr>
      <w:spacing w:before="2400"/>
      <w:ind w:left="720" w:hanging="720"/>
    </w:pPr>
    <w:rPr>
      <w:rFonts w:ascii="Arial" w:hAnsi="Arial"/>
      <w:b/>
      <w:iCs/>
      <w:smallCaps/>
      <w:sz w:val="40"/>
    </w:rPr>
  </w:style>
  <w:style w:type="character" w:customStyle="1" w:styleId="SYSHYPERTEXT">
    <w:name w:val="SYS_HYPERTEXT"/>
    <w:semiHidden/>
    <w:unhideWhenUsed/>
    <w:rsid w:val="008B1F7D"/>
    <w:rPr>
      <w:b/>
      <w:color w:val="008000"/>
      <w:u w:val="single"/>
    </w:rPr>
  </w:style>
  <w:style w:type="paragraph" w:customStyle="1" w:styleId="TableText">
    <w:name w:val="Table Text"/>
    <w:basedOn w:val="Defaultparagraph"/>
    <w:rsid w:val="008B1F7D"/>
    <w:pPr>
      <w:spacing w:before="40" w:after="40"/>
    </w:pPr>
    <w:rPr>
      <w:rFonts w:ascii="Arial" w:hAnsi="Arial"/>
      <w:sz w:val="18"/>
    </w:rPr>
  </w:style>
  <w:style w:type="paragraph" w:customStyle="1" w:styleId="TableHeaderRow">
    <w:name w:val="Table Header Row"/>
    <w:basedOn w:val="TableText"/>
    <w:rsid w:val="0022357B"/>
    <w:pPr>
      <w:keepNext/>
      <w:keepLines/>
      <w:spacing w:after="10"/>
      <w:jc w:val="center"/>
    </w:pPr>
    <w:rPr>
      <w:b/>
    </w:rPr>
  </w:style>
  <w:style w:type="paragraph" w:customStyle="1" w:styleId="TableNote">
    <w:name w:val="Table Note"/>
    <w:basedOn w:val="TableText"/>
    <w:rsid w:val="008B1F7D"/>
    <w:pPr>
      <w:tabs>
        <w:tab w:val="left" w:pos="360"/>
        <w:tab w:val="left" w:pos="1080"/>
        <w:tab w:val="left" w:pos="1440"/>
      </w:tabs>
      <w:ind w:left="360" w:hanging="360"/>
    </w:pPr>
  </w:style>
  <w:style w:type="paragraph" w:customStyle="1" w:styleId="TableNote1">
    <w:name w:val="Table Note 1"/>
    <w:basedOn w:val="TableNote"/>
    <w:next w:val="TableNote"/>
    <w:rsid w:val="008B1F7D"/>
    <w:pPr>
      <w:spacing w:before="120"/>
    </w:pPr>
  </w:style>
  <w:style w:type="paragraph" w:styleId="TableofFigures">
    <w:name w:val="table of figures"/>
    <w:basedOn w:val="Defaultparagraph"/>
    <w:next w:val="Normal"/>
    <w:semiHidden/>
    <w:rsid w:val="008B1F7D"/>
    <w:pPr>
      <w:ind w:left="720" w:hanging="720"/>
    </w:pPr>
    <w:rPr>
      <w:rFonts w:ascii="Arial" w:hAnsi="Arial"/>
      <w:i/>
    </w:rPr>
  </w:style>
  <w:style w:type="paragraph" w:customStyle="1" w:styleId="TableTitle">
    <w:name w:val="Table Title"/>
    <w:basedOn w:val="Defaultparagraph"/>
    <w:rsid w:val="008B1F7D"/>
    <w:pPr>
      <w:keepNext/>
      <w:tabs>
        <w:tab w:val="left" w:pos="1170"/>
      </w:tabs>
      <w:spacing w:before="240" w:after="120"/>
      <w:ind w:left="1166" w:hanging="1166"/>
    </w:pPr>
    <w:rPr>
      <w:rFonts w:ascii="Arial" w:hAnsi="Arial"/>
      <w:b/>
      <w:snapToGrid w:val="0"/>
      <w:color w:val="000000"/>
    </w:rPr>
  </w:style>
  <w:style w:type="paragraph" w:customStyle="1" w:styleId="TOC">
    <w:name w:val="TOC"/>
    <w:basedOn w:val="Heading1"/>
    <w:semiHidden/>
    <w:unhideWhenUsed/>
    <w:rsid w:val="008B1F7D"/>
  </w:style>
  <w:style w:type="character" w:customStyle="1" w:styleId="Heading1Char">
    <w:name w:val="Heading 1 Char"/>
    <w:basedOn w:val="DefaultParagraphFont"/>
    <w:link w:val="Heading1"/>
    <w:rsid w:val="009A7F8B"/>
    <w:rPr>
      <w:rFonts w:ascii="Arial" w:hAnsi="Arial"/>
      <w:b/>
      <w:color w:val="000000"/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9A7F8B"/>
    <w:rPr>
      <w:rFonts w:ascii="Arial" w:hAnsi="Arial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9A7F8B"/>
    <w:rPr>
      <w:rFonts w:ascii="Arial" w:hAnsi="Arial"/>
      <w:b/>
      <w:i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F8B"/>
    <w:rPr>
      <w:rFonts w:ascii="Book Antiqua" w:hAnsi="Book Antiqua"/>
    </w:rPr>
  </w:style>
  <w:style w:type="paragraph" w:styleId="BodyTextIndent">
    <w:name w:val="Body Text Indent"/>
    <w:basedOn w:val="Normal"/>
    <w:link w:val="BodyTextIndentChar"/>
    <w:qFormat/>
    <w:rsid w:val="009A7F8B"/>
    <w:pPr>
      <w:spacing w:after="240"/>
      <w:ind w:left="720"/>
    </w:pPr>
    <w:rPr>
      <w:rFonts w:ascii="Times New Roman" w:hAnsi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rsid w:val="009A7F8B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9A7F8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ulletList">
    <w:name w:val="Bullet List"/>
    <w:basedOn w:val="Normal"/>
    <w:qFormat/>
    <w:rsid w:val="009A7F8B"/>
    <w:pPr>
      <w:numPr>
        <w:numId w:val="4"/>
      </w:numPr>
      <w:tabs>
        <w:tab w:val="left" w:pos="1440"/>
      </w:tabs>
      <w:spacing w:after="120"/>
    </w:pPr>
    <w:rPr>
      <w:rFonts w:ascii="Times New Roman" w:hAnsi="Times New Roman"/>
      <w:noProof/>
    </w:rPr>
  </w:style>
  <w:style w:type="paragraph" w:customStyle="1" w:styleId="BulletList2">
    <w:name w:val="Bullet List 2"/>
    <w:basedOn w:val="BulletList"/>
    <w:qFormat/>
    <w:rsid w:val="009A7F8B"/>
    <w:pPr>
      <w:numPr>
        <w:ilvl w:val="1"/>
      </w:numPr>
      <w:tabs>
        <w:tab w:val="clear" w:pos="1440"/>
      </w:tabs>
    </w:pPr>
  </w:style>
  <w:style w:type="table" w:styleId="TableGrid">
    <w:name w:val="Table Grid"/>
    <w:basedOn w:val="TableNormal"/>
    <w:uiPriority w:val="59"/>
    <w:rsid w:val="0024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D8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7D8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noa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ord_2007\WW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WW_Memo.dotx</Template>
  <TotalTime>454</TotalTime>
  <Pages>3</Pages>
  <Words>858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Windward Environmental LLC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/>
  <dc:creator>Aaron Edgington</dc:creator>
  <cp:keywords/>
  <dc:description/>
  <cp:lastModifiedBy>Aaron Edgington</cp:lastModifiedBy>
  <cp:revision>28</cp:revision>
  <cp:lastPrinted>2012-03-15T21:33:00Z</cp:lastPrinted>
  <dcterms:created xsi:type="dcterms:W3CDTF">2019-06-27T22:40:00Z</dcterms:created>
  <dcterms:modified xsi:type="dcterms:W3CDTF">2019-06-28T22:35:00Z</dcterms:modified>
</cp:coreProperties>
</file>