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E2" w:rsidRPr="007B2DE2" w:rsidRDefault="007B2DE2" w:rsidP="007B2DE2">
      <w:pPr>
        <w:jc w:val="center"/>
        <w:rPr>
          <w:rFonts w:ascii="Arial" w:hAnsi="Arial" w:cs="Arial"/>
          <w:b/>
          <w:sz w:val="20"/>
          <w:szCs w:val="20"/>
        </w:rPr>
      </w:pPr>
      <w:r w:rsidRPr="007B2DE2">
        <w:rPr>
          <w:rFonts w:ascii="Arial" w:hAnsi="Arial" w:cs="Arial"/>
          <w:b/>
          <w:sz w:val="20"/>
          <w:szCs w:val="20"/>
        </w:rPr>
        <w:t>Comments to Draft Final Guidance for Determining Net Ecological Benefit</w:t>
      </w:r>
    </w:p>
    <w:p w:rsidR="007B2DE2" w:rsidRDefault="007B2DE2" w:rsidP="00466DB7">
      <w:pPr>
        <w:rPr>
          <w:rFonts w:ascii="Arial" w:hAnsi="Arial" w:cs="Arial"/>
          <w:sz w:val="20"/>
          <w:szCs w:val="20"/>
          <w:u w:val="single"/>
        </w:rPr>
      </w:pPr>
    </w:p>
    <w:p w:rsidR="00D718D8" w:rsidRPr="007B2DE2" w:rsidRDefault="00D718D8" w:rsidP="00466DB7">
      <w:pPr>
        <w:rPr>
          <w:rFonts w:ascii="Arial" w:hAnsi="Arial" w:cs="Arial"/>
          <w:sz w:val="20"/>
          <w:szCs w:val="20"/>
        </w:rPr>
      </w:pPr>
      <w:r w:rsidRPr="007B2DE2">
        <w:rPr>
          <w:rFonts w:ascii="Arial" w:hAnsi="Arial" w:cs="Arial"/>
          <w:sz w:val="20"/>
          <w:szCs w:val="20"/>
        </w:rPr>
        <w:t xml:space="preserve">Comments by Chad Wiseman (HDR, </w:t>
      </w:r>
      <w:proofErr w:type="spellStart"/>
      <w:r w:rsidRPr="007B2DE2">
        <w:rPr>
          <w:rFonts w:ascii="Arial" w:hAnsi="Arial" w:cs="Arial"/>
          <w:sz w:val="20"/>
          <w:szCs w:val="20"/>
        </w:rPr>
        <w:t>Inc</w:t>
      </w:r>
      <w:proofErr w:type="spellEnd"/>
      <w:r w:rsidRPr="007B2DE2">
        <w:rPr>
          <w:rFonts w:ascii="Arial" w:hAnsi="Arial" w:cs="Arial"/>
          <w:sz w:val="20"/>
          <w:szCs w:val="20"/>
        </w:rPr>
        <w:t>)</w:t>
      </w:r>
    </w:p>
    <w:p w:rsidR="00107438" w:rsidRDefault="002953EC" w:rsidP="007B2DE2">
      <w:pPr>
        <w:pStyle w:val="ListParagraph"/>
        <w:numPr>
          <w:ilvl w:val="0"/>
          <w:numId w:val="3"/>
        </w:numPr>
        <w:rPr>
          <w:rFonts w:ascii="Arial" w:hAnsi="Arial" w:cs="Arial"/>
          <w:sz w:val="20"/>
          <w:szCs w:val="20"/>
        </w:rPr>
      </w:pPr>
      <w:r>
        <w:rPr>
          <w:rFonts w:ascii="Arial" w:hAnsi="Arial" w:cs="Arial"/>
          <w:sz w:val="20"/>
          <w:szCs w:val="20"/>
        </w:rPr>
        <w:t>Consider defining</w:t>
      </w:r>
      <w:r w:rsidR="00466DB7">
        <w:rPr>
          <w:rFonts w:ascii="Arial" w:hAnsi="Arial" w:cs="Arial"/>
          <w:sz w:val="20"/>
          <w:szCs w:val="20"/>
        </w:rPr>
        <w:t xml:space="preserve"> “steady state”</w:t>
      </w:r>
      <w:r>
        <w:rPr>
          <w:rFonts w:ascii="Arial" w:hAnsi="Arial" w:cs="Arial"/>
          <w:sz w:val="20"/>
          <w:szCs w:val="20"/>
        </w:rPr>
        <w:t xml:space="preserve"> in the definitions or at first use</w:t>
      </w:r>
      <w:r w:rsidR="00466DB7">
        <w:rPr>
          <w:rFonts w:ascii="Arial" w:hAnsi="Arial" w:cs="Arial"/>
          <w:sz w:val="20"/>
          <w:szCs w:val="20"/>
        </w:rPr>
        <w:t>.</w:t>
      </w:r>
    </w:p>
    <w:p w:rsidR="00466DB7" w:rsidRDefault="00466DB7" w:rsidP="007B2DE2">
      <w:pPr>
        <w:pStyle w:val="ListParagraph"/>
        <w:numPr>
          <w:ilvl w:val="0"/>
          <w:numId w:val="3"/>
        </w:numPr>
        <w:rPr>
          <w:rFonts w:ascii="Arial" w:hAnsi="Arial" w:cs="Arial"/>
          <w:sz w:val="20"/>
          <w:szCs w:val="20"/>
        </w:rPr>
      </w:pPr>
      <w:r>
        <w:rPr>
          <w:rFonts w:ascii="Arial" w:hAnsi="Arial" w:cs="Arial"/>
          <w:sz w:val="20"/>
          <w:szCs w:val="20"/>
        </w:rPr>
        <w:t xml:space="preserve">Water Rights Acquisitions: </w:t>
      </w:r>
      <w:r w:rsidR="000171C1">
        <w:rPr>
          <w:rFonts w:ascii="Arial" w:hAnsi="Arial" w:cs="Arial"/>
          <w:sz w:val="20"/>
          <w:szCs w:val="20"/>
        </w:rPr>
        <w:t>Recommend clarifying if there are any other WR acquisition mechanisms other than through Ecology’s Trust Water Rights Program.</w:t>
      </w:r>
    </w:p>
    <w:p w:rsidR="00446DB5" w:rsidRDefault="00D718D8" w:rsidP="007B2DE2">
      <w:pPr>
        <w:pStyle w:val="ListParagraph"/>
        <w:numPr>
          <w:ilvl w:val="0"/>
          <w:numId w:val="3"/>
        </w:numPr>
        <w:rPr>
          <w:rFonts w:ascii="Arial" w:hAnsi="Arial" w:cs="Arial"/>
          <w:sz w:val="20"/>
          <w:szCs w:val="20"/>
        </w:rPr>
      </w:pPr>
      <w:r>
        <w:rPr>
          <w:rFonts w:ascii="Arial" w:hAnsi="Arial" w:cs="Arial"/>
          <w:sz w:val="20"/>
          <w:szCs w:val="20"/>
        </w:rPr>
        <w:t>It seems like o</w:t>
      </w:r>
      <w:r w:rsidR="00446DB5">
        <w:rPr>
          <w:rFonts w:ascii="Arial" w:hAnsi="Arial" w:cs="Arial"/>
          <w:sz w:val="20"/>
          <w:szCs w:val="20"/>
        </w:rPr>
        <w:t>ffset projects in time a</w:t>
      </w:r>
      <w:bookmarkStart w:id="0" w:name="_GoBack"/>
      <w:bookmarkEnd w:id="0"/>
      <w:r w:rsidR="00446DB5">
        <w:rPr>
          <w:rFonts w:ascii="Arial" w:hAnsi="Arial" w:cs="Arial"/>
          <w:sz w:val="20"/>
          <w:szCs w:val="20"/>
        </w:rPr>
        <w:t xml:space="preserve">nd place (i.e. same </w:t>
      </w:r>
      <w:proofErr w:type="spellStart"/>
      <w:r w:rsidR="00446DB5">
        <w:rPr>
          <w:rFonts w:ascii="Arial" w:hAnsi="Arial" w:cs="Arial"/>
          <w:sz w:val="20"/>
          <w:szCs w:val="20"/>
        </w:rPr>
        <w:t>subbasin</w:t>
      </w:r>
      <w:proofErr w:type="spellEnd"/>
      <w:r w:rsidR="00446DB5">
        <w:rPr>
          <w:rFonts w:ascii="Arial" w:hAnsi="Arial" w:cs="Arial"/>
          <w:sz w:val="20"/>
          <w:szCs w:val="20"/>
        </w:rPr>
        <w:t>) may not be “high priority”</w:t>
      </w:r>
      <w:r>
        <w:rPr>
          <w:rFonts w:ascii="Arial" w:hAnsi="Arial" w:cs="Arial"/>
          <w:sz w:val="20"/>
          <w:szCs w:val="20"/>
        </w:rPr>
        <w:t xml:space="preserve"> if they are of low value</w:t>
      </w:r>
      <w:r w:rsidR="00446DB5">
        <w:rPr>
          <w:rFonts w:ascii="Arial" w:hAnsi="Arial" w:cs="Arial"/>
          <w:sz w:val="20"/>
          <w:szCs w:val="20"/>
        </w:rPr>
        <w:t xml:space="preserve"> and offset projects in different </w:t>
      </w:r>
      <w:proofErr w:type="spellStart"/>
      <w:r w:rsidR="00446DB5">
        <w:rPr>
          <w:rFonts w:ascii="Arial" w:hAnsi="Arial" w:cs="Arial"/>
          <w:sz w:val="20"/>
          <w:szCs w:val="20"/>
        </w:rPr>
        <w:t>subbasin</w:t>
      </w:r>
      <w:proofErr w:type="spellEnd"/>
      <w:r w:rsidR="00446DB5">
        <w:rPr>
          <w:rFonts w:ascii="Arial" w:hAnsi="Arial" w:cs="Arial"/>
          <w:sz w:val="20"/>
          <w:szCs w:val="20"/>
        </w:rPr>
        <w:t xml:space="preserve"> </w:t>
      </w:r>
      <w:r>
        <w:rPr>
          <w:rFonts w:ascii="Arial" w:hAnsi="Arial" w:cs="Arial"/>
          <w:sz w:val="20"/>
          <w:szCs w:val="20"/>
        </w:rPr>
        <w:t>(relative to impacts)</w:t>
      </w:r>
      <w:r w:rsidR="00446DB5">
        <w:rPr>
          <w:rFonts w:ascii="Arial" w:hAnsi="Arial" w:cs="Arial"/>
          <w:sz w:val="20"/>
          <w:szCs w:val="20"/>
        </w:rPr>
        <w:t xml:space="preserve"> may be a “high priority”, </w:t>
      </w:r>
      <w:r>
        <w:rPr>
          <w:rFonts w:ascii="Arial" w:hAnsi="Arial" w:cs="Arial"/>
          <w:sz w:val="20"/>
          <w:szCs w:val="20"/>
        </w:rPr>
        <w:t>if it is of a high value, overall to the WRIA</w:t>
      </w:r>
      <w:r w:rsidR="00446DB5">
        <w:rPr>
          <w:rFonts w:ascii="Arial" w:hAnsi="Arial" w:cs="Arial"/>
          <w:sz w:val="20"/>
          <w:szCs w:val="20"/>
        </w:rPr>
        <w:t>.</w:t>
      </w:r>
    </w:p>
    <w:p w:rsidR="002B465F" w:rsidRDefault="00B65871" w:rsidP="007B2DE2">
      <w:pPr>
        <w:pStyle w:val="ListParagraph"/>
        <w:numPr>
          <w:ilvl w:val="0"/>
          <w:numId w:val="3"/>
        </w:numPr>
        <w:rPr>
          <w:rFonts w:ascii="Arial" w:hAnsi="Arial" w:cs="Arial"/>
          <w:sz w:val="20"/>
          <w:szCs w:val="20"/>
        </w:rPr>
      </w:pPr>
      <w:r>
        <w:rPr>
          <w:rFonts w:ascii="Arial" w:hAnsi="Arial" w:cs="Arial"/>
          <w:sz w:val="20"/>
          <w:szCs w:val="20"/>
        </w:rPr>
        <w:t>More clarity on how to allocate c</w:t>
      </w:r>
      <w:r w:rsidR="002F474A">
        <w:rPr>
          <w:rFonts w:ascii="Arial" w:hAnsi="Arial" w:cs="Arial"/>
          <w:sz w:val="20"/>
          <w:szCs w:val="20"/>
        </w:rPr>
        <w:t xml:space="preserve">onsumptive water use impacts </w:t>
      </w:r>
      <w:r>
        <w:rPr>
          <w:rFonts w:ascii="Arial" w:hAnsi="Arial" w:cs="Arial"/>
          <w:sz w:val="20"/>
          <w:szCs w:val="20"/>
        </w:rPr>
        <w:t xml:space="preserve">to a stream or multiple streams, or if consumptive use should just be accounted for as an impact at the </w:t>
      </w:r>
      <w:proofErr w:type="spellStart"/>
      <w:r>
        <w:rPr>
          <w:rFonts w:ascii="Arial" w:hAnsi="Arial" w:cs="Arial"/>
          <w:sz w:val="20"/>
          <w:szCs w:val="20"/>
        </w:rPr>
        <w:t>subbasin</w:t>
      </w:r>
      <w:proofErr w:type="spellEnd"/>
      <w:r>
        <w:rPr>
          <w:rFonts w:ascii="Arial" w:hAnsi="Arial" w:cs="Arial"/>
          <w:sz w:val="20"/>
          <w:szCs w:val="20"/>
        </w:rPr>
        <w:t xml:space="preserve"> spatial scale.</w:t>
      </w:r>
    </w:p>
    <w:p w:rsidR="00573E9E" w:rsidRDefault="002F474A" w:rsidP="007B2DE2">
      <w:pPr>
        <w:pStyle w:val="ListParagraph"/>
        <w:numPr>
          <w:ilvl w:val="0"/>
          <w:numId w:val="3"/>
        </w:numPr>
        <w:rPr>
          <w:rFonts w:ascii="Arial" w:hAnsi="Arial" w:cs="Arial"/>
          <w:sz w:val="20"/>
          <w:szCs w:val="20"/>
        </w:rPr>
      </w:pPr>
      <w:r>
        <w:rPr>
          <w:rFonts w:ascii="Arial" w:hAnsi="Arial" w:cs="Arial"/>
          <w:sz w:val="20"/>
          <w:szCs w:val="20"/>
        </w:rPr>
        <w:t>A 1:1 ratio for water offsets is defined, but gives local planning units flexibility to provide more offsets. Consider providing some guidance or examples on why more offsets would be needed and how to scale those additional offsets. Examples</w:t>
      </w:r>
      <w:r w:rsidR="00BF04E3">
        <w:rPr>
          <w:rFonts w:ascii="Arial" w:hAnsi="Arial" w:cs="Arial"/>
          <w:sz w:val="20"/>
          <w:szCs w:val="20"/>
        </w:rPr>
        <w:t>?</w:t>
      </w:r>
    </w:p>
    <w:p w:rsidR="00D718D8" w:rsidRPr="007B2DE2" w:rsidRDefault="00D718D8" w:rsidP="00D718D8">
      <w:pPr>
        <w:rPr>
          <w:rFonts w:ascii="Arial" w:hAnsi="Arial" w:cs="Arial"/>
          <w:sz w:val="20"/>
          <w:szCs w:val="20"/>
        </w:rPr>
      </w:pPr>
      <w:r w:rsidRPr="007B2DE2">
        <w:rPr>
          <w:rFonts w:ascii="Arial" w:hAnsi="Arial" w:cs="Arial"/>
          <w:sz w:val="20"/>
          <w:szCs w:val="20"/>
        </w:rPr>
        <w:t xml:space="preserve">Comments by Michelle </w:t>
      </w:r>
      <w:proofErr w:type="spellStart"/>
      <w:r w:rsidRPr="007B2DE2">
        <w:rPr>
          <w:rFonts w:ascii="Arial" w:hAnsi="Arial" w:cs="Arial"/>
          <w:sz w:val="20"/>
          <w:szCs w:val="20"/>
        </w:rPr>
        <w:t>Havey</w:t>
      </w:r>
      <w:proofErr w:type="spellEnd"/>
      <w:r w:rsidRPr="007B2DE2">
        <w:rPr>
          <w:rFonts w:ascii="Arial" w:hAnsi="Arial" w:cs="Arial"/>
          <w:sz w:val="20"/>
          <w:szCs w:val="20"/>
        </w:rPr>
        <w:t xml:space="preserve"> and Larissa </w:t>
      </w:r>
      <w:proofErr w:type="spellStart"/>
      <w:r w:rsidRPr="007B2DE2">
        <w:rPr>
          <w:rFonts w:ascii="Arial" w:hAnsi="Arial" w:cs="Arial"/>
          <w:sz w:val="20"/>
          <w:szCs w:val="20"/>
        </w:rPr>
        <w:t>Rohrbach</w:t>
      </w:r>
      <w:proofErr w:type="spellEnd"/>
      <w:r w:rsidRPr="007B2DE2">
        <w:rPr>
          <w:rFonts w:ascii="Arial" w:hAnsi="Arial" w:cs="Arial"/>
          <w:sz w:val="20"/>
          <w:szCs w:val="20"/>
        </w:rPr>
        <w:t xml:space="preserve"> (Anchor QEA)</w:t>
      </w:r>
    </w:p>
    <w:p w:rsidR="00D718D8" w:rsidRDefault="00D718D8" w:rsidP="00D718D8">
      <w:pPr>
        <w:numPr>
          <w:ilvl w:val="0"/>
          <w:numId w:val="2"/>
        </w:numPr>
        <w:spacing w:after="0" w:line="240" w:lineRule="auto"/>
        <w:rPr>
          <w:rFonts w:eastAsia="Times New Roman"/>
        </w:rPr>
      </w:pPr>
      <w:r>
        <w:rPr>
          <w:rFonts w:eastAsia="Times New Roman"/>
        </w:rPr>
        <w:t>If a WRIA is able to mitigate entirely using water for water, do they even need to conduct an NEB?</w:t>
      </w:r>
    </w:p>
    <w:p w:rsidR="00D718D8" w:rsidRDefault="00D718D8" w:rsidP="00D718D8">
      <w:pPr>
        <w:numPr>
          <w:ilvl w:val="0"/>
          <w:numId w:val="2"/>
        </w:numPr>
        <w:spacing w:after="0" w:line="240" w:lineRule="auto"/>
        <w:rPr>
          <w:rFonts w:eastAsia="Times New Roman"/>
        </w:rPr>
      </w:pPr>
      <w:r>
        <w:rPr>
          <w:rFonts w:eastAsia="Times New Roman"/>
        </w:rPr>
        <w:t xml:space="preserve">How will Ecology assess the timing of new consumptive water use impacts and the timing of offset project benefits? </w:t>
      </w:r>
    </w:p>
    <w:p w:rsidR="00D718D8" w:rsidRDefault="00D718D8" w:rsidP="00D718D8">
      <w:pPr>
        <w:numPr>
          <w:ilvl w:val="1"/>
          <w:numId w:val="2"/>
        </w:numPr>
        <w:spacing w:after="0" w:line="240" w:lineRule="auto"/>
        <w:rPr>
          <w:rFonts w:eastAsia="Times New Roman"/>
        </w:rPr>
      </w:pPr>
      <w:r>
        <w:rPr>
          <w:rFonts w:eastAsia="Times New Roman"/>
        </w:rPr>
        <w:t>There is no mention of time accounting with respect to completing mitigation offset projects prior to new wells coming online in the planning horizon</w:t>
      </w:r>
    </w:p>
    <w:p w:rsidR="00D718D8" w:rsidRDefault="00D718D8" w:rsidP="00D718D8">
      <w:pPr>
        <w:numPr>
          <w:ilvl w:val="1"/>
          <w:numId w:val="2"/>
        </w:numPr>
        <w:spacing w:after="0" w:line="240" w:lineRule="auto"/>
        <w:rPr>
          <w:rFonts w:eastAsia="Times New Roman"/>
        </w:rPr>
      </w:pPr>
      <w:r>
        <w:rPr>
          <w:rFonts w:eastAsia="Times New Roman"/>
        </w:rPr>
        <w:t>In a HEA framework, benefits now are more valuable than benefits in the future - how will that be assessed/weighed by Ecology?</w:t>
      </w:r>
    </w:p>
    <w:p w:rsidR="00D718D8" w:rsidRDefault="00D718D8" w:rsidP="00D718D8">
      <w:pPr>
        <w:numPr>
          <w:ilvl w:val="0"/>
          <w:numId w:val="2"/>
        </w:numPr>
        <w:spacing w:after="0" w:line="240" w:lineRule="auto"/>
        <w:rPr>
          <w:rFonts w:eastAsia="Times New Roman"/>
        </w:rPr>
      </w:pPr>
      <w:r>
        <w:rPr>
          <w:rFonts w:eastAsia="Times New Roman"/>
        </w:rPr>
        <w:t>How should climate change be incorporated in the NEB evaluation, and how will climate change be assessed by Ecology?</w:t>
      </w:r>
    </w:p>
    <w:p w:rsidR="00D718D8" w:rsidRDefault="00D718D8" w:rsidP="00D718D8">
      <w:pPr>
        <w:numPr>
          <w:ilvl w:val="0"/>
          <w:numId w:val="2"/>
        </w:numPr>
        <w:spacing w:after="0" w:line="240" w:lineRule="auto"/>
        <w:rPr>
          <w:rFonts w:eastAsia="Times New Roman"/>
        </w:rPr>
      </w:pPr>
      <w:r>
        <w:rPr>
          <w:rFonts w:eastAsia="Times New Roman"/>
        </w:rPr>
        <w:t>Should NEB be estimated for benefits acquired only during the 20-year planning horizon, or in perpetuity?</w:t>
      </w:r>
    </w:p>
    <w:p w:rsidR="00D718D8" w:rsidRDefault="00D718D8" w:rsidP="00D718D8">
      <w:pPr>
        <w:numPr>
          <w:ilvl w:val="0"/>
          <w:numId w:val="2"/>
        </w:numPr>
        <w:spacing w:after="0" w:line="240" w:lineRule="auto"/>
        <w:rPr>
          <w:rFonts w:eastAsia="Times New Roman"/>
        </w:rPr>
      </w:pPr>
      <w:r>
        <w:rPr>
          <w:rFonts w:eastAsia="Times New Roman"/>
        </w:rPr>
        <w:t>Adaptive management is mentioned, but that requires long-term monitoring. How will long-term monitoring and any necessary adaptive management actions be accounted for in this NEB evaluation now? Who is responsible for the adaptive management?</w:t>
      </w:r>
    </w:p>
    <w:p w:rsidR="00D718D8" w:rsidRDefault="00D718D8" w:rsidP="00D718D8">
      <w:pPr>
        <w:numPr>
          <w:ilvl w:val="0"/>
          <w:numId w:val="2"/>
        </w:numPr>
        <w:spacing w:after="0" w:line="240" w:lineRule="auto"/>
        <w:rPr>
          <w:rFonts w:eastAsia="Times New Roman"/>
        </w:rPr>
      </w:pPr>
      <w:r>
        <w:rPr>
          <w:rFonts w:eastAsia="Times New Roman"/>
        </w:rPr>
        <w:t xml:space="preserve">The preface to Appendix C indicates that HEA is not compatible with the Chapter 90.94 planning process due to lack of pre-impact monitoring data. However, HEA is often used now with assumptions using available data about the pre-impact and post-impact condition, which are typically agreed upon by a technical committee. </w:t>
      </w:r>
    </w:p>
    <w:p w:rsidR="00D718D8" w:rsidRDefault="00D718D8" w:rsidP="00D718D8">
      <w:pPr>
        <w:numPr>
          <w:ilvl w:val="1"/>
          <w:numId w:val="2"/>
        </w:numPr>
        <w:spacing w:after="0" w:line="240" w:lineRule="auto"/>
        <w:rPr>
          <w:rFonts w:eastAsia="Times New Roman"/>
        </w:rPr>
      </w:pPr>
      <w:r>
        <w:rPr>
          <w:rFonts w:eastAsia="Times New Roman"/>
        </w:rPr>
        <w:t xml:space="preserve">HEA provides a framework for assessing the time-value of impacts and benefits; it also allows for comparison of </w:t>
      </w:r>
      <w:proofErr w:type="spellStart"/>
      <w:r>
        <w:rPr>
          <w:rFonts w:eastAsia="Times New Roman"/>
        </w:rPr>
        <w:t>instream</w:t>
      </w:r>
      <w:proofErr w:type="spellEnd"/>
      <w:r>
        <w:rPr>
          <w:rFonts w:eastAsia="Times New Roman"/>
        </w:rPr>
        <w:t xml:space="preserve"> value lost as a result of new consumptive water use to out-of-kind mitigation benefits in equivalent terms.</w:t>
      </w:r>
    </w:p>
    <w:p w:rsidR="00D718D8" w:rsidRPr="00D718D8" w:rsidRDefault="00D718D8" w:rsidP="00D718D8">
      <w:pPr>
        <w:rPr>
          <w:rFonts w:ascii="Arial" w:hAnsi="Arial" w:cs="Arial"/>
          <w:sz w:val="20"/>
          <w:szCs w:val="20"/>
        </w:rPr>
      </w:pPr>
    </w:p>
    <w:sectPr w:rsidR="00D718D8" w:rsidRPr="00D718D8" w:rsidSect="006C6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A6350"/>
    <w:multiLevelType w:val="hybridMultilevel"/>
    <w:tmpl w:val="5B7C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A46B0"/>
    <w:multiLevelType w:val="hybridMultilevel"/>
    <w:tmpl w:val="13B0A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85A5436"/>
    <w:multiLevelType w:val="hybridMultilevel"/>
    <w:tmpl w:val="B74A0D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91"/>
    <w:rsid w:val="000027CD"/>
    <w:rsid w:val="000171C1"/>
    <w:rsid w:val="000C13A9"/>
    <w:rsid w:val="00107438"/>
    <w:rsid w:val="002953EC"/>
    <w:rsid w:val="002B465F"/>
    <w:rsid w:val="002C3177"/>
    <w:rsid w:val="002F474A"/>
    <w:rsid w:val="00446DB5"/>
    <w:rsid w:val="00466DB7"/>
    <w:rsid w:val="004B5F54"/>
    <w:rsid w:val="00573E9E"/>
    <w:rsid w:val="005B5D7D"/>
    <w:rsid w:val="00632B86"/>
    <w:rsid w:val="006C64D3"/>
    <w:rsid w:val="007134AE"/>
    <w:rsid w:val="00755FBF"/>
    <w:rsid w:val="007B2DE2"/>
    <w:rsid w:val="007F6CF3"/>
    <w:rsid w:val="00816843"/>
    <w:rsid w:val="00823509"/>
    <w:rsid w:val="008704EF"/>
    <w:rsid w:val="009035B9"/>
    <w:rsid w:val="009E02A5"/>
    <w:rsid w:val="00A17D78"/>
    <w:rsid w:val="00AA1258"/>
    <w:rsid w:val="00B13C91"/>
    <w:rsid w:val="00B16823"/>
    <w:rsid w:val="00B65871"/>
    <w:rsid w:val="00B825E6"/>
    <w:rsid w:val="00BF04E3"/>
    <w:rsid w:val="00CD73EE"/>
    <w:rsid w:val="00CE7E94"/>
    <w:rsid w:val="00D718D8"/>
    <w:rsid w:val="00D72DC2"/>
    <w:rsid w:val="00E9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AC690-E89B-4BB6-AA90-A9D4A777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Wiseman, Chad</dc:creator>
  <cp:keywords/>
  <dc:description/>
  <cp:lastModifiedBy>Wiseman, Chad</cp:lastModifiedBy>
  <cp:revision>10</cp:revision>
  <dcterms:created xsi:type="dcterms:W3CDTF">2019-06-07T01:36:00Z</dcterms:created>
  <dcterms:modified xsi:type="dcterms:W3CDTF">2019-06-07T05:29:00Z</dcterms:modified>
</cp:coreProperties>
</file>