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595" w:type="dxa"/>
        <w:tblLook w:val="04A0" w:firstRow="1" w:lastRow="0" w:firstColumn="1" w:lastColumn="0" w:noHBand="0" w:noVBand="1"/>
      </w:tblPr>
      <w:tblGrid>
        <w:gridCol w:w="527"/>
        <w:gridCol w:w="1823"/>
        <w:gridCol w:w="8978"/>
        <w:gridCol w:w="1267"/>
      </w:tblGrid>
      <w:tr w:rsidR="004D14B5" w:rsidRPr="0053014B" w14:paraId="02FD82CF" w14:textId="77777777" w:rsidTr="008F2058">
        <w:trPr>
          <w:tblHeader/>
        </w:trPr>
        <w:tc>
          <w:tcPr>
            <w:tcW w:w="527" w:type="dxa"/>
          </w:tcPr>
          <w:p w14:paraId="2BFB1B99" w14:textId="77777777" w:rsidR="008714F3" w:rsidRPr="0053014B" w:rsidRDefault="008714F3" w:rsidP="008714F3">
            <w:pPr>
              <w:jc w:val="center"/>
              <w:rPr>
                <w:rFonts w:ascii="Times New Roman" w:hAnsi="Times New Roman" w:cs="Times New Roman"/>
                <w:b/>
              </w:rPr>
            </w:pPr>
            <w:r w:rsidRPr="0053014B">
              <w:rPr>
                <w:rFonts w:ascii="Times New Roman" w:hAnsi="Times New Roman" w:cs="Times New Roman"/>
                <w:b/>
              </w:rPr>
              <w:t>#</w:t>
            </w:r>
          </w:p>
        </w:tc>
        <w:tc>
          <w:tcPr>
            <w:tcW w:w="1823" w:type="dxa"/>
          </w:tcPr>
          <w:p w14:paraId="4D80B731" w14:textId="77777777" w:rsidR="008714F3" w:rsidRPr="0053014B" w:rsidRDefault="008714F3" w:rsidP="0051734D">
            <w:pPr>
              <w:jc w:val="center"/>
              <w:rPr>
                <w:rFonts w:ascii="Times New Roman" w:hAnsi="Times New Roman" w:cs="Times New Roman"/>
                <w:b/>
              </w:rPr>
            </w:pPr>
            <w:r w:rsidRPr="0053014B">
              <w:rPr>
                <w:rFonts w:ascii="Times New Roman" w:hAnsi="Times New Roman" w:cs="Times New Roman"/>
                <w:b/>
              </w:rPr>
              <w:t>WAC Citation</w:t>
            </w:r>
          </w:p>
          <w:p w14:paraId="5B5E990B" w14:textId="36C25966" w:rsidR="0051734D" w:rsidRPr="0053014B" w:rsidRDefault="0051734D" w:rsidP="0051734D">
            <w:pPr>
              <w:jc w:val="center"/>
              <w:rPr>
                <w:rFonts w:ascii="Times New Roman" w:hAnsi="Times New Roman" w:cs="Times New Roman"/>
              </w:rPr>
            </w:pPr>
          </w:p>
        </w:tc>
        <w:tc>
          <w:tcPr>
            <w:tcW w:w="8978" w:type="dxa"/>
          </w:tcPr>
          <w:p w14:paraId="57221A61" w14:textId="77777777" w:rsidR="008714F3" w:rsidRPr="0053014B" w:rsidRDefault="008714F3" w:rsidP="008714F3">
            <w:pPr>
              <w:rPr>
                <w:rFonts w:ascii="Times New Roman" w:hAnsi="Times New Roman" w:cs="Times New Roman"/>
                <w:b/>
              </w:rPr>
            </w:pPr>
            <w:r w:rsidRPr="0053014B">
              <w:rPr>
                <w:rFonts w:ascii="Times New Roman" w:hAnsi="Times New Roman" w:cs="Times New Roman"/>
                <w:b/>
              </w:rPr>
              <w:t>Comment</w:t>
            </w:r>
          </w:p>
        </w:tc>
        <w:tc>
          <w:tcPr>
            <w:tcW w:w="1267" w:type="dxa"/>
          </w:tcPr>
          <w:p w14:paraId="525ADDD8" w14:textId="77777777" w:rsidR="008714F3" w:rsidRPr="0053014B" w:rsidRDefault="008714F3" w:rsidP="008714F3">
            <w:pPr>
              <w:rPr>
                <w:rFonts w:ascii="Times New Roman" w:hAnsi="Times New Roman" w:cs="Times New Roman"/>
                <w:b/>
              </w:rPr>
            </w:pPr>
            <w:r w:rsidRPr="0053014B">
              <w:rPr>
                <w:rFonts w:ascii="Times New Roman" w:hAnsi="Times New Roman" w:cs="Times New Roman"/>
                <w:b/>
              </w:rPr>
              <w:t>DOE Contractor</w:t>
            </w:r>
          </w:p>
        </w:tc>
      </w:tr>
      <w:tr w:rsidR="004D14B5" w:rsidRPr="0053014B" w14:paraId="4D46F8A8" w14:textId="77777777" w:rsidTr="008F2058">
        <w:trPr>
          <w:trHeight w:val="3347"/>
        </w:trPr>
        <w:tc>
          <w:tcPr>
            <w:tcW w:w="527" w:type="dxa"/>
          </w:tcPr>
          <w:p w14:paraId="22FE87A0" w14:textId="77777777" w:rsidR="0051734D" w:rsidRDefault="004D14B5" w:rsidP="0051734D">
            <w:pPr>
              <w:jc w:val="center"/>
              <w:rPr>
                <w:rFonts w:ascii="Times New Roman" w:hAnsi="Times New Roman" w:cs="Times New Roman"/>
              </w:rPr>
            </w:pPr>
            <w:r>
              <w:rPr>
                <w:rFonts w:ascii="Times New Roman" w:hAnsi="Times New Roman" w:cs="Times New Roman"/>
              </w:rPr>
              <w:t>1</w:t>
            </w:r>
          </w:p>
          <w:p w14:paraId="37CC5B59" w14:textId="4A9721F5" w:rsidR="004D14B5" w:rsidRPr="0053014B" w:rsidRDefault="004D14B5" w:rsidP="0051734D">
            <w:pPr>
              <w:jc w:val="center"/>
              <w:rPr>
                <w:rFonts w:ascii="Times New Roman" w:hAnsi="Times New Roman" w:cs="Times New Roman"/>
              </w:rPr>
            </w:pPr>
          </w:p>
        </w:tc>
        <w:tc>
          <w:tcPr>
            <w:tcW w:w="1823" w:type="dxa"/>
          </w:tcPr>
          <w:p w14:paraId="35D939B4" w14:textId="7839C8DC" w:rsidR="0051734D" w:rsidRPr="0053014B" w:rsidRDefault="0051734D" w:rsidP="0051734D">
            <w:pPr>
              <w:rPr>
                <w:rFonts w:ascii="Times New Roman" w:hAnsi="Times New Roman" w:cs="Times New Roman"/>
              </w:rPr>
            </w:pPr>
            <w:r w:rsidRPr="0053014B">
              <w:rPr>
                <w:rFonts w:ascii="Times New Roman" w:hAnsi="Times New Roman" w:cs="Times New Roman"/>
              </w:rPr>
              <w:t>N/A</w:t>
            </w:r>
          </w:p>
        </w:tc>
        <w:tc>
          <w:tcPr>
            <w:tcW w:w="8978" w:type="dxa"/>
          </w:tcPr>
          <w:p w14:paraId="2F5137B3" w14:textId="77777777" w:rsidR="0051734D" w:rsidRPr="0053014B" w:rsidRDefault="0051734D" w:rsidP="0051734D">
            <w:pPr>
              <w:rPr>
                <w:rFonts w:ascii="Times New Roman" w:hAnsi="Times New Roman" w:cs="Times New Roman"/>
              </w:rPr>
            </w:pPr>
            <w:r w:rsidRPr="0053014B">
              <w:rPr>
                <w:rFonts w:ascii="Times New Roman" w:hAnsi="Times New Roman" w:cs="Times New Roman"/>
              </w:rPr>
              <w:t xml:space="preserve">A phase-in period is needed for the upcoming dangerous waste regulation changes.  </w:t>
            </w:r>
          </w:p>
          <w:p w14:paraId="59D29A74" w14:textId="77777777" w:rsidR="0051734D" w:rsidRPr="0053014B" w:rsidRDefault="0051734D" w:rsidP="0051734D">
            <w:pPr>
              <w:rPr>
                <w:rFonts w:ascii="Times New Roman" w:hAnsi="Times New Roman" w:cs="Times New Roman"/>
              </w:rPr>
            </w:pPr>
          </w:p>
          <w:p w14:paraId="7F7C3877" w14:textId="77777777" w:rsidR="0051734D" w:rsidRPr="0053014B" w:rsidRDefault="0051734D" w:rsidP="0051734D">
            <w:pPr>
              <w:rPr>
                <w:rFonts w:ascii="Times New Roman" w:hAnsi="Times New Roman" w:cs="Times New Roman"/>
              </w:rPr>
            </w:pPr>
            <w:r w:rsidRPr="0053014B">
              <w:rPr>
                <w:rFonts w:ascii="Times New Roman" w:hAnsi="Times New Roman" w:cs="Times New Roman"/>
              </w:rPr>
              <w:t>When EPA issued the generator improvement rule (11/28/16) a six-month phase-in period was included.  A similar phase-in should be incorporated into the dangerous waste rule change.</w:t>
            </w:r>
          </w:p>
          <w:p w14:paraId="5B8F35C0" w14:textId="77777777" w:rsidR="0051734D" w:rsidRPr="0053014B" w:rsidRDefault="0051734D" w:rsidP="0051734D">
            <w:pPr>
              <w:rPr>
                <w:rFonts w:ascii="Times New Roman" w:hAnsi="Times New Roman" w:cs="Times New Roman"/>
              </w:rPr>
            </w:pPr>
          </w:p>
          <w:p w14:paraId="200DDECB" w14:textId="77777777" w:rsidR="0051734D" w:rsidRPr="0053014B" w:rsidRDefault="0051734D" w:rsidP="0051734D">
            <w:pPr>
              <w:rPr>
                <w:rFonts w:ascii="Times New Roman" w:hAnsi="Times New Roman" w:cs="Times New Roman"/>
              </w:rPr>
            </w:pPr>
            <w:r w:rsidRPr="0053014B">
              <w:rPr>
                <w:rFonts w:ascii="Times New Roman" w:hAnsi="Times New Roman" w:cs="Times New Roman"/>
              </w:rPr>
              <w:t>The proposed rule change imposes contingency plan requirements on large quantity generator satellite accumulation areas.  For a large Facility such as the Hanford Site, this change requires preparation of substantial documents as well as emergency coordinator training.  A reasonable amount of time should be allocated to carry out these activities.</w:t>
            </w:r>
          </w:p>
          <w:p w14:paraId="4F28D5A1" w14:textId="77777777" w:rsidR="0051734D" w:rsidRPr="0053014B" w:rsidRDefault="0051734D" w:rsidP="0051734D">
            <w:pPr>
              <w:rPr>
                <w:rFonts w:ascii="Times New Roman" w:hAnsi="Times New Roman" w:cs="Times New Roman"/>
              </w:rPr>
            </w:pPr>
          </w:p>
          <w:p w14:paraId="6C98710E" w14:textId="77777777" w:rsidR="0051734D" w:rsidRPr="0053014B" w:rsidRDefault="0051734D" w:rsidP="0051734D">
            <w:pPr>
              <w:rPr>
                <w:rFonts w:ascii="Times New Roman" w:hAnsi="Times New Roman" w:cs="Times New Roman"/>
              </w:rPr>
            </w:pPr>
            <w:r w:rsidRPr="0053014B">
              <w:rPr>
                <w:rFonts w:ascii="Times New Roman" w:hAnsi="Times New Roman" w:cs="Times New Roman"/>
              </w:rPr>
              <w:t>The Hanford facility has many satellite accumulation areas spread out over a large geographical area.  In some situations, satellite accumulation areas may be 30 miles from the nearest central accumulation area.  It is not feasible to incorporate satellite accumulation area emergency procedure information into an existing contingency plan (i.e., different evacuation routes, different emergency equipment lists, different emergency coordinators, etc.).  Therefore, separate contingency plan documentation will need to be prepared.   One of Hanford’s contractors anticipates having to prepare 30 satellite accumulation area contingency plan documents.</w:t>
            </w:r>
          </w:p>
          <w:p w14:paraId="2F3611AF" w14:textId="77777777" w:rsidR="0051734D" w:rsidRPr="0053014B" w:rsidRDefault="0051734D" w:rsidP="0051734D">
            <w:pPr>
              <w:rPr>
                <w:rFonts w:ascii="Times New Roman" w:hAnsi="Times New Roman" w:cs="Times New Roman"/>
              </w:rPr>
            </w:pPr>
          </w:p>
          <w:p w14:paraId="69877618" w14:textId="48513A1E" w:rsidR="0051734D" w:rsidRPr="0053014B" w:rsidRDefault="0051734D" w:rsidP="0051734D">
            <w:pPr>
              <w:rPr>
                <w:rFonts w:ascii="Times New Roman" w:hAnsi="Times New Roman" w:cs="Times New Roman"/>
              </w:rPr>
            </w:pPr>
            <w:r w:rsidRPr="0053014B">
              <w:rPr>
                <w:rFonts w:ascii="Times New Roman" w:hAnsi="Times New Roman" w:cs="Times New Roman"/>
              </w:rPr>
              <w:t xml:space="preserve">Also, emergency coordinators do not currently exist for many satellite accumulation areas.  Satellite accumulation area emergency coordinator responsibilities will need to be assigned and will need to receive emergency procedure training. </w:t>
            </w:r>
          </w:p>
        </w:tc>
        <w:tc>
          <w:tcPr>
            <w:tcW w:w="1267" w:type="dxa"/>
          </w:tcPr>
          <w:p w14:paraId="0CCA7068" w14:textId="5791BCED" w:rsidR="0051734D" w:rsidRPr="0053014B" w:rsidRDefault="0051734D" w:rsidP="0051734D">
            <w:pPr>
              <w:rPr>
                <w:rFonts w:ascii="Times New Roman" w:hAnsi="Times New Roman" w:cs="Times New Roman"/>
              </w:rPr>
            </w:pPr>
            <w:r w:rsidRPr="0053014B">
              <w:rPr>
                <w:rFonts w:ascii="Times New Roman" w:hAnsi="Times New Roman" w:cs="Times New Roman"/>
              </w:rPr>
              <w:t>MSA</w:t>
            </w:r>
          </w:p>
        </w:tc>
      </w:tr>
      <w:tr w:rsidR="004D14B5" w:rsidRPr="0053014B" w14:paraId="2625C5A7" w14:textId="77777777" w:rsidTr="008F2058">
        <w:tc>
          <w:tcPr>
            <w:tcW w:w="527" w:type="dxa"/>
          </w:tcPr>
          <w:p w14:paraId="529002C9" w14:textId="5CF0F9BC" w:rsidR="0051734D" w:rsidRPr="0053014B" w:rsidRDefault="004D14B5" w:rsidP="0051734D">
            <w:pPr>
              <w:jc w:val="center"/>
              <w:rPr>
                <w:rFonts w:ascii="Times New Roman" w:hAnsi="Times New Roman" w:cs="Times New Roman"/>
              </w:rPr>
            </w:pPr>
            <w:r>
              <w:rPr>
                <w:rFonts w:ascii="Times New Roman" w:hAnsi="Times New Roman" w:cs="Times New Roman"/>
              </w:rPr>
              <w:t>2</w:t>
            </w:r>
          </w:p>
        </w:tc>
        <w:tc>
          <w:tcPr>
            <w:tcW w:w="1823" w:type="dxa"/>
          </w:tcPr>
          <w:p w14:paraId="79C7ACB7" w14:textId="421C67BE" w:rsidR="0051734D" w:rsidRPr="0053014B" w:rsidRDefault="002824CB" w:rsidP="0051734D">
            <w:pPr>
              <w:rPr>
                <w:rFonts w:ascii="Times New Roman" w:hAnsi="Times New Roman" w:cs="Times New Roman"/>
              </w:rPr>
            </w:pPr>
            <w:r w:rsidRPr="0053014B">
              <w:rPr>
                <w:rFonts w:ascii="Times New Roman" w:hAnsi="Times New Roman" w:cs="Times New Roman"/>
              </w:rPr>
              <w:t>173-303-</w:t>
            </w:r>
            <w:r w:rsidR="0051734D" w:rsidRPr="0053014B">
              <w:rPr>
                <w:rFonts w:ascii="Times New Roman" w:hAnsi="Times New Roman" w:cs="Times New Roman"/>
              </w:rPr>
              <w:t>040</w:t>
            </w:r>
          </w:p>
        </w:tc>
        <w:tc>
          <w:tcPr>
            <w:tcW w:w="8978" w:type="dxa"/>
          </w:tcPr>
          <w:p w14:paraId="24CF51EA" w14:textId="77777777" w:rsidR="0051734D" w:rsidRPr="0053014B" w:rsidRDefault="0051734D" w:rsidP="0051734D">
            <w:pPr>
              <w:rPr>
                <w:rFonts w:ascii="Times New Roman" w:hAnsi="Times New Roman" w:cs="Times New Roman"/>
              </w:rPr>
            </w:pPr>
            <w:r w:rsidRPr="0053014B">
              <w:rPr>
                <w:rFonts w:ascii="Times New Roman" w:hAnsi="Times New Roman" w:cs="Times New Roman"/>
              </w:rPr>
              <w:t>Referring the definition of “Accumulation” to the “Storage” definition is somewhat confusing. It seems that a straightforward definition of “accumulation” could be developed, e.g., “Accumulation is the storage of dangerous waste under the exemptions specified in WAC 173-303-170(2)(b).”</w:t>
            </w:r>
          </w:p>
          <w:p w14:paraId="7C39D533" w14:textId="67AAF6EA" w:rsidR="00931566" w:rsidRPr="0053014B" w:rsidRDefault="00931566" w:rsidP="0051734D">
            <w:pPr>
              <w:rPr>
                <w:rFonts w:ascii="Times New Roman" w:hAnsi="Times New Roman" w:cs="Times New Roman"/>
              </w:rPr>
            </w:pPr>
          </w:p>
        </w:tc>
        <w:tc>
          <w:tcPr>
            <w:tcW w:w="1267" w:type="dxa"/>
          </w:tcPr>
          <w:p w14:paraId="51B4F4F2" w14:textId="280D95D2" w:rsidR="0051734D" w:rsidRPr="0053014B" w:rsidRDefault="0051734D" w:rsidP="0051734D">
            <w:pPr>
              <w:rPr>
                <w:rFonts w:ascii="Times New Roman" w:hAnsi="Times New Roman" w:cs="Times New Roman"/>
              </w:rPr>
            </w:pPr>
            <w:r w:rsidRPr="0053014B">
              <w:rPr>
                <w:rFonts w:ascii="Times New Roman" w:hAnsi="Times New Roman" w:cs="Times New Roman"/>
              </w:rPr>
              <w:t>PNNL</w:t>
            </w:r>
          </w:p>
        </w:tc>
      </w:tr>
      <w:tr w:rsidR="004D14B5" w:rsidRPr="0053014B" w14:paraId="45A53C2C" w14:textId="77777777" w:rsidTr="008F2058">
        <w:tc>
          <w:tcPr>
            <w:tcW w:w="527" w:type="dxa"/>
          </w:tcPr>
          <w:p w14:paraId="2CB92983" w14:textId="728CF658" w:rsidR="001C0AE5" w:rsidRPr="0053014B" w:rsidRDefault="004D14B5" w:rsidP="001C0AE5">
            <w:pPr>
              <w:jc w:val="center"/>
              <w:rPr>
                <w:rFonts w:ascii="Times New Roman" w:hAnsi="Times New Roman" w:cs="Times New Roman"/>
              </w:rPr>
            </w:pPr>
            <w:r>
              <w:rPr>
                <w:rFonts w:ascii="Times New Roman" w:hAnsi="Times New Roman" w:cs="Times New Roman"/>
              </w:rPr>
              <w:t>3</w:t>
            </w:r>
          </w:p>
          <w:p w14:paraId="03E075C4" w14:textId="6E9C490A" w:rsidR="001C0AE5" w:rsidRPr="0053014B" w:rsidRDefault="001C0AE5" w:rsidP="001C0AE5">
            <w:pPr>
              <w:jc w:val="center"/>
              <w:rPr>
                <w:rFonts w:ascii="Times New Roman" w:hAnsi="Times New Roman" w:cs="Times New Roman"/>
              </w:rPr>
            </w:pPr>
          </w:p>
        </w:tc>
        <w:tc>
          <w:tcPr>
            <w:tcW w:w="1823" w:type="dxa"/>
          </w:tcPr>
          <w:p w14:paraId="3320055E" w14:textId="1C791CC7" w:rsidR="001C0AE5" w:rsidRPr="0053014B" w:rsidRDefault="001C0AE5" w:rsidP="001C0AE5">
            <w:pPr>
              <w:rPr>
                <w:rFonts w:ascii="Times New Roman" w:hAnsi="Times New Roman" w:cs="Times New Roman"/>
              </w:rPr>
            </w:pPr>
            <w:r w:rsidRPr="0053014B">
              <w:rPr>
                <w:rFonts w:ascii="Times New Roman" w:hAnsi="Times New Roman" w:cs="Times New Roman"/>
              </w:rPr>
              <w:t>173-303-040, Definitions</w:t>
            </w:r>
          </w:p>
          <w:p w14:paraId="55129301" w14:textId="1B4060CA" w:rsidR="001C0AE5" w:rsidRPr="0053014B" w:rsidRDefault="001C0AE5" w:rsidP="001C0AE5">
            <w:pPr>
              <w:rPr>
                <w:rFonts w:ascii="Times New Roman" w:hAnsi="Times New Roman" w:cs="Times New Roman"/>
              </w:rPr>
            </w:pPr>
            <w:r w:rsidRPr="0053014B">
              <w:rPr>
                <w:rFonts w:ascii="Times New Roman" w:hAnsi="Times New Roman" w:cs="Times New Roman"/>
              </w:rPr>
              <w:t>(p. 33 &amp; 85)</w:t>
            </w:r>
          </w:p>
        </w:tc>
        <w:tc>
          <w:tcPr>
            <w:tcW w:w="8978" w:type="dxa"/>
          </w:tcPr>
          <w:p w14:paraId="3E1CA116" w14:textId="6CFA2129" w:rsidR="001C0AE5" w:rsidRPr="0053014B" w:rsidRDefault="006F4210" w:rsidP="001C0AE5">
            <w:pPr>
              <w:rPr>
                <w:rFonts w:ascii="Times New Roman" w:hAnsi="Times New Roman" w:cs="Times New Roman"/>
                <w:b/>
                <w:u w:val="single"/>
              </w:rPr>
            </w:pPr>
            <w:r w:rsidRPr="0053014B">
              <w:rPr>
                <w:rFonts w:ascii="Times New Roman" w:hAnsi="Times New Roman" w:cs="Times New Roman"/>
                <w:b/>
                <w:u w:val="single"/>
              </w:rPr>
              <w:t>Applicable Text:</w:t>
            </w:r>
          </w:p>
          <w:p w14:paraId="6C702A94" w14:textId="77777777" w:rsidR="006F4210" w:rsidRPr="0053014B" w:rsidRDefault="006F4210" w:rsidP="006F4210">
            <w:pPr>
              <w:rPr>
                <w:rFonts w:ascii="Times New Roman" w:hAnsi="Times New Roman" w:cs="Times New Roman"/>
              </w:rPr>
            </w:pPr>
            <w:r w:rsidRPr="0053014B">
              <w:rPr>
                <w:rFonts w:ascii="Times New Roman" w:hAnsi="Times New Roman" w:cs="Times New Roman"/>
              </w:rPr>
              <w:t>“Accumulation” refers to the definition of “storage.”</w:t>
            </w:r>
          </w:p>
          <w:p w14:paraId="261E561F" w14:textId="77777777" w:rsidR="006F4210" w:rsidRPr="0053014B" w:rsidRDefault="006F4210" w:rsidP="006F4210">
            <w:pPr>
              <w:rPr>
                <w:rFonts w:ascii="Times New Roman" w:hAnsi="Times New Roman" w:cs="Times New Roman"/>
              </w:rPr>
            </w:pPr>
          </w:p>
          <w:p w14:paraId="018D9A0F" w14:textId="3AC09F6B" w:rsidR="006F4210" w:rsidRPr="0053014B" w:rsidRDefault="006F4210" w:rsidP="006F4210">
            <w:pPr>
              <w:rPr>
                <w:rFonts w:ascii="Times New Roman" w:hAnsi="Times New Roman" w:cs="Times New Roman"/>
              </w:rPr>
            </w:pPr>
            <w:r w:rsidRPr="0053014B">
              <w:rPr>
                <w:rFonts w:ascii="Times New Roman" w:hAnsi="Times New Roman" w:cs="Times New Roman"/>
              </w:rPr>
              <w:t>"Storage" means the holding of dangerous waste for a temporary period.  Accumulation" of dangerous waste, by the generator on the</w:t>
            </w:r>
            <w:r w:rsidR="004D7232" w:rsidRPr="0053014B">
              <w:rPr>
                <w:rFonts w:ascii="Times New Roman" w:hAnsi="Times New Roman" w:cs="Times New Roman"/>
              </w:rPr>
              <w:t xml:space="preserve"> </w:t>
            </w:r>
            <w:r w:rsidRPr="0053014B">
              <w:rPr>
                <w:rFonts w:ascii="Times New Roman" w:hAnsi="Times New Roman" w:cs="Times New Roman"/>
              </w:rPr>
              <w:t>site of generation, is storage of dangerous waste and can be managed under the applicable conditions for exemption of WAC 173-303-</w:t>
            </w:r>
            <w:r w:rsidRPr="0053014B">
              <w:rPr>
                <w:rFonts w:ascii="Times New Roman" w:eastAsia="CourierNewPSMT" w:hAnsi="Times New Roman" w:cs="Times New Roman"/>
                <w:color w:val="633278"/>
                <w:sz w:val="18"/>
                <w:szCs w:val="18"/>
              </w:rPr>
              <w:t xml:space="preserve"> </w:t>
            </w:r>
            <w:r w:rsidRPr="0053014B">
              <w:rPr>
                <w:rFonts w:ascii="Times New Roman" w:hAnsi="Times New Roman" w:cs="Times New Roman"/>
              </w:rPr>
              <w:t>170(2)(b).</w:t>
            </w:r>
          </w:p>
          <w:p w14:paraId="5982DD96" w14:textId="77777777" w:rsidR="006F4210" w:rsidRPr="0053014B" w:rsidRDefault="006F4210" w:rsidP="001C0AE5">
            <w:pPr>
              <w:rPr>
                <w:rFonts w:ascii="Times New Roman" w:hAnsi="Times New Roman" w:cs="Times New Roman"/>
              </w:rPr>
            </w:pPr>
          </w:p>
          <w:p w14:paraId="47060E0B" w14:textId="5FFA95EC" w:rsidR="001C0AE5" w:rsidRPr="0053014B" w:rsidRDefault="001C0AE5" w:rsidP="001C0AE5">
            <w:pPr>
              <w:rPr>
                <w:rFonts w:ascii="Times New Roman" w:hAnsi="Times New Roman" w:cs="Times New Roman"/>
                <w:b/>
                <w:u w:val="single"/>
              </w:rPr>
            </w:pPr>
            <w:r w:rsidRPr="0053014B">
              <w:rPr>
                <w:rFonts w:ascii="Times New Roman" w:hAnsi="Times New Roman" w:cs="Times New Roman"/>
                <w:b/>
                <w:u w:val="single"/>
              </w:rPr>
              <w:t>Comment:</w:t>
            </w:r>
          </w:p>
          <w:p w14:paraId="7C0DF260" w14:textId="7ADE8E4D" w:rsidR="001C0AE5" w:rsidRPr="0053014B" w:rsidRDefault="001C0AE5" w:rsidP="001C0AE5">
            <w:pPr>
              <w:rPr>
                <w:rFonts w:ascii="Times New Roman" w:hAnsi="Times New Roman" w:cs="Times New Roman"/>
              </w:rPr>
            </w:pPr>
            <w:r w:rsidRPr="0053014B">
              <w:rPr>
                <w:rFonts w:ascii="Times New Roman" w:hAnsi="Times New Roman" w:cs="Times New Roman"/>
              </w:rPr>
              <w:t>Ecology’s Response to Comments (B-6-10) did not address CHPRC’s original concern.</w:t>
            </w:r>
          </w:p>
          <w:p w14:paraId="3E18449C" w14:textId="77777777" w:rsidR="001C0AE5" w:rsidRPr="0053014B" w:rsidRDefault="001C0AE5" w:rsidP="001C0AE5">
            <w:pPr>
              <w:rPr>
                <w:rFonts w:ascii="Times New Roman" w:hAnsi="Times New Roman" w:cs="Times New Roman"/>
              </w:rPr>
            </w:pPr>
          </w:p>
          <w:p w14:paraId="440CF8B4" w14:textId="77777777" w:rsidR="001C0AE5" w:rsidRPr="0053014B" w:rsidRDefault="001C0AE5" w:rsidP="001C0AE5">
            <w:pPr>
              <w:rPr>
                <w:rFonts w:ascii="Times New Roman" w:hAnsi="Times New Roman" w:cs="Times New Roman"/>
              </w:rPr>
            </w:pPr>
            <w:r w:rsidRPr="0053014B">
              <w:rPr>
                <w:rFonts w:ascii="Times New Roman" w:hAnsi="Times New Roman" w:cs="Times New Roman"/>
              </w:rPr>
              <w:t>CHPRC requests clarification that defining accumulation as storage will not affect generator onsite treatment in tanks, containers or containment buildings.  EPA clarified in the March 24, 1986, Federal Register that “accumulation” allowed not only storage but also and treatment without a permit assuming the generator standards of 40 CFR 262.34 were being met.  By defining accumulation as storage, CHPRC hopes that Ecology is not impacting treatment by generator.</w:t>
            </w:r>
          </w:p>
          <w:p w14:paraId="40ADD7AC" w14:textId="77777777" w:rsidR="001C0AE5" w:rsidRPr="0053014B" w:rsidRDefault="001C0AE5" w:rsidP="001C0AE5">
            <w:pPr>
              <w:rPr>
                <w:rFonts w:ascii="Times New Roman" w:hAnsi="Times New Roman" w:cs="Times New Roman"/>
              </w:rPr>
            </w:pPr>
          </w:p>
          <w:p w14:paraId="73954E73" w14:textId="2808A080" w:rsidR="001C0AE5" w:rsidRDefault="001C0AE5" w:rsidP="001C0AE5">
            <w:pPr>
              <w:rPr>
                <w:rFonts w:ascii="Times New Roman" w:hAnsi="Times New Roman" w:cs="Times New Roman"/>
                <w:i/>
              </w:rPr>
            </w:pPr>
            <w:r w:rsidRPr="0053014B">
              <w:rPr>
                <w:rFonts w:ascii="Times New Roman" w:hAnsi="Times New Roman" w:cs="Times New Roman"/>
              </w:rPr>
              <w:t>Excerpt from March 24, 1986 Federal Register, page 10168.</w:t>
            </w:r>
            <w:r w:rsidRPr="0053014B">
              <w:rPr>
                <w:rFonts w:ascii="Times New Roman" w:hAnsi="Times New Roman" w:cs="Times New Roman"/>
              </w:rPr>
              <w:br/>
            </w:r>
            <w:r w:rsidRPr="0053014B">
              <w:rPr>
                <w:rFonts w:ascii="Times New Roman" w:hAnsi="Times New Roman" w:cs="Times New Roman"/>
              </w:rPr>
              <w:br/>
            </w:r>
            <w:r w:rsidRPr="0053014B">
              <w:rPr>
                <w:rFonts w:ascii="Times New Roman" w:hAnsi="Times New Roman" w:cs="Times New Roman"/>
                <w:i/>
              </w:rPr>
              <w:t>“Of course, no permitting would be required if a generator chooses to treat their hazardous waste in the generator's accumulation tanks or containers in conformance with the requirements of § 262.34 and Subparts J or I of Part 265. Nothing in § 262.34 precludes a generator from treating waste when it is in an accumulation tank or container covered by that provision. Under the existing Subtitle C system. EPA has established standards for tanks and containers which apply to both the storage and treatment of hazardous waste. These requirements are designed to ensure that the integrity of the tank or container is not breached. Thus. The same standards apply to a tank or a container, regardless of whether treatment or storage is occurring. Since the same standards apply to treatment in tanks as applies to storage in tanks, and since EPA allows for limited on-site storage without the need· for a permit or interim status (90 days for over 1000 kg/mo generators and 180/270 days for 100-1000 kg/mo generators), the Agency believes that treatment in accumulation tanks or containers is permissible under the existing rules, provided the tanks or containers are operated strictly in compliance with all applicable standards. Therefore, generators or 100-1000 kg/mo are not required to obtain interim status and a RCRA permit if the only on-site management which they perform is treatment-in an accumulation tank or container that is exempt from permitting during periods or accumulation (180 or 270 days).”</w:t>
            </w:r>
          </w:p>
          <w:p w14:paraId="449E6D0C" w14:textId="5FC7159F" w:rsidR="00E123AE" w:rsidRPr="0053014B" w:rsidRDefault="00E123AE" w:rsidP="001C0AE5">
            <w:pPr>
              <w:rPr>
                <w:rFonts w:ascii="Times New Roman" w:hAnsi="Times New Roman" w:cs="Times New Roman"/>
              </w:rPr>
            </w:pPr>
          </w:p>
        </w:tc>
        <w:tc>
          <w:tcPr>
            <w:tcW w:w="1267" w:type="dxa"/>
          </w:tcPr>
          <w:p w14:paraId="0CCA3D7A" w14:textId="18DA4753" w:rsidR="001C0AE5" w:rsidRPr="0053014B" w:rsidRDefault="001C0AE5" w:rsidP="001C0AE5">
            <w:pPr>
              <w:jc w:val="both"/>
              <w:rPr>
                <w:rFonts w:ascii="Times New Roman" w:hAnsi="Times New Roman" w:cs="Times New Roman"/>
              </w:rPr>
            </w:pPr>
            <w:r w:rsidRPr="0053014B">
              <w:rPr>
                <w:rFonts w:ascii="Times New Roman" w:hAnsi="Times New Roman" w:cs="Times New Roman"/>
              </w:rPr>
              <w:lastRenderedPageBreak/>
              <w:t>CHPRC</w:t>
            </w:r>
          </w:p>
        </w:tc>
      </w:tr>
      <w:tr w:rsidR="004D14B5" w:rsidRPr="0053014B" w14:paraId="6E6ECE5A" w14:textId="77777777" w:rsidTr="008F2058">
        <w:tc>
          <w:tcPr>
            <w:tcW w:w="527" w:type="dxa"/>
          </w:tcPr>
          <w:p w14:paraId="4DC98E2F" w14:textId="13AFE0B9" w:rsidR="00931566" w:rsidRPr="0053014B" w:rsidRDefault="004D14B5" w:rsidP="00931566">
            <w:pPr>
              <w:jc w:val="center"/>
              <w:rPr>
                <w:rFonts w:ascii="Times New Roman" w:hAnsi="Times New Roman" w:cs="Times New Roman"/>
              </w:rPr>
            </w:pPr>
            <w:r>
              <w:rPr>
                <w:rFonts w:ascii="Times New Roman" w:hAnsi="Times New Roman" w:cs="Times New Roman"/>
              </w:rPr>
              <w:t>4</w:t>
            </w:r>
          </w:p>
          <w:p w14:paraId="48608674" w14:textId="77777777" w:rsidR="00931566" w:rsidRPr="0053014B" w:rsidRDefault="00931566" w:rsidP="00931566">
            <w:pPr>
              <w:jc w:val="center"/>
              <w:rPr>
                <w:rFonts w:ascii="Times New Roman" w:hAnsi="Times New Roman" w:cs="Times New Roman"/>
              </w:rPr>
            </w:pPr>
          </w:p>
          <w:p w14:paraId="78ADE067" w14:textId="582340B9" w:rsidR="00931566" w:rsidRPr="0053014B" w:rsidRDefault="00931566" w:rsidP="00931566">
            <w:pPr>
              <w:jc w:val="center"/>
              <w:rPr>
                <w:rFonts w:ascii="Times New Roman" w:hAnsi="Times New Roman" w:cs="Times New Roman"/>
              </w:rPr>
            </w:pPr>
          </w:p>
        </w:tc>
        <w:tc>
          <w:tcPr>
            <w:tcW w:w="1823" w:type="dxa"/>
          </w:tcPr>
          <w:p w14:paraId="6AD9E122" w14:textId="77777777" w:rsidR="00931566" w:rsidRPr="0053014B" w:rsidRDefault="00931566" w:rsidP="00931566">
            <w:pPr>
              <w:rPr>
                <w:rFonts w:ascii="Times New Roman" w:hAnsi="Times New Roman" w:cs="Times New Roman"/>
              </w:rPr>
            </w:pPr>
            <w:r w:rsidRPr="0053014B">
              <w:rPr>
                <w:rFonts w:ascii="Times New Roman" w:hAnsi="Times New Roman" w:cs="Times New Roman"/>
              </w:rPr>
              <w:t>173-303-040</w:t>
            </w:r>
            <w:r w:rsidR="00126215" w:rsidRPr="0053014B">
              <w:rPr>
                <w:rFonts w:ascii="Times New Roman" w:hAnsi="Times New Roman" w:cs="Times New Roman"/>
              </w:rPr>
              <w:t>,</w:t>
            </w:r>
          </w:p>
          <w:p w14:paraId="22ACF2FC" w14:textId="77777777" w:rsidR="00126215" w:rsidRPr="0053014B" w:rsidRDefault="00126215" w:rsidP="00931566">
            <w:pPr>
              <w:rPr>
                <w:rFonts w:ascii="Times New Roman" w:hAnsi="Times New Roman" w:cs="Times New Roman"/>
              </w:rPr>
            </w:pPr>
            <w:r w:rsidRPr="0053014B">
              <w:rPr>
                <w:rFonts w:ascii="Times New Roman" w:hAnsi="Times New Roman" w:cs="Times New Roman"/>
              </w:rPr>
              <w:t>Definitions</w:t>
            </w:r>
          </w:p>
          <w:p w14:paraId="4186D2D8" w14:textId="2D1CF656" w:rsidR="00126215" w:rsidRPr="0053014B" w:rsidRDefault="00126215" w:rsidP="00931566">
            <w:pPr>
              <w:rPr>
                <w:rFonts w:ascii="Times New Roman" w:hAnsi="Times New Roman" w:cs="Times New Roman"/>
              </w:rPr>
            </w:pPr>
            <w:r w:rsidRPr="0053014B">
              <w:rPr>
                <w:rFonts w:ascii="Times New Roman" w:hAnsi="Times New Roman" w:cs="Times New Roman"/>
              </w:rPr>
              <w:t>(P. 34)</w:t>
            </w:r>
          </w:p>
        </w:tc>
        <w:tc>
          <w:tcPr>
            <w:tcW w:w="8978" w:type="dxa"/>
          </w:tcPr>
          <w:p w14:paraId="1DE84CD6" w14:textId="77777777" w:rsidR="00126215" w:rsidRPr="0053014B" w:rsidRDefault="00126215" w:rsidP="00126215">
            <w:pPr>
              <w:rPr>
                <w:rFonts w:ascii="Times New Roman" w:hAnsi="Times New Roman" w:cs="Times New Roman"/>
                <w:b/>
                <w:u w:val="single"/>
              </w:rPr>
            </w:pPr>
            <w:r w:rsidRPr="0053014B">
              <w:rPr>
                <w:rFonts w:ascii="Times New Roman" w:hAnsi="Times New Roman" w:cs="Times New Roman"/>
                <w:b/>
                <w:u w:val="single"/>
              </w:rPr>
              <w:t>Applicable Text:</w:t>
            </w:r>
          </w:p>
          <w:p w14:paraId="1DDF3943" w14:textId="5926426D" w:rsidR="00931566" w:rsidRPr="0053014B" w:rsidRDefault="00903E0C" w:rsidP="00931566">
            <w:pPr>
              <w:rPr>
                <w:rFonts w:ascii="Times New Roman" w:hAnsi="Times New Roman" w:cs="Times New Roman"/>
              </w:rPr>
            </w:pPr>
            <w:r w:rsidRPr="0053014B">
              <w:rPr>
                <w:rFonts w:ascii="Times New Roman" w:hAnsi="Times New Roman" w:cs="Times New Roman"/>
              </w:rPr>
              <w:t>“Authorized representative” means the person responsible for the overall operation of a generator site, facility, or an operational unit (e.g., plant manager or superintendent).</w:t>
            </w:r>
          </w:p>
          <w:p w14:paraId="596F57CD" w14:textId="77777777" w:rsidR="00126215" w:rsidRPr="0053014B" w:rsidRDefault="00126215" w:rsidP="00931566">
            <w:pPr>
              <w:rPr>
                <w:rFonts w:ascii="Times New Roman" w:hAnsi="Times New Roman" w:cs="Times New Roman"/>
              </w:rPr>
            </w:pPr>
          </w:p>
          <w:p w14:paraId="634FBA75" w14:textId="3C852DD5" w:rsidR="00126215" w:rsidRPr="0053014B" w:rsidRDefault="00126215" w:rsidP="00126215">
            <w:pPr>
              <w:rPr>
                <w:rFonts w:ascii="Times New Roman" w:hAnsi="Times New Roman" w:cs="Times New Roman"/>
                <w:b/>
                <w:u w:val="single"/>
              </w:rPr>
            </w:pPr>
            <w:r w:rsidRPr="0053014B">
              <w:rPr>
                <w:rFonts w:ascii="Times New Roman" w:hAnsi="Times New Roman" w:cs="Times New Roman"/>
                <w:b/>
                <w:u w:val="single"/>
              </w:rPr>
              <w:t>Comment:</w:t>
            </w:r>
          </w:p>
          <w:p w14:paraId="3941EC58" w14:textId="77777777" w:rsidR="00432BF3" w:rsidRPr="0053014B" w:rsidRDefault="00432BF3" w:rsidP="00432BF3">
            <w:pPr>
              <w:rPr>
                <w:rFonts w:ascii="Times New Roman" w:hAnsi="Times New Roman" w:cs="Times New Roman"/>
                <w:iCs/>
              </w:rPr>
            </w:pPr>
            <w:r w:rsidRPr="0053014B">
              <w:rPr>
                <w:rFonts w:ascii="Times New Roman" w:hAnsi="Times New Roman" w:cs="Times New Roman"/>
                <w:iCs/>
              </w:rPr>
              <w:t>CHPRC is not in favor of this proposed change because it is less clear than the 40 CFR 261.10 equivalent wording.</w:t>
            </w:r>
          </w:p>
          <w:p w14:paraId="3EE983B3" w14:textId="77777777" w:rsidR="00432BF3" w:rsidRPr="0053014B" w:rsidRDefault="00432BF3" w:rsidP="00432BF3">
            <w:pPr>
              <w:rPr>
                <w:rFonts w:ascii="Times New Roman" w:hAnsi="Times New Roman" w:cs="Times New Roman"/>
                <w:iCs/>
              </w:rPr>
            </w:pPr>
          </w:p>
          <w:p w14:paraId="1E0D9C7C" w14:textId="6D8C6AC9" w:rsidR="00432BF3" w:rsidRPr="0053014B" w:rsidRDefault="00432BF3" w:rsidP="00432BF3">
            <w:pPr>
              <w:rPr>
                <w:rFonts w:ascii="Times New Roman" w:hAnsi="Times New Roman" w:cs="Times New Roman"/>
              </w:rPr>
            </w:pPr>
            <w:r w:rsidRPr="0053014B">
              <w:rPr>
                <w:rFonts w:ascii="Times New Roman" w:hAnsi="Times New Roman" w:cs="Times New Roman"/>
                <w:iCs/>
              </w:rPr>
              <w:lastRenderedPageBreak/>
              <w:t>40 CFR 261.10 defines an “</w:t>
            </w:r>
            <w:r w:rsidRPr="0053014B">
              <w:rPr>
                <w:rFonts w:ascii="Times New Roman" w:hAnsi="Times New Roman" w:cs="Times New Roman"/>
                <w:i/>
                <w:iCs/>
              </w:rPr>
              <w:t>Authorized representative”</w:t>
            </w:r>
            <w:r w:rsidRPr="0053014B">
              <w:rPr>
                <w:rFonts w:ascii="Times New Roman" w:hAnsi="Times New Roman" w:cs="Times New Roman"/>
              </w:rPr>
              <w:t xml:space="preserve"> as “the person responsible for the overall operation of a facility or an operational unit (i.e., part of a facility), e.g., the plant manager, superintendent or person of equivalent responsibility.”</w:t>
            </w:r>
          </w:p>
          <w:p w14:paraId="25A56364" w14:textId="77777777" w:rsidR="00432BF3" w:rsidRPr="0053014B" w:rsidRDefault="00432BF3" w:rsidP="00126215">
            <w:pPr>
              <w:rPr>
                <w:rFonts w:ascii="Times New Roman" w:hAnsi="Times New Roman" w:cs="Times New Roman"/>
                <w:b/>
                <w:u w:val="single"/>
              </w:rPr>
            </w:pPr>
          </w:p>
          <w:p w14:paraId="5D1800DE" w14:textId="77777777" w:rsidR="00432BF3" w:rsidRPr="0053014B" w:rsidRDefault="00432BF3" w:rsidP="00432BF3">
            <w:pPr>
              <w:rPr>
                <w:rFonts w:ascii="Times New Roman" w:hAnsi="Times New Roman" w:cs="Times New Roman"/>
              </w:rPr>
            </w:pPr>
            <w:r w:rsidRPr="0053014B">
              <w:rPr>
                <w:rFonts w:ascii="Times New Roman" w:hAnsi="Times New Roman" w:cs="Times New Roman"/>
              </w:rPr>
              <w:t>The suggested definition in 173-303-040 does not include the phrase “or person of equivalent responsibility” which appears to limit the delegation authority of the authorized representative to act as alternate authorized representatives.</w:t>
            </w:r>
          </w:p>
          <w:p w14:paraId="7CE628AD" w14:textId="77777777" w:rsidR="00432BF3" w:rsidRPr="0053014B" w:rsidRDefault="00432BF3" w:rsidP="00432BF3">
            <w:pPr>
              <w:rPr>
                <w:rFonts w:ascii="Times New Roman" w:hAnsi="Times New Roman" w:cs="Times New Roman"/>
              </w:rPr>
            </w:pPr>
          </w:p>
          <w:p w14:paraId="24B3617F" w14:textId="77777777" w:rsidR="00432BF3" w:rsidRPr="0053014B" w:rsidRDefault="00432BF3" w:rsidP="00432BF3">
            <w:pPr>
              <w:rPr>
                <w:rFonts w:ascii="Times New Roman" w:hAnsi="Times New Roman" w:cs="Times New Roman"/>
              </w:rPr>
            </w:pPr>
            <w:r w:rsidRPr="0053014B">
              <w:rPr>
                <w:rFonts w:ascii="Times New Roman" w:hAnsi="Times New Roman" w:cs="Times New Roman"/>
              </w:rPr>
              <w:t>Ecology’s Response to Comments (B-6-9) stated that the concern is that an authorized representative is meant to be an employee of that business, and not the TSD or consultant.</w:t>
            </w:r>
          </w:p>
          <w:p w14:paraId="10B0074D" w14:textId="77777777" w:rsidR="00432BF3" w:rsidRPr="0053014B" w:rsidRDefault="00432BF3" w:rsidP="00432BF3">
            <w:pPr>
              <w:rPr>
                <w:rFonts w:ascii="Times New Roman" w:hAnsi="Times New Roman" w:cs="Times New Roman"/>
              </w:rPr>
            </w:pPr>
          </w:p>
          <w:p w14:paraId="4C14D75C" w14:textId="77777777" w:rsidR="00432BF3" w:rsidRPr="0053014B" w:rsidRDefault="00432BF3" w:rsidP="00432BF3">
            <w:pPr>
              <w:rPr>
                <w:rFonts w:ascii="Times New Roman" w:hAnsi="Times New Roman" w:cs="Times New Roman"/>
              </w:rPr>
            </w:pPr>
            <w:r w:rsidRPr="0053014B">
              <w:rPr>
                <w:rFonts w:ascii="Times New Roman" w:hAnsi="Times New Roman" w:cs="Times New Roman"/>
              </w:rPr>
              <w:t>CHPRC would support the authorized representative definition if it included the phrase, “or an employee of the company of equivalent responsibility”.</w:t>
            </w:r>
          </w:p>
          <w:p w14:paraId="6C537305" w14:textId="2959145F" w:rsidR="00126215" w:rsidRPr="0053014B" w:rsidRDefault="00126215" w:rsidP="00931566">
            <w:pPr>
              <w:rPr>
                <w:rFonts w:ascii="Times New Roman" w:hAnsi="Times New Roman" w:cs="Times New Roman"/>
              </w:rPr>
            </w:pPr>
          </w:p>
        </w:tc>
        <w:tc>
          <w:tcPr>
            <w:tcW w:w="1267" w:type="dxa"/>
          </w:tcPr>
          <w:p w14:paraId="58707CC1" w14:textId="6176A9DD" w:rsidR="00931566" w:rsidRPr="0053014B" w:rsidRDefault="00E123AE" w:rsidP="00931566">
            <w:pPr>
              <w:rPr>
                <w:rFonts w:ascii="Times New Roman" w:hAnsi="Times New Roman" w:cs="Times New Roman"/>
              </w:rPr>
            </w:pPr>
            <w:r>
              <w:rPr>
                <w:rFonts w:ascii="Times New Roman" w:hAnsi="Times New Roman" w:cs="Times New Roman"/>
              </w:rPr>
              <w:lastRenderedPageBreak/>
              <w:t>CHPRC</w:t>
            </w:r>
          </w:p>
        </w:tc>
      </w:tr>
      <w:tr w:rsidR="004D14B5" w:rsidRPr="0053014B" w14:paraId="4B20FD4E" w14:textId="77777777" w:rsidTr="008F2058">
        <w:tc>
          <w:tcPr>
            <w:tcW w:w="527" w:type="dxa"/>
          </w:tcPr>
          <w:p w14:paraId="4696A6F9" w14:textId="70684A89" w:rsidR="00432BF3" w:rsidRPr="0053014B" w:rsidRDefault="004D14B5" w:rsidP="00432BF3">
            <w:pPr>
              <w:jc w:val="center"/>
              <w:rPr>
                <w:rFonts w:ascii="Times New Roman" w:hAnsi="Times New Roman" w:cs="Times New Roman"/>
              </w:rPr>
            </w:pPr>
            <w:r>
              <w:rPr>
                <w:rFonts w:ascii="Times New Roman" w:hAnsi="Times New Roman" w:cs="Times New Roman"/>
              </w:rPr>
              <w:t>5</w:t>
            </w:r>
          </w:p>
          <w:p w14:paraId="0756ED38" w14:textId="0E8255B7" w:rsidR="00432BF3" w:rsidRPr="0053014B" w:rsidRDefault="00432BF3" w:rsidP="00432BF3">
            <w:pPr>
              <w:jc w:val="center"/>
              <w:rPr>
                <w:rFonts w:ascii="Times New Roman" w:hAnsi="Times New Roman" w:cs="Times New Roman"/>
              </w:rPr>
            </w:pPr>
          </w:p>
        </w:tc>
        <w:tc>
          <w:tcPr>
            <w:tcW w:w="1823" w:type="dxa"/>
          </w:tcPr>
          <w:p w14:paraId="71A49E28" w14:textId="77777777" w:rsidR="00432BF3" w:rsidRPr="0053014B" w:rsidRDefault="00432BF3" w:rsidP="00432BF3">
            <w:pPr>
              <w:rPr>
                <w:rFonts w:ascii="Times New Roman" w:hAnsi="Times New Roman" w:cs="Times New Roman"/>
              </w:rPr>
            </w:pPr>
            <w:r w:rsidRPr="0053014B">
              <w:rPr>
                <w:rFonts w:ascii="Times New Roman" w:hAnsi="Times New Roman" w:cs="Times New Roman"/>
              </w:rPr>
              <w:t>173-303-040,</w:t>
            </w:r>
          </w:p>
          <w:p w14:paraId="66ABEE60" w14:textId="77777777" w:rsidR="00432BF3" w:rsidRPr="0053014B" w:rsidRDefault="00432BF3" w:rsidP="00432BF3">
            <w:pPr>
              <w:rPr>
                <w:rFonts w:ascii="Times New Roman" w:hAnsi="Times New Roman" w:cs="Times New Roman"/>
              </w:rPr>
            </w:pPr>
            <w:r w:rsidRPr="0053014B">
              <w:rPr>
                <w:rFonts w:ascii="Times New Roman" w:hAnsi="Times New Roman" w:cs="Times New Roman"/>
              </w:rPr>
              <w:t>Definitions</w:t>
            </w:r>
          </w:p>
          <w:p w14:paraId="2CD73BC3" w14:textId="219BA154" w:rsidR="00432BF3" w:rsidRPr="0053014B" w:rsidRDefault="00432BF3" w:rsidP="00432BF3">
            <w:pPr>
              <w:rPr>
                <w:rFonts w:ascii="Times New Roman" w:hAnsi="Times New Roman" w:cs="Times New Roman"/>
              </w:rPr>
            </w:pPr>
            <w:r w:rsidRPr="0053014B">
              <w:rPr>
                <w:rFonts w:ascii="Times New Roman" w:hAnsi="Times New Roman" w:cs="Times New Roman"/>
              </w:rPr>
              <w:t>(P. 70)</w:t>
            </w:r>
          </w:p>
        </w:tc>
        <w:tc>
          <w:tcPr>
            <w:tcW w:w="8978" w:type="dxa"/>
          </w:tcPr>
          <w:p w14:paraId="5380084A" w14:textId="2C42FCCC" w:rsidR="00432BF3" w:rsidRPr="0053014B" w:rsidRDefault="00432BF3" w:rsidP="00432BF3">
            <w:pPr>
              <w:rPr>
                <w:rFonts w:ascii="Times New Roman" w:hAnsi="Times New Roman" w:cs="Times New Roman"/>
                <w:b/>
                <w:u w:val="single"/>
              </w:rPr>
            </w:pPr>
            <w:r w:rsidRPr="0053014B">
              <w:rPr>
                <w:rFonts w:ascii="Times New Roman" w:hAnsi="Times New Roman" w:cs="Times New Roman"/>
                <w:b/>
                <w:u w:val="single"/>
              </w:rPr>
              <w:t>Applicable Text:</w:t>
            </w:r>
          </w:p>
          <w:p w14:paraId="4D6A54EC" w14:textId="7C28D2F0" w:rsidR="00432BF3" w:rsidRPr="0053014B" w:rsidRDefault="00432BF3" w:rsidP="00432BF3">
            <w:pPr>
              <w:rPr>
                <w:rFonts w:ascii="Times New Roman" w:hAnsi="Times New Roman" w:cs="Times New Roman"/>
              </w:rPr>
            </w:pPr>
            <w:r w:rsidRPr="0053014B">
              <w:rPr>
                <w:rFonts w:ascii="Times New Roman" w:hAnsi="Times New Roman" w:cs="Times New Roman"/>
              </w:rPr>
              <w:t>“No free liquids”  “…and that there is no free liquid in the container holding the wipes.”</w:t>
            </w:r>
          </w:p>
          <w:p w14:paraId="086B56BB" w14:textId="77777777" w:rsidR="00432BF3" w:rsidRPr="0053014B" w:rsidRDefault="00432BF3" w:rsidP="00432BF3">
            <w:pPr>
              <w:rPr>
                <w:rFonts w:ascii="Times New Roman" w:hAnsi="Times New Roman" w:cs="Times New Roman"/>
                <w:b/>
                <w:u w:val="single"/>
              </w:rPr>
            </w:pPr>
          </w:p>
          <w:p w14:paraId="1B6EE4D9" w14:textId="729A2444" w:rsidR="00432BF3" w:rsidRPr="0053014B" w:rsidRDefault="00432BF3" w:rsidP="00432BF3">
            <w:pPr>
              <w:rPr>
                <w:rFonts w:ascii="Times New Roman" w:hAnsi="Times New Roman" w:cs="Times New Roman"/>
                <w:b/>
                <w:u w:val="single"/>
              </w:rPr>
            </w:pPr>
            <w:r w:rsidRPr="0053014B">
              <w:rPr>
                <w:rFonts w:ascii="Times New Roman" w:hAnsi="Times New Roman" w:cs="Times New Roman"/>
                <w:b/>
                <w:u w:val="single"/>
              </w:rPr>
              <w:t>Comment:</w:t>
            </w:r>
          </w:p>
          <w:p w14:paraId="5683EF3A" w14:textId="77777777" w:rsidR="00432BF3" w:rsidRPr="0053014B" w:rsidRDefault="00432BF3" w:rsidP="00432BF3">
            <w:pPr>
              <w:rPr>
                <w:rFonts w:ascii="Times New Roman" w:hAnsi="Times New Roman" w:cs="Times New Roman"/>
              </w:rPr>
            </w:pPr>
            <w:r w:rsidRPr="0053014B">
              <w:rPr>
                <w:rFonts w:ascii="Times New Roman" w:hAnsi="Times New Roman" w:cs="Times New Roman"/>
                <w:iCs/>
              </w:rPr>
              <w:t>CHPRC has reviewed Ecology’ Response to Comments (B-6-5) and is still not in favor of this proposed change because</w:t>
            </w:r>
            <w:r w:rsidRPr="0053014B">
              <w:rPr>
                <w:rFonts w:ascii="Times New Roman" w:hAnsi="Times New Roman" w:cs="Times New Roman"/>
              </w:rPr>
              <w:t xml:space="preserve"> the definition of “No free liquids” under this exclusion is essentially unworkable.  The last phrase of the definition states, “…and that there is no free liquid in the container holding the wipes”.  As written, how will a generator know if any amount of liquid, e.g., a miniscule amount but still a free liquid, has been released from the wipes after the container has been filled and closed?  Does Ecology expect generators to open full containers of wipes on some frequency while accumulating, or before shipment remove the wipes from the container, and confirm no free liquids in the bottom of the container?  As proposed, a single drop of liquid would be a violation.</w:t>
            </w:r>
          </w:p>
          <w:p w14:paraId="1E7D7630" w14:textId="77777777" w:rsidR="00432BF3" w:rsidRPr="0053014B" w:rsidRDefault="00432BF3" w:rsidP="00432BF3">
            <w:pPr>
              <w:rPr>
                <w:rFonts w:ascii="Times New Roman" w:hAnsi="Times New Roman" w:cs="Times New Roman"/>
              </w:rPr>
            </w:pPr>
          </w:p>
          <w:p w14:paraId="4E2BDB6A" w14:textId="53E780D0" w:rsidR="00432BF3" w:rsidRDefault="00432BF3" w:rsidP="00432BF3">
            <w:pPr>
              <w:rPr>
                <w:rFonts w:ascii="Times New Roman" w:hAnsi="Times New Roman" w:cs="Times New Roman"/>
              </w:rPr>
            </w:pPr>
            <w:r w:rsidRPr="0053014B">
              <w:rPr>
                <w:rFonts w:ascii="Times New Roman" w:hAnsi="Times New Roman" w:cs="Times New Roman"/>
              </w:rPr>
              <w:t>Since this relates to the prohibition on liquids in landfills, could the wording be amended to clarify that the last phrase (“and that there is no free liquid in the container holding the wipes”) applies if the wipes are being sent for land disposal?  If the wipes are being sent to a laundry service, conducting an initial paint filter test would suffice.</w:t>
            </w:r>
          </w:p>
          <w:p w14:paraId="73458134" w14:textId="77777777" w:rsidR="004D14B5" w:rsidRPr="0053014B" w:rsidRDefault="004D14B5" w:rsidP="00432BF3">
            <w:pPr>
              <w:rPr>
                <w:rFonts w:ascii="Times New Roman" w:hAnsi="Times New Roman" w:cs="Times New Roman"/>
                <w:iCs/>
              </w:rPr>
            </w:pPr>
          </w:p>
          <w:p w14:paraId="581C6714" w14:textId="77777777" w:rsidR="00432BF3" w:rsidRPr="0053014B" w:rsidRDefault="00432BF3" w:rsidP="00432BF3">
            <w:pPr>
              <w:rPr>
                <w:rFonts w:ascii="Times New Roman" w:hAnsi="Times New Roman" w:cs="Times New Roman"/>
              </w:rPr>
            </w:pPr>
          </w:p>
        </w:tc>
        <w:tc>
          <w:tcPr>
            <w:tcW w:w="1267" w:type="dxa"/>
          </w:tcPr>
          <w:p w14:paraId="54AB4FCB" w14:textId="0E096845" w:rsidR="00432BF3" w:rsidRPr="0053014B" w:rsidRDefault="00E123AE" w:rsidP="00432BF3">
            <w:pPr>
              <w:rPr>
                <w:rFonts w:ascii="Times New Roman" w:hAnsi="Times New Roman" w:cs="Times New Roman"/>
              </w:rPr>
            </w:pPr>
            <w:r>
              <w:rPr>
                <w:rFonts w:ascii="Times New Roman" w:hAnsi="Times New Roman" w:cs="Times New Roman"/>
              </w:rPr>
              <w:t>CHPRC</w:t>
            </w:r>
          </w:p>
        </w:tc>
      </w:tr>
      <w:tr w:rsidR="004D14B5" w:rsidRPr="0053014B" w14:paraId="7DA3D2CB" w14:textId="77777777" w:rsidTr="008F2058">
        <w:tc>
          <w:tcPr>
            <w:tcW w:w="527" w:type="dxa"/>
          </w:tcPr>
          <w:p w14:paraId="5683648A" w14:textId="5BD03DC7" w:rsidR="004F654C" w:rsidRPr="0053014B" w:rsidRDefault="004D14B5" w:rsidP="004F654C">
            <w:pPr>
              <w:jc w:val="center"/>
              <w:rPr>
                <w:rFonts w:ascii="Times New Roman" w:hAnsi="Times New Roman" w:cs="Times New Roman"/>
              </w:rPr>
            </w:pPr>
            <w:r>
              <w:rPr>
                <w:rFonts w:ascii="Times New Roman" w:hAnsi="Times New Roman" w:cs="Times New Roman"/>
              </w:rPr>
              <w:lastRenderedPageBreak/>
              <w:t>6</w:t>
            </w:r>
          </w:p>
          <w:p w14:paraId="71F04136" w14:textId="30C98C64" w:rsidR="004F654C" w:rsidRPr="0053014B" w:rsidRDefault="004F654C" w:rsidP="004F654C">
            <w:pPr>
              <w:jc w:val="center"/>
              <w:rPr>
                <w:rFonts w:ascii="Times New Roman" w:hAnsi="Times New Roman" w:cs="Times New Roman"/>
              </w:rPr>
            </w:pPr>
          </w:p>
        </w:tc>
        <w:tc>
          <w:tcPr>
            <w:tcW w:w="1823" w:type="dxa"/>
          </w:tcPr>
          <w:p w14:paraId="3CF030C5" w14:textId="77777777" w:rsidR="004F654C" w:rsidRPr="0053014B" w:rsidRDefault="004F654C" w:rsidP="004F654C">
            <w:pPr>
              <w:rPr>
                <w:rFonts w:ascii="Times New Roman" w:hAnsi="Times New Roman" w:cs="Times New Roman"/>
              </w:rPr>
            </w:pPr>
            <w:r w:rsidRPr="0053014B">
              <w:rPr>
                <w:rFonts w:ascii="Times New Roman" w:hAnsi="Times New Roman" w:cs="Times New Roman"/>
              </w:rPr>
              <w:t>173-303-040,</w:t>
            </w:r>
          </w:p>
          <w:p w14:paraId="6769FA69" w14:textId="77777777" w:rsidR="004F654C" w:rsidRPr="0053014B" w:rsidRDefault="004F654C" w:rsidP="004F654C">
            <w:pPr>
              <w:rPr>
                <w:rFonts w:ascii="Times New Roman" w:hAnsi="Times New Roman" w:cs="Times New Roman"/>
              </w:rPr>
            </w:pPr>
            <w:r w:rsidRPr="0053014B">
              <w:rPr>
                <w:rFonts w:ascii="Times New Roman" w:hAnsi="Times New Roman" w:cs="Times New Roman"/>
              </w:rPr>
              <w:t>Definitions</w:t>
            </w:r>
          </w:p>
          <w:p w14:paraId="290296ED" w14:textId="7323F0EB" w:rsidR="004F654C" w:rsidRPr="0053014B" w:rsidRDefault="004F654C" w:rsidP="004F654C">
            <w:pPr>
              <w:rPr>
                <w:rFonts w:ascii="Times New Roman" w:hAnsi="Times New Roman" w:cs="Times New Roman"/>
              </w:rPr>
            </w:pPr>
            <w:r w:rsidRPr="0053014B">
              <w:rPr>
                <w:rFonts w:ascii="Times New Roman" w:hAnsi="Times New Roman" w:cs="Times New Roman"/>
              </w:rPr>
              <w:t>(p. 94)</w:t>
            </w:r>
          </w:p>
        </w:tc>
        <w:tc>
          <w:tcPr>
            <w:tcW w:w="8978" w:type="dxa"/>
          </w:tcPr>
          <w:p w14:paraId="0239BF29" w14:textId="77777777" w:rsidR="004F654C" w:rsidRPr="0053014B" w:rsidRDefault="004F654C" w:rsidP="004F654C">
            <w:pPr>
              <w:rPr>
                <w:rFonts w:ascii="Times New Roman" w:hAnsi="Times New Roman" w:cs="Times New Roman"/>
                <w:b/>
                <w:u w:val="single"/>
              </w:rPr>
            </w:pPr>
            <w:r w:rsidRPr="0053014B">
              <w:rPr>
                <w:rFonts w:ascii="Times New Roman" w:hAnsi="Times New Roman" w:cs="Times New Roman"/>
                <w:b/>
                <w:u w:val="single"/>
              </w:rPr>
              <w:t>Applicable Text:</w:t>
            </w:r>
          </w:p>
          <w:p w14:paraId="7C6732D3" w14:textId="4AAE86F2" w:rsidR="004F654C" w:rsidRPr="0053014B" w:rsidRDefault="004F654C" w:rsidP="004F654C">
            <w:pPr>
              <w:rPr>
                <w:rFonts w:ascii="Times New Roman" w:hAnsi="Times New Roman" w:cs="Times New Roman"/>
              </w:rPr>
            </w:pPr>
            <w:commentRangeStart w:id="0"/>
            <w:r w:rsidRPr="0053014B">
              <w:rPr>
                <w:rFonts w:ascii="Times New Roman" w:hAnsi="Times New Roman" w:cs="Times New Roman"/>
              </w:rPr>
              <w:t>“Weekly inspections” means an inspection conducted no more than seven consecutive calendar days from the last inspection.</w:t>
            </w:r>
            <w:commentRangeEnd w:id="0"/>
            <w:r w:rsidR="008F2058">
              <w:rPr>
                <w:rStyle w:val="CommentReference"/>
              </w:rPr>
              <w:commentReference w:id="0"/>
            </w:r>
          </w:p>
          <w:p w14:paraId="1E15CBEE" w14:textId="77777777" w:rsidR="004F654C" w:rsidRPr="0053014B" w:rsidRDefault="004F654C" w:rsidP="004F654C">
            <w:pPr>
              <w:rPr>
                <w:rFonts w:ascii="Times New Roman" w:hAnsi="Times New Roman" w:cs="Times New Roman"/>
              </w:rPr>
            </w:pPr>
          </w:p>
          <w:p w14:paraId="0A09AECC" w14:textId="77777777" w:rsidR="004F654C" w:rsidRPr="0053014B" w:rsidRDefault="004F654C" w:rsidP="004F654C">
            <w:pPr>
              <w:rPr>
                <w:rFonts w:ascii="Times New Roman" w:hAnsi="Times New Roman" w:cs="Times New Roman"/>
                <w:b/>
                <w:u w:val="single"/>
              </w:rPr>
            </w:pPr>
            <w:r w:rsidRPr="0053014B">
              <w:rPr>
                <w:rFonts w:ascii="Times New Roman" w:hAnsi="Times New Roman" w:cs="Times New Roman"/>
                <w:b/>
                <w:u w:val="single"/>
              </w:rPr>
              <w:t>Comment:</w:t>
            </w:r>
          </w:p>
          <w:p w14:paraId="3A19F0B3" w14:textId="77777777" w:rsidR="004F654C" w:rsidRPr="0053014B" w:rsidRDefault="004F654C" w:rsidP="004F654C">
            <w:pPr>
              <w:rPr>
                <w:rFonts w:ascii="Times New Roman" w:hAnsi="Times New Roman" w:cs="Times New Roman"/>
                <w:b/>
                <w:u w:val="single"/>
              </w:rPr>
            </w:pPr>
          </w:p>
          <w:p w14:paraId="42112BA0" w14:textId="77777777" w:rsidR="004F654C" w:rsidRPr="0053014B" w:rsidRDefault="004F654C" w:rsidP="004F654C">
            <w:pPr>
              <w:rPr>
                <w:rFonts w:ascii="Times New Roman" w:hAnsi="Times New Roman" w:cs="Times New Roman"/>
              </w:rPr>
            </w:pPr>
            <w:r w:rsidRPr="0053014B">
              <w:rPr>
                <w:rFonts w:ascii="Times New Roman" w:hAnsi="Times New Roman" w:cs="Times New Roman"/>
              </w:rPr>
              <w:t>CHPRC noted in the Ecology’s Response to Comments (B-6-8) that Ecology acknowledges concerns with the draft weekly inspection definition and will consider revising it to make weekly inspection compliance easier. CHPRC reiterates that EPA provided guidance to the phrase “at least weekly in the Response to Comments Document on the Hazardous Waste Generator Improvements Final Rule, Docket # EPA-HQ-RCRA-2012-0121. CHPRC hopes that Ecology aligns with EPA’s guidance stating that:</w:t>
            </w:r>
          </w:p>
          <w:p w14:paraId="27C37B48" w14:textId="77777777" w:rsidR="004F654C" w:rsidRPr="0053014B" w:rsidRDefault="004F654C" w:rsidP="004F654C">
            <w:pPr>
              <w:rPr>
                <w:rFonts w:ascii="Times New Roman" w:hAnsi="Times New Roman" w:cs="Times New Roman"/>
              </w:rPr>
            </w:pPr>
          </w:p>
          <w:p w14:paraId="115D510D" w14:textId="77777777" w:rsidR="004F654C" w:rsidRPr="0053014B" w:rsidRDefault="004F654C" w:rsidP="004F654C">
            <w:pPr>
              <w:rPr>
                <w:rFonts w:ascii="Times New Roman" w:hAnsi="Times New Roman" w:cs="Times New Roman"/>
              </w:rPr>
            </w:pPr>
            <w:r w:rsidRPr="0053014B">
              <w:rPr>
                <w:rFonts w:ascii="Times New Roman" w:hAnsi="Times New Roman" w:cs="Times New Roman"/>
              </w:rPr>
              <w:t>“The Agency believes the term “at least weekly” to mean “at least once each calendar week.” Under this interpretation, while the calendar day an inspection could occur may change from week to week, one inspection would be required to occur within the calendar week as identified by the generator. Thus one generator could define their calendar week as Monday through Sunday while another generator could define their calendar week as Wednesday to Tuesday of the following week. Whatever the prescribed calendar week would dictate the days an inspection would be required to occur.”</w:t>
            </w:r>
          </w:p>
          <w:p w14:paraId="43FB15AC" w14:textId="77777777" w:rsidR="004F654C" w:rsidRPr="0053014B" w:rsidRDefault="004F654C" w:rsidP="004F654C">
            <w:pPr>
              <w:rPr>
                <w:rFonts w:ascii="Times New Roman" w:hAnsi="Times New Roman" w:cs="Times New Roman"/>
              </w:rPr>
            </w:pPr>
          </w:p>
          <w:p w14:paraId="127B38EF" w14:textId="77777777" w:rsidR="004F654C" w:rsidRPr="0053014B" w:rsidRDefault="004F654C" w:rsidP="004F654C">
            <w:pPr>
              <w:rPr>
                <w:rFonts w:ascii="Times New Roman" w:hAnsi="Times New Roman" w:cs="Times New Roman"/>
              </w:rPr>
            </w:pPr>
            <w:r w:rsidRPr="0053014B">
              <w:rPr>
                <w:rFonts w:ascii="Times New Roman" w:hAnsi="Times New Roman" w:cs="Times New Roman"/>
              </w:rPr>
              <w:t>The above wording would be compliant with the original intent of weekly inspections, i.e., looking for leaks and deterioration on a weekly basis will protect the environmental should not be a burden to generators.</w:t>
            </w:r>
          </w:p>
          <w:p w14:paraId="04969216" w14:textId="77777777" w:rsidR="004F654C" w:rsidRDefault="004F654C" w:rsidP="004F654C">
            <w:pPr>
              <w:rPr>
                <w:rFonts w:ascii="Times New Roman" w:hAnsi="Times New Roman" w:cs="Times New Roman"/>
              </w:rPr>
            </w:pPr>
          </w:p>
          <w:p w14:paraId="03C888C5" w14:textId="77777777" w:rsidR="00E123AE" w:rsidRDefault="00E123AE" w:rsidP="004F654C">
            <w:pPr>
              <w:rPr>
                <w:rFonts w:ascii="Times New Roman" w:hAnsi="Times New Roman" w:cs="Times New Roman"/>
              </w:rPr>
            </w:pPr>
          </w:p>
          <w:p w14:paraId="6364C18F" w14:textId="1749C2F2" w:rsidR="00E123AE" w:rsidRPr="0053014B" w:rsidRDefault="00E123AE" w:rsidP="004F654C">
            <w:pPr>
              <w:rPr>
                <w:rFonts w:ascii="Times New Roman" w:hAnsi="Times New Roman" w:cs="Times New Roman"/>
              </w:rPr>
            </w:pPr>
          </w:p>
        </w:tc>
        <w:tc>
          <w:tcPr>
            <w:tcW w:w="1267" w:type="dxa"/>
          </w:tcPr>
          <w:p w14:paraId="2B628562" w14:textId="7200C417" w:rsidR="004F654C" w:rsidRPr="0053014B" w:rsidRDefault="00836702" w:rsidP="004F654C">
            <w:pPr>
              <w:rPr>
                <w:rFonts w:ascii="Times New Roman" w:hAnsi="Times New Roman" w:cs="Times New Roman"/>
              </w:rPr>
            </w:pPr>
            <w:r w:rsidRPr="0053014B">
              <w:rPr>
                <w:rFonts w:ascii="Times New Roman" w:hAnsi="Times New Roman" w:cs="Times New Roman"/>
              </w:rPr>
              <w:t>CHPRC</w:t>
            </w:r>
          </w:p>
        </w:tc>
      </w:tr>
      <w:tr w:rsidR="004D14B5" w:rsidRPr="0053014B" w14:paraId="4F8DA7E4" w14:textId="77777777" w:rsidTr="008F2058">
        <w:tc>
          <w:tcPr>
            <w:tcW w:w="527" w:type="dxa"/>
          </w:tcPr>
          <w:p w14:paraId="121C5410" w14:textId="57203112" w:rsidR="001C0AE5" w:rsidRPr="0053014B" w:rsidRDefault="004D14B5" w:rsidP="001C0AE5">
            <w:pPr>
              <w:jc w:val="center"/>
              <w:rPr>
                <w:rFonts w:ascii="Times New Roman" w:hAnsi="Times New Roman" w:cs="Times New Roman"/>
              </w:rPr>
            </w:pPr>
            <w:r>
              <w:rPr>
                <w:rFonts w:ascii="Times New Roman" w:hAnsi="Times New Roman" w:cs="Times New Roman"/>
              </w:rPr>
              <w:t>7</w:t>
            </w:r>
          </w:p>
        </w:tc>
        <w:tc>
          <w:tcPr>
            <w:tcW w:w="1823" w:type="dxa"/>
          </w:tcPr>
          <w:p w14:paraId="63D1ACB9" w14:textId="1ED8F345" w:rsidR="001C0AE5" w:rsidRPr="0053014B" w:rsidRDefault="001C0AE5" w:rsidP="001C0AE5">
            <w:pPr>
              <w:rPr>
                <w:rFonts w:ascii="Times New Roman" w:hAnsi="Times New Roman" w:cs="Times New Roman"/>
              </w:rPr>
            </w:pPr>
            <w:r w:rsidRPr="0053014B">
              <w:rPr>
                <w:rFonts w:ascii="Times New Roman" w:hAnsi="Times New Roman" w:cs="Times New Roman"/>
              </w:rPr>
              <w:t>173-303-040</w:t>
            </w:r>
          </w:p>
        </w:tc>
        <w:tc>
          <w:tcPr>
            <w:tcW w:w="8978" w:type="dxa"/>
          </w:tcPr>
          <w:p w14:paraId="7DDC16E9" w14:textId="71DB38FA" w:rsidR="001C0AE5" w:rsidRPr="0053014B" w:rsidRDefault="001C0AE5" w:rsidP="001C0AE5">
            <w:pPr>
              <w:rPr>
                <w:rFonts w:ascii="Times New Roman" w:hAnsi="Times New Roman" w:cs="Times New Roman"/>
              </w:rPr>
            </w:pPr>
            <w:r w:rsidRPr="0053014B">
              <w:rPr>
                <w:rFonts w:ascii="Times New Roman" w:hAnsi="Times New Roman" w:cs="Times New Roman"/>
              </w:rPr>
              <w:t xml:space="preserve">The definition of “Satellite Accumulation” includes a reference to “a designated ninety-day accumulation area.” This should be changed to “central accumulation area” to match other terminology in the regulations and to avoid a possible misunderstanding regarding whether MQGs can accumulate waste longer than 90 days.  </w:t>
            </w:r>
          </w:p>
        </w:tc>
        <w:tc>
          <w:tcPr>
            <w:tcW w:w="1267" w:type="dxa"/>
          </w:tcPr>
          <w:p w14:paraId="7F67E373" w14:textId="32D8F3E5" w:rsidR="001C0AE5" w:rsidRPr="0053014B" w:rsidRDefault="001C0AE5" w:rsidP="001C0AE5">
            <w:pPr>
              <w:rPr>
                <w:rFonts w:ascii="Times New Roman" w:hAnsi="Times New Roman" w:cs="Times New Roman"/>
              </w:rPr>
            </w:pPr>
            <w:r w:rsidRPr="0053014B">
              <w:rPr>
                <w:rFonts w:ascii="Times New Roman" w:hAnsi="Times New Roman" w:cs="Times New Roman"/>
              </w:rPr>
              <w:t>PNNL</w:t>
            </w:r>
          </w:p>
        </w:tc>
      </w:tr>
      <w:tr w:rsidR="004D14B5" w:rsidRPr="0053014B" w14:paraId="0AB36BCF" w14:textId="77777777" w:rsidTr="008F2058">
        <w:tc>
          <w:tcPr>
            <w:tcW w:w="527" w:type="dxa"/>
          </w:tcPr>
          <w:p w14:paraId="13AFF8AE" w14:textId="7A40B57E" w:rsidR="001C0AE5" w:rsidRPr="0053014B" w:rsidRDefault="004D14B5" w:rsidP="001C0AE5">
            <w:pPr>
              <w:jc w:val="center"/>
              <w:rPr>
                <w:rFonts w:ascii="Times New Roman" w:hAnsi="Times New Roman" w:cs="Times New Roman"/>
              </w:rPr>
            </w:pPr>
            <w:r>
              <w:rPr>
                <w:rFonts w:ascii="Times New Roman" w:hAnsi="Times New Roman" w:cs="Times New Roman"/>
              </w:rPr>
              <w:t>8</w:t>
            </w:r>
          </w:p>
        </w:tc>
        <w:tc>
          <w:tcPr>
            <w:tcW w:w="1823" w:type="dxa"/>
          </w:tcPr>
          <w:p w14:paraId="60E3F8D6" w14:textId="34A8ACA2" w:rsidR="001C0AE5" w:rsidRPr="0053014B" w:rsidRDefault="001C0AE5" w:rsidP="001C0AE5">
            <w:pPr>
              <w:rPr>
                <w:rFonts w:ascii="Times New Roman" w:hAnsi="Times New Roman" w:cs="Times New Roman"/>
              </w:rPr>
            </w:pPr>
            <w:r w:rsidRPr="0053014B">
              <w:rPr>
                <w:rFonts w:ascii="Times New Roman" w:hAnsi="Times New Roman" w:cs="Times New Roman"/>
              </w:rPr>
              <w:t>173-303-174(1)(f)(i) and (ii)</w:t>
            </w:r>
          </w:p>
        </w:tc>
        <w:tc>
          <w:tcPr>
            <w:tcW w:w="8978" w:type="dxa"/>
          </w:tcPr>
          <w:p w14:paraId="1AACC830" w14:textId="76EAEC53" w:rsidR="001C0AE5" w:rsidRPr="0053014B" w:rsidRDefault="001C0AE5" w:rsidP="001C0AE5">
            <w:pPr>
              <w:rPr>
                <w:rFonts w:ascii="Times New Roman" w:hAnsi="Times New Roman" w:cs="Times New Roman"/>
              </w:rPr>
            </w:pPr>
            <w:r w:rsidRPr="0053014B">
              <w:rPr>
                <w:rFonts w:ascii="Times New Roman" w:hAnsi="Times New Roman" w:cs="Times New Roman"/>
              </w:rPr>
              <w:t xml:space="preserve">We previously submitted comments on the preliminary draft rules regarding the size of labels used on small containers in SAAs, particularly in laboratories. We do not believe that Ecology’s response in the Response Summary to the preliminary draft rules fully addressed our concerns, nor </w:t>
            </w:r>
            <w:r w:rsidRPr="0053014B">
              <w:rPr>
                <w:rFonts w:ascii="Times New Roman" w:hAnsi="Times New Roman" w:cs="Times New Roman"/>
              </w:rPr>
              <w:lastRenderedPageBreak/>
              <w:t>those of the other entities that submitted similar comments. We continue to believe that the requirement for text to be one half inch high and other markings legible from 25 feet is unnecessarily restrictive and impactful for small containers in SAAs. Please consider the following concerns with respect to labeling small containers in SAAs.</w:t>
            </w:r>
          </w:p>
          <w:p w14:paraId="4656C398" w14:textId="68D6A42D" w:rsidR="001C0AE5" w:rsidRPr="0053014B" w:rsidRDefault="001C0AE5" w:rsidP="001C0AE5">
            <w:pPr>
              <w:pStyle w:val="ListParagraph"/>
              <w:numPr>
                <w:ilvl w:val="0"/>
                <w:numId w:val="2"/>
              </w:numPr>
              <w:rPr>
                <w:rFonts w:ascii="Times New Roman" w:hAnsi="Times New Roman" w:cs="Times New Roman"/>
              </w:rPr>
            </w:pPr>
            <w:r w:rsidRPr="0053014B">
              <w:rPr>
                <w:rFonts w:ascii="Times New Roman" w:hAnsi="Times New Roman" w:cs="Times New Roman"/>
              </w:rPr>
              <w:t xml:space="preserve">When entering a space containing an SAA, employees and emergency responders must be aware of the hazards of </w:t>
            </w:r>
            <w:r w:rsidRPr="0053014B">
              <w:rPr>
                <w:rFonts w:ascii="Times New Roman" w:hAnsi="Times New Roman" w:cs="Times New Roman"/>
                <w:i/>
              </w:rPr>
              <w:t>all</w:t>
            </w:r>
            <w:r w:rsidRPr="0053014B">
              <w:rPr>
                <w:rFonts w:ascii="Times New Roman" w:hAnsi="Times New Roman" w:cs="Times New Roman"/>
              </w:rPr>
              <w:t xml:space="preserve"> hazardous material, including both dangerous waste and hazardous materials. There is no similar requirement for large labels on small containers of hazardous </w:t>
            </w:r>
            <w:r w:rsidRPr="0053014B">
              <w:rPr>
                <w:rFonts w:ascii="Times New Roman" w:hAnsi="Times New Roman" w:cs="Times New Roman"/>
                <w:i/>
              </w:rPr>
              <w:t>materials</w:t>
            </w:r>
            <w:r w:rsidRPr="0053014B">
              <w:rPr>
                <w:rFonts w:ascii="Times New Roman" w:hAnsi="Times New Roman" w:cs="Times New Roman"/>
              </w:rPr>
              <w:t>; the GHC markings on small containers of hazardous materials are often very small. Requiring large labels for waste when it represents only a small portion of the overall hazards in a room has little benefit. In real-life situations in operating facilities, emergency responders generally rely on facility- and room-level hazard marking and chemical inventories to properly respond to emergencies, not individual container labels seen at a distance.</w:t>
            </w:r>
          </w:p>
          <w:p w14:paraId="04F161DE" w14:textId="29836894" w:rsidR="001C0AE5" w:rsidRPr="0053014B" w:rsidRDefault="001C0AE5" w:rsidP="001C0AE5">
            <w:pPr>
              <w:pStyle w:val="ListParagraph"/>
              <w:numPr>
                <w:ilvl w:val="0"/>
                <w:numId w:val="2"/>
              </w:numPr>
              <w:rPr>
                <w:rFonts w:ascii="Times New Roman" w:hAnsi="Times New Roman" w:cs="Times New Roman"/>
              </w:rPr>
            </w:pPr>
            <w:r w:rsidRPr="0053014B">
              <w:rPr>
                <w:rFonts w:ascii="Times New Roman" w:hAnsi="Times New Roman" w:cs="Times New Roman"/>
              </w:rPr>
              <w:t>Ecology’s suggestion in the responsiveness summary that small containers be placed in larger containers to accommodate large labels imposes a significant cost and takes up needed facility space, particularly in laboratories. A given laboratory room often generates many small waste streams. Placing each in a large container (even a 1 gallon container as suggested by Ecology) will cause significant space impacts to laboratory operations.</w:t>
            </w:r>
          </w:p>
          <w:p w14:paraId="113BAB8C" w14:textId="43102AD1" w:rsidR="001C0AE5" w:rsidRPr="0053014B" w:rsidRDefault="001C0AE5" w:rsidP="001C0AE5">
            <w:pPr>
              <w:pStyle w:val="ListParagraph"/>
              <w:numPr>
                <w:ilvl w:val="0"/>
                <w:numId w:val="2"/>
              </w:numPr>
              <w:rPr>
                <w:rFonts w:ascii="Times New Roman" w:hAnsi="Times New Roman" w:cs="Times New Roman"/>
              </w:rPr>
            </w:pPr>
            <w:r w:rsidRPr="0053014B">
              <w:rPr>
                <w:rFonts w:ascii="Times New Roman" w:hAnsi="Times New Roman" w:cs="Times New Roman"/>
              </w:rPr>
              <w:t>Ecology’s suggestion in the responsiveness summary to label cabinets to meet the label size requirement does not seem to meet the actual regulatory requirement. A cabinet is not a container as defined in Section 040. Containers moved out of a cabinet (for example to move from the SAA to a CAA) would then need to be relabeled or packaged in a larger container.</w:t>
            </w:r>
          </w:p>
          <w:p w14:paraId="3721F802" w14:textId="0250B0F5" w:rsidR="001C0AE5" w:rsidRDefault="001C0AE5" w:rsidP="001C0AE5">
            <w:pPr>
              <w:pStyle w:val="ListParagraph"/>
              <w:numPr>
                <w:ilvl w:val="0"/>
                <w:numId w:val="2"/>
              </w:numPr>
              <w:rPr>
                <w:rFonts w:ascii="Times New Roman" w:hAnsi="Times New Roman" w:cs="Times New Roman"/>
              </w:rPr>
            </w:pPr>
            <w:r w:rsidRPr="0053014B">
              <w:rPr>
                <w:rFonts w:ascii="Times New Roman" w:hAnsi="Times New Roman" w:cs="Times New Roman"/>
              </w:rPr>
              <w:t xml:space="preserve">Ecology seems to underestimate the space required to meet the proposed label size requirements when the words “Dangerous Waste” and multiple risk labels are required on small containers. In addition, in order to properly manage </w:t>
            </w:r>
            <w:r w:rsidR="007C0587" w:rsidRPr="0053014B">
              <w:rPr>
                <w:rFonts w:ascii="Times New Roman" w:hAnsi="Times New Roman" w:cs="Times New Roman"/>
              </w:rPr>
              <w:t>waste,</w:t>
            </w:r>
            <w:r w:rsidRPr="0053014B">
              <w:rPr>
                <w:rFonts w:ascii="Times New Roman" w:hAnsi="Times New Roman" w:cs="Times New Roman"/>
              </w:rPr>
              <w:t xml:space="preserve"> we also must leave room on SAA containers for information that is not required by the regulations (e.g., responsible person, waste description). </w:t>
            </w:r>
          </w:p>
          <w:p w14:paraId="4BA1F1F8" w14:textId="77777777" w:rsidR="00FA7C2A" w:rsidRPr="00FA7C2A" w:rsidRDefault="00FA7C2A" w:rsidP="00FA7C2A">
            <w:pPr>
              <w:ind w:left="360"/>
              <w:rPr>
                <w:rFonts w:ascii="Times New Roman" w:hAnsi="Times New Roman" w:cs="Times New Roman"/>
              </w:rPr>
            </w:pPr>
          </w:p>
          <w:p w14:paraId="14378634" w14:textId="33B65E7F" w:rsidR="001C0AE5" w:rsidRDefault="001C0AE5" w:rsidP="001C0AE5">
            <w:pPr>
              <w:rPr>
                <w:rFonts w:ascii="Times New Roman" w:hAnsi="Times New Roman" w:cs="Times New Roman"/>
                <w:color w:val="FF0000"/>
              </w:rPr>
            </w:pPr>
            <w:r w:rsidRPr="0053014B">
              <w:rPr>
                <w:rFonts w:ascii="Times New Roman" w:hAnsi="Times New Roman" w:cs="Times New Roman"/>
              </w:rPr>
              <w:t xml:space="preserve">We request that the label size requirement not apply to accumulation containers having a capacity of 20 liters or less. </w:t>
            </w:r>
            <w:r w:rsidRPr="0053014B">
              <w:rPr>
                <w:rFonts w:ascii="Times New Roman" w:hAnsi="Times New Roman" w:cs="Times New Roman"/>
                <w:color w:val="FF0000"/>
              </w:rPr>
              <w:t xml:space="preserve"> </w:t>
            </w:r>
          </w:p>
          <w:p w14:paraId="76540A4C" w14:textId="77777777" w:rsidR="004D14B5" w:rsidRDefault="004D14B5" w:rsidP="001C0AE5">
            <w:pPr>
              <w:rPr>
                <w:rFonts w:ascii="Times New Roman" w:hAnsi="Times New Roman" w:cs="Times New Roman"/>
                <w:color w:val="FF0000"/>
              </w:rPr>
            </w:pPr>
          </w:p>
          <w:p w14:paraId="24CE0A7A" w14:textId="44E805E9" w:rsidR="00FA7C2A" w:rsidRPr="0053014B" w:rsidRDefault="00FA7C2A" w:rsidP="001C0AE5">
            <w:pPr>
              <w:rPr>
                <w:rFonts w:ascii="Times New Roman" w:hAnsi="Times New Roman" w:cs="Times New Roman"/>
              </w:rPr>
            </w:pPr>
          </w:p>
        </w:tc>
        <w:tc>
          <w:tcPr>
            <w:tcW w:w="1267" w:type="dxa"/>
          </w:tcPr>
          <w:p w14:paraId="0F74B0E8" w14:textId="11B672B0" w:rsidR="001C0AE5" w:rsidRPr="0053014B" w:rsidRDefault="001C0AE5" w:rsidP="001C0AE5">
            <w:pPr>
              <w:rPr>
                <w:rFonts w:ascii="Times New Roman" w:hAnsi="Times New Roman" w:cs="Times New Roman"/>
              </w:rPr>
            </w:pPr>
            <w:r w:rsidRPr="0053014B">
              <w:rPr>
                <w:rFonts w:ascii="Times New Roman" w:hAnsi="Times New Roman" w:cs="Times New Roman"/>
              </w:rPr>
              <w:lastRenderedPageBreak/>
              <w:t>PNNL</w:t>
            </w:r>
          </w:p>
        </w:tc>
      </w:tr>
      <w:tr w:rsidR="004D14B5" w:rsidRPr="0053014B" w14:paraId="011E2A99" w14:textId="77777777" w:rsidTr="008F2058">
        <w:tc>
          <w:tcPr>
            <w:tcW w:w="527" w:type="dxa"/>
          </w:tcPr>
          <w:p w14:paraId="53642A79" w14:textId="455D4B4B" w:rsidR="00763300" w:rsidRPr="0053014B" w:rsidRDefault="004D14B5" w:rsidP="004D14B5">
            <w:pPr>
              <w:jc w:val="center"/>
              <w:rPr>
                <w:rFonts w:ascii="Times New Roman" w:hAnsi="Times New Roman" w:cs="Times New Roman"/>
              </w:rPr>
            </w:pPr>
            <w:r>
              <w:rPr>
                <w:rFonts w:ascii="Times New Roman" w:hAnsi="Times New Roman" w:cs="Times New Roman"/>
              </w:rPr>
              <w:lastRenderedPageBreak/>
              <w:t>9</w:t>
            </w:r>
          </w:p>
        </w:tc>
        <w:tc>
          <w:tcPr>
            <w:tcW w:w="1823" w:type="dxa"/>
          </w:tcPr>
          <w:p w14:paraId="7D9E6903" w14:textId="77777777" w:rsidR="00763300" w:rsidRPr="0053014B" w:rsidRDefault="00763300" w:rsidP="00763300">
            <w:pPr>
              <w:rPr>
                <w:rFonts w:ascii="Times New Roman" w:hAnsi="Times New Roman" w:cs="Times New Roman"/>
              </w:rPr>
            </w:pPr>
            <w:r w:rsidRPr="0053014B">
              <w:rPr>
                <w:rFonts w:ascii="Times New Roman" w:hAnsi="Times New Roman" w:cs="Times New Roman"/>
              </w:rPr>
              <w:t xml:space="preserve">173-303-174(1) (f)(i-ii), </w:t>
            </w:r>
          </w:p>
          <w:p w14:paraId="412F937F" w14:textId="77777777" w:rsidR="00763300" w:rsidRPr="0053014B" w:rsidRDefault="00763300" w:rsidP="00763300">
            <w:pPr>
              <w:rPr>
                <w:rFonts w:ascii="Times New Roman" w:hAnsi="Times New Roman" w:cs="Times New Roman"/>
              </w:rPr>
            </w:pPr>
          </w:p>
          <w:p w14:paraId="593A4F45" w14:textId="77777777" w:rsidR="00763300" w:rsidRPr="0053014B" w:rsidRDefault="00763300" w:rsidP="00763300">
            <w:pPr>
              <w:rPr>
                <w:rFonts w:ascii="Times New Roman" w:hAnsi="Times New Roman" w:cs="Times New Roman"/>
              </w:rPr>
            </w:pPr>
            <w:r w:rsidRPr="0053014B">
              <w:rPr>
                <w:rFonts w:ascii="Times New Roman" w:hAnsi="Times New Roman" w:cs="Times New Roman"/>
              </w:rPr>
              <w:t>And associated citations at:</w:t>
            </w:r>
          </w:p>
          <w:p w14:paraId="2CFFE5A1" w14:textId="77777777" w:rsidR="00763300" w:rsidRPr="0053014B" w:rsidRDefault="00763300" w:rsidP="00763300">
            <w:pPr>
              <w:rPr>
                <w:rFonts w:ascii="Times New Roman" w:hAnsi="Times New Roman" w:cs="Times New Roman"/>
              </w:rPr>
            </w:pPr>
          </w:p>
          <w:p w14:paraId="701929FA" w14:textId="77777777" w:rsidR="00763300" w:rsidRPr="0053014B" w:rsidRDefault="00763300" w:rsidP="00763300">
            <w:pPr>
              <w:rPr>
                <w:rFonts w:ascii="Times New Roman" w:hAnsi="Times New Roman" w:cs="Times New Roman"/>
              </w:rPr>
            </w:pPr>
            <w:r w:rsidRPr="0053014B">
              <w:rPr>
                <w:rFonts w:ascii="Times New Roman" w:hAnsi="Times New Roman" w:cs="Times New Roman"/>
              </w:rPr>
              <w:t xml:space="preserve">173-303-200(6)(b), </w:t>
            </w:r>
          </w:p>
          <w:p w14:paraId="44BE5925" w14:textId="106C4985" w:rsidR="00763300" w:rsidRPr="0053014B" w:rsidRDefault="00763300" w:rsidP="00763300">
            <w:pPr>
              <w:rPr>
                <w:rFonts w:ascii="Times New Roman" w:hAnsi="Times New Roman" w:cs="Times New Roman"/>
              </w:rPr>
            </w:pPr>
            <w:r w:rsidRPr="0053014B">
              <w:rPr>
                <w:rFonts w:ascii="Times New Roman" w:hAnsi="Times New Roman" w:cs="Times New Roman"/>
              </w:rPr>
              <w:t>173-303-200(7)(a) and b)(ii), 173-303-200(13)(a)(iv)(C), 173-303-240(6)(i)</w:t>
            </w:r>
          </w:p>
        </w:tc>
        <w:tc>
          <w:tcPr>
            <w:tcW w:w="8978" w:type="dxa"/>
          </w:tcPr>
          <w:p w14:paraId="50827653" w14:textId="7C41FBCB" w:rsidR="00763300" w:rsidRPr="0053014B" w:rsidRDefault="00763300" w:rsidP="00763300">
            <w:pPr>
              <w:rPr>
                <w:rFonts w:ascii="Times New Roman" w:hAnsi="Times New Roman" w:cs="Times New Roman"/>
                <w:b/>
                <w:u w:val="single"/>
              </w:rPr>
            </w:pPr>
            <w:r w:rsidRPr="0053014B">
              <w:rPr>
                <w:rFonts w:ascii="Times New Roman" w:hAnsi="Times New Roman" w:cs="Times New Roman"/>
                <w:b/>
                <w:u w:val="single"/>
              </w:rPr>
              <w:t>Applicable Text:</w:t>
            </w:r>
          </w:p>
          <w:p w14:paraId="565887FB" w14:textId="77777777" w:rsidR="00763300" w:rsidRPr="0053014B" w:rsidRDefault="00763300" w:rsidP="00763300">
            <w:pPr>
              <w:rPr>
                <w:rFonts w:ascii="Times New Roman" w:hAnsi="Times New Roman" w:cs="Times New Roman"/>
              </w:rPr>
            </w:pPr>
            <w:r w:rsidRPr="0053014B">
              <w:rPr>
                <w:rFonts w:ascii="Times New Roman" w:hAnsi="Times New Roman" w:cs="Times New Roman"/>
              </w:rPr>
              <w:t>(f) Container labeling or marking. A generator must clearly label or mark each container of dangerous waste with the following:</w:t>
            </w:r>
          </w:p>
          <w:p w14:paraId="1D658014" w14:textId="77777777" w:rsidR="00763300" w:rsidRPr="0053014B" w:rsidRDefault="00763300" w:rsidP="00763300">
            <w:pPr>
              <w:rPr>
                <w:rFonts w:ascii="Times New Roman" w:hAnsi="Times New Roman" w:cs="Times New Roman"/>
              </w:rPr>
            </w:pPr>
            <w:r w:rsidRPr="0053014B">
              <w:rPr>
                <w:rFonts w:ascii="Times New Roman" w:hAnsi="Times New Roman" w:cs="Times New Roman"/>
              </w:rPr>
              <w:t xml:space="preserve">(i) The words “dangerous waste” or “hazardous waste” where the label or marking is legible from a distance of 25 feet or the lettering size is a minimum of one half inch in height. </w:t>
            </w:r>
          </w:p>
          <w:p w14:paraId="59EF3536" w14:textId="77777777" w:rsidR="00763300" w:rsidRPr="0053014B" w:rsidRDefault="00763300" w:rsidP="00763300">
            <w:pPr>
              <w:rPr>
                <w:rFonts w:ascii="Times New Roman" w:hAnsi="Times New Roman" w:cs="Times New Roman"/>
              </w:rPr>
            </w:pPr>
            <w:r w:rsidRPr="0053014B">
              <w:rPr>
                <w:rFonts w:ascii="Times New Roman" w:hAnsi="Times New Roman" w:cs="Times New Roman"/>
              </w:rPr>
              <w:t>(ii) An indication of the hazards of the contents (examples include, but not limited to, the applicable dangerous waste characteristic(s) and criteria of ignitable, corrosive, reactive and toxic and the applicable hazard(s) identified for listed dangerous wastes). The label or marking must be:</w:t>
            </w:r>
          </w:p>
          <w:p w14:paraId="48D9506D" w14:textId="77777777" w:rsidR="00763300" w:rsidRPr="0053014B" w:rsidRDefault="00763300" w:rsidP="00763300">
            <w:pPr>
              <w:rPr>
                <w:rFonts w:ascii="Times New Roman" w:hAnsi="Times New Roman" w:cs="Times New Roman"/>
              </w:rPr>
            </w:pPr>
            <w:r w:rsidRPr="0053014B">
              <w:rPr>
                <w:rFonts w:ascii="Times New Roman" w:hAnsi="Times New Roman" w:cs="Times New Roman"/>
              </w:rPr>
              <w:t>(D) Legible and/or recognizable from a distance of 25 feet or the lettering size is a minimum of one half inch in height, and</w:t>
            </w:r>
          </w:p>
          <w:p w14:paraId="0A6599E7" w14:textId="116ABBFF" w:rsidR="00763300" w:rsidRPr="0053014B" w:rsidRDefault="00763300" w:rsidP="00763300">
            <w:pPr>
              <w:rPr>
                <w:rFonts w:ascii="Times New Roman" w:hAnsi="Times New Roman" w:cs="Times New Roman"/>
                <w:b/>
                <w:u w:val="single"/>
              </w:rPr>
            </w:pPr>
            <w:r w:rsidRPr="0053014B">
              <w:rPr>
                <w:rFonts w:ascii="Times New Roman" w:hAnsi="Times New Roman" w:cs="Times New Roman"/>
              </w:rPr>
              <w:t>(E) Understandable to employees, emergency response personnel, the public and other visitors to the site.</w:t>
            </w:r>
          </w:p>
          <w:p w14:paraId="380220E0" w14:textId="77777777" w:rsidR="00763300" w:rsidRPr="0053014B" w:rsidRDefault="00763300" w:rsidP="00763300">
            <w:pPr>
              <w:rPr>
                <w:rFonts w:ascii="Times New Roman" w:hAnsi="Times New Roman" w:cs="Times New Roman"/>
              </w:rPr>
            </w:pPr>
          </w:p>
          <w:p w14:paraId="44B3F93B" w14:textId="77777777" w:rsidR="00763300" w:rsidRPr="0053014B" w:rsidRDefault="00763300" w:rsidP="00763300">
            <w:pPr>
              <w:rPr>
                <w:rFonts w:ascii="Times New Roman" w:hAnsi="Times New Roman" w:cs="Times New Roman"/>
              </w:rPr>
            </w:pPr>
          </w:p>
          <w:p w14:paraId="476D2DB1" w14:textId="2F163344" w:rsidR="00763300" w:rsidRPr="0053014B" w:rsidRDefault="00763300" w:rsidP="00763300">
            <w:pPr>
              <w:rPr>
                <w:rFonts w:ascii="Times New Roman" w:hAnsi="Times New Roman" w:cs="Times New Roman"/>
                <w:b/>
                <w:u w:val="single"/>
              </w:rPr>
            </w:pPr>
            <w:r w:rsidRPr="0053014B">
              <w:rPr>
                <w:rFonts w:ascii="Times New Roman" w:hAnsi="Times New Roman" w:cs="Times New Roman"/>
                <w:b/>
                <w:u w:val="single"/>
              </w:rPr>
              <w:t>Comment:</w:t>
            </w:r>
          </w:p>
          <w:p w14:paraId="29A6E6F5" w14:textId="77777777" w:rsidR="00763300" w:rsidRPr="0053014B" w:rsidRDefault="00763300" w:rsidP="00763300">
            <w:pPr>
              <w:rPr>
                <w:rFonts w:ascii="Times New Roman" w:hAnsi="Times New Roman" w:cs="Times New Roman"/>
              </w:rPr>
            </w:pPr>
            <w:r w:rsidRPr="0053014B">
              <w:rPr>
                <w:rFonts w:ascii="Times New Roman" w:hAnsi="Times New Roman" w:cs="Times New Roman"/>
              </w:rPr>
              <w:t>CHPRC has reviewed Ecology’s Response to Comments and is still not in favor of this proposed change because Ecology’s additional requirements and deletion of EPA’s clarifying language has made the implementation unworkable.</w:t>
            </w:r>
          </w:p>
          <w:p w14:paraId="113EDF24" w14:textId="77777777" w:rsidR="00763300" w:rsidRPr="0053014B" w:rsidRDefault="00763300" w:rsidP="00763300">
            <w:pPr>
              <w:rPr>
                <w:rFonts w:ascii="Times New Roman" w:hAnsi="Times New Roman" w:cs="Times New Roman"/>
                <w:i/>
              </w:rPr>
            </w:pPr>
            <w:r w:rsidRPr="0053014B">
              <w:rPr>
                <w:rFonts w:ascii="Times New Roman" w:hAnsi="Times New Roman" w:cs="Times New Roman"/>
              </w:rPr>
              <w:br/>
              <w:t>The proposed wording states, “example includes, but is not limited to, the applicable dangerous waste characteristic(s) and criteria of ignitable, corrosive, reactive and toxic and the applicable hazard(s) identified for listed dangerous wastes)”.</w:t>
            </w:r>
            <w:r w:rsidRPr="0053014B">
              <w:rPr>
                <w:rFonts w:ascii="Times New Roman" w:hAnsi="Times New Roman" w:cs="Times New Roman"/>
              </w:rPr>
              <w:br/>
            </w:r>
            <w:r w:rsidRPr="0053014B">
              <w:rPr>
                <w:rFonts w:ascii="Times New Roman" w:hAnsi="Times New Roman" w:cs="Times New Roman"/>
              </w:rPr>
              <w:br/>
              <w:t xml:space="preserve">CHPRC agrees that if a waste exhibits the characteristic of ignitability, corrosivity or reactivity, e.g., D001, D002 and D003, those waste should have the applicable ignitable (or flammable), corrosive (or acid or base) or reactive hazard labels.  And if a waste exhibits the toxicity characteristics of D004 to D043, those waste should have the applicable toxic hazard label if the waste actually exhibits the applicable characteristics.  However, applying the same logic to listed waste is not appropriate.  As stated by EPA in their document, “Introduction to Hazardous Waste Identification”, </w:t>
            </w:r>
            <w:hyperlink r:id="rId9" w:history="1">
              <w:r w:rsidRPr="0053014B">
                <w:rPr>
                  <w:rStyle w:val="Hyperlink"/>
                  <w:rFonts w:ascii="Times New Roman" w:hAnsi="Times New Roman" w:cs="Times New Roman"/>
                </w:rPr>
                <w:t>EPA530-K-05-012</w:t>
              </w:r>
            </w:hyperlink>
            <w:r w:rsidRPr="0053014B">
              <w:rPr>
                <w:rFonts w:ascii="Times New Roman" w:hAnsi="Times New Roman" w:cs="Times New Roman"/>
              </w:rPr>
              <w:t>, dated September 2005:</w:t>
            </w:r>
            <w:r w:rsidRPr="0053014B">
              <w:rPr>
                <w:rFonts w:ascii="Times New Roman" w:hAnsi="Times New Roman" w:cs="Times New Roman"/>
              </w:rPr>
              <w:br/>
            </w:r>
            <w:r w:rsidRPr="0053014B">
              <w:rPr>
                <w:rFonts w:ascii="Times New Roman" w:hAnsi="Times New Roman" w:cs="Times New Roman"/>
              </w:rPr>
              <w:br/>
            </w:r>
            <w:r w:rsidRPr="0053014B">
              <w:rPr>
                <w:rFonts w:ascii="Times New Roman" w:hAnsi="Times New Roman" w:cs="Times New Roman"/>
                <w:i/>
              </w:rPr>
              <w:t xml:space="preserve">“Before listing any waste as hazardous, the Agency developed a set of criteria to use as a guide when determining whether or not a waste should be listed. These listing criteria provide a consistent frame of reference when EPA considers listing a wastestream. Remember that EPA only </w:t>
            </w:r>
            <w:r w:rsidRPr="0053014B">
              <w:rPr>
                <w:rFonts w:ascii="Times New Roman" w:hAnsi="Times New Roman" w:cs="Times New Roman"/>
                <w:i/>
              </w:rPr>
              <w:lastRenderedPageBreak/>
              <w:t>uses these criteria when evaluating whether to list a waste; the listing criteria are not used by waste handlers, who refer to the actual hazardous waste lists for hazardous waste</w:t>
            </w:r>
          </w:p>
          <w:p w14:paraId="34031770" w14:textId="77777777" w:rsidR="00763300" w:rsidRPr="0053014B" w:rsidRDefault="00763300" w:rsidP="00763300">
            <w:pPr>
              <w:rPr>
                <w:rFonts w:ascii="Times New Roman" w:hAnsi="Times New Roman" w:cs="Times New Roman"/>
                <w:i/>
              </w:rPr>
            </w:pPr>
            <w:r w:rsidRPr="0053014B">
              <w:rPr>
                <w:rFonts w:ascii="Times New Roman" w:hAnsi="Times New Roman" w:cs="Times New Roman"/>
                <w:i/>
              </w:rPr>
              <w:t>identification purposes.”</w:t>
            </w:r>
          </w:p>
          <w:p w14:paraId="75A6E65F" w14:textId="77777777" w:rsidR="00763300" w:rsidRPr="0053014B" w:rsidRDefault="00763300" w:rsidP="00763300">
            <w:pPr>
              <w:rPr>
                <w:rFonts w:ascii="Times New Roman" w:hAnsi="Times New Roman" w:cs="Times New Roman"/>
              </w:rPr>
            </w:pPr>
          </w:p>
          <w:p w14:paraId="1EE0BDAE" w14:textId="77777777" w:rsidR="00763300" w:rsidRPr="0053014B" w:rsidRDefault="00763300" w:rsidP="00763300">
            <w:pPr>
              <w:rPr>
                <w:rFonts w:ascii="Times New Roman" w:hAnsi="Times New Roman" w:cs="Times New Roman"/>
              </w:rPr>
            </w:pPr>
            <w:r w:rsidRPr="0053014B">
              <w:rPr>
                <w:rFonts w:ascii="Times New Roman" w:hAnsi="Times New Roman" w:cs="Times New Roman"/>
              </w:rPr>
              <w:t>Based on the above, the hazard labeling as proposed by Ecology should accurately identify the actual hazards exhibited with a particular container of waste as opposed to referencing criteria that EPA used when evaluating whether to list a waste.  Using the basis of the listing as opposed to the actual hazards present, or not present, could adversely impact emergency response efforts and endanger emergency responders, workers and the public due to unnecessary responses or evacuations based on incorrect or nonexistent hazards.</w:t>
            </w:r>
          </w:p>
          <w:p w14:paraId="2ED976BB" w14:textId="77777777" w:rsidR="00763300" w:rsidRPr="0053014B" w:rsidRDefault="00763300" w:rsidP="00763300">
            <w:pPr>
              <w:rPr>
                <w:rFonts w:ascii="Times New Roman" w:hAnsi="Times New Roman" w:cs="Times New Roman"/>
              </w:rPr>
            </w:pPr>
          </w:p>
          <w:p w14:paraId="67ACB873" w14:textId="775ACC3F" w:rsidR="00763300" w:rsidRPr="0053014B" w:rsidRDefault="00763300" w:rsidP="00763300">
            <w:pPr>
              <w:rPr>
                <w:rFonts w:ascii="Times New Roman" w:hAnsi="Times New Roman" w:cs="Times New Roman"/>
              </w:rPr>
            </w:pPr>
            <w:r w:rsidRPr="0053014B">
              <w:rPr>
                <w:rFonts w:ascii="Times New Roman" w:hAnsi="Times New Roman" w:cs="Times New Roman"/>
              </w:rPr>
              <w:t xml:space="preserve">Emergency response must be based on the </w:t>
            </w:r>
            <w:r w:rsidR="007C0587">
              <w:rPr>
                <w:rFonts w:ascii="Times New Roman" w:hAnsi="Times New Roman" w:cs="Times New Roman"/>
              </w:rPr>
              <w:t>a</w:t>
            </w:r>
            <w:r w:rsidRPr="0053014B">
              <w:rPr>
                <w:rFonts w:ascii="Times New Roman" w:hAnsi="Times New Roman" w:cs="Times New Roman"/>
              </w:rPr>
              <w:t xml:space="preserve">ctual hazards associated with listed dangerous waste codes which is some cases can be negligible, as is the case with debris waste.  If the waste debris exhibits a characteristic, then it should be labeled with that hazard.  However, if the debris (or soil) is a listed hazardous waste only due to contact with some other waste that carried a listed hazardous waste code via the mixtures, derived from or contained-in rules, but the debris itself does not exhibit a characteristic for dangerous waste, the waste should not be identified with a nonexistent actual hazard. </w:t>
            </w:r>
          </w:p>
          <w:p w14:paraId="682D0FC8" w14:textId="77777777" w:rsidR="00763300" w:rsidRPr="0053014B" w:rsidRDefault="00763300" w:rsidP="00763300">
            <w:pPr>
              <w:rPr>
                <w:rFonts w:ascii="Times New Roman" w:hAnsi="Times New Roman" w:cs="Times New Roman"/>
              </w:rPr>
            </w:pPr>
          </w:p>
          <w:p w14:paraId="78F4FEFD" w14:textId="5562B092" w:rsidR="00763300" w:rsidRPr="0053014B" w:rsidRDefault="00763300" w:rsidP="00763300">
            <w:pPr>
              <w:rPr>
                <w:rFonts w:ascii="Times New Roman" w:hAnsi="Times New Roman" w:cs="Times New Roman"/>
              </w:rPr>
            </w:pPr>
            <w:r w:rsidRPr="0053014B">
              <w:rPr>
                <w:rFonts w:ascii="Times New Roman" w:hAnsi="Times New Roman" w:cs="Times New Roman"/>
              </w:rPr>
              <w:t>And concerning Washington State Criteria and specifically WT02, Ecology’s proposed hazard labeling system would require dangerous waste codes with WT02 to be labeled as “Toxic”.  An example of WT02 is simple table salt.  It is accepted that under Ecology’s rules, a material like table salt is a dangerous waste due to fish toxicity; however, to label a material this innocuous to humans as “Toxic” is misleading and potential</w:t>
            </w:r>
            <w:r w:rsidR="007C0587">
              <w:rPr>
                <w:rFonts w:ascii="Times New Roman" w:hAnsi="Times New Roman" w:cs="Times New Roman"/>
              </w:rPr>
              <w:t xml:space="preserve">ly </w:t>
            </w:r>
            <w:r w:rsidRPr="0053014B">
              <w:rPr>
                <w:rFonts w:ascii="Times New Roman" w:hAnsi="Times New Roman" w:cs="Times New Roman"/>
              </w:rPr>
              <w:t>dangerous to emergency responders and the general public, e.g., unnecessary responses or evacuations based on incorrect or nonexistent hazards.  The containers will still be labeled “Hazardous Waste” or “Dangerous Waste” which would communicate an appropriate level of response</w:t>
            </w:r>
            <w:r w:rsidR="007C0587">
              <w:rPr>
                <w:rFonts w:ascii="Times New Roman" w:hAnsi="Times New Roman" w:cs="Times New Roman"/>
              </w:rPr>
              <w:t xml:space="preserve"> for WT02</w:t>
            </w:r>
            <w:r w:rsidRPr="0053014B">
              <w:rPr>
                <w:rFonts w:ascii="Times New Roman" w:hAnsi="Times New Roman" w:cs="Times New Roman"/>
              </w:rPr>
              <w:t>.  And the general public would have the same reaction to a container marked “Dangerous Waste” as they would to a container marked “Dangerous Waste” and “Toxic” – keep your distance and call the authorities.</w:t>
            </w:r>
          </w:p>
          <w:p w14:paraId="69E71AD5" w14:textId="77777777" w:rsidR="00763300" w:rsidRPr="0053014B" w:rsidRDefault="00763300" w:rsidP="00763300">
            <w:pPr>
              <w:rPr>
                <w:rFonts w:ascii="Times New Roman" w:hAnsi="Times New Roman" w:cs="Times New Roman"/>
              </w:rPr>
            </w:pPr>
          </w:p>
          <w:p w14:paraId="61FD3F02" w14:textId="77777777" w:rsidR="00763300" w:rsidRPr="0053014B" w:rsidRDefault="00763300" w:rsidP="00763300">
            <w:pPr>
              <w:rPr>
                <w:rFonts w:ascii="Times New Roman" w:hAnsi="Times New Roman" w:cs="Times New Roman"/>
              </w:rPr>
            </w:pPr>
            <w:r w:rsidRPr="0053014B">
              <w:rPr>
                <w:rFonts w:ascii="Times New Roman" w:hAnsi="Times New Roman" w:cs="Times New Roman"/>
              </w:rPr>
              <w:t>And as CHPRC stated in the first round of comments but to capture those points again in summary:</w:t>
            </w:r>
          </w:p>
          <w:p w14:paraId="4B672391" w14:textId="77777777" w:rsidR="00763300" w:rsidRPr="0053014B" w:rsidRDefault="00763300" w:rsidP="00763300">
            <w:pPr>
              <w:rPr>
                <w:rFonts w:ascii="Times New Roman" w:hAnsi="Times New Roman" w:cs="Times New Roman"/>
              </w:rPr>
            </w:pPr>
          </w:p>
          <w:p w14:paraId="4ECC4479" w14:textId="77777777" w:rsidR="00763300" w:rsidRPr="0053014B" w:rsidRDefault="00763300" w:rsidP="00763300">
            <w:pPr>
              <w:pStyle w:val="ListParagraph"/>
              <w:numPr>
                <w:ilvl w:val="0"/>
                <w:numId w:val="3"/>
              </w:numPr>
              <w:rPr>
                <w:rFonts w:ascii="Times New Roman" w:hAnsi="Times New Roman" w:cs="Times New Roman"/>
              </w:rPr>
            </w:pPr>
            <w:r w:rsidRPr="0053014B">
              <w:rPr>
                <w:rFonts w:ascii="Times New Roman" w:hAnsi="Times New Roman" w:cs="Times New Roman"/>
              </w:rPr>
              <w:t xml:space="preserve">The general public has no access to the Hanford site which is physically separate from the surrounding cities and access is controlled 24 hours per day and 7 days per week.  </w:t>
            </w:r>
            <w:r w:rsidRPr="0053014B">
              <w:rPr>
                <w:rFonts w:ascii="Times New Roman" w:hAnsi="Times New Roman" w:cs="Times New Roman"/>
              </w:rPr>
              <w:lastRenderedPageBreak/>
              <w:t xml:space="preserve">Therefore, excluding EPA’s other options for hazard labeling due to a concern that the general public will not understand the hazard communication, is not applicable. </w:t>
            </w:r>
            <w:r w:rsidRPr="0053014B">
              <w:rPr>
                <w:rFonts w:ascii="Times New Roman" w:hAnsi="Times New Roman" w:cs="Times New Roman"/>
              </w:rPr>
              <w:br/>
            </w:r>
          </w:p>
          <w:p w14:paraId="01B98EC6" w14:textId="7D105441" w:rsidR="00763300" w:rsidRDefault="00763300" w:rsidP="004D14B5">
            <w:pPr>
              <w:pStyle w:val="ListParagraph"/>
              <w:numPr>
                <w:ilvl w:val="0"/>
                <w:numId w:val="3"/>
              </w:numPr>
              <w:rPr>
                <w:rFonts w:ascii="Times New Roman" w:hAnsi="Times New Roman" w:cs="Times New Roman"/>
              </w:rPr>
            </w:pPr>
            <w:r w:rsidRPr="004D14B5">
              <w:rPr>
                <w:rFonts w:ascii="Times New Roman" w:hAnsi="Times New Roman" w:cs="Times New Roman"/>
              </w:rPr>
              <w:t>If Ecology does not allow the use of DOT hazard labeling it will increase the cost of Hanford cleanup with no environmental benefit.</w:t>
            </w:r>
          </w:p>
          <w:p w14:paraId="767D2E08" w14:textId="77777777" w:rsidR="00996C97" w:rsidRPr="00996C97" w:rsidRDefault="00996C97" w:rsidP="00996C97">
            <w:pPr>
              <w:ind w:left="360"/>
              <w:rPr>
                <w:rFonts w:ascii="Times New Roman" w:hAnsi="Times New Roman" w:cs="Times New Roman"/>
              </w:rPr>
            </w:pPr>
          </w:p>
          <w:p w14:paraId="14DAEFCE" w14:textId="77777777" w:rsidR="00E37956" w:rsidRPr="0053014B" w:rsidRDefault="00E37956" w:rsidP="00E37956">
            <w:pPr>
              <w:pStyle w:val="ListParagraph"/>
              <w:numPr>
                <w:ilvl w:val="0"/>
                <w:numId w:val="3"/>
              </w:numPr>
              <w:rPr>
                <w:rFonts w:ascii="Times New Roman" w:hAnsi="Times New Roman" w:cs="Times New Roman"/>
              </w:rPr>
            </w:pPr>
            <w:r w:rsidRPr="0053014B">
              <w:rPr>
                <w:rFonts w:ascii="Times New Roman" w:hAnsi="Times New Roman" w:cs="Times New Roman"/>
              </w:rPr>
              <w:t>Ecology’s proposed regulations do not include the references to DOT, OSHA, which includes the Global Harmonized System (GHS), or NFPA.  However, Ecology’s proposed regulations also do not prohibit the use of these nationally recognized systems, except that Ecology added that the hazard labels must be “understandable” to employees, emergency responders, waste handlers (whom are also employees), the public and visitors.  CHPRC noted that Ecology’s Response to Comments (B-6-11) stated that Ecology is revisiting the term “understandable” and it is appreciated.</w:t>
            </w:r>
            <w:r w:rsidRPr="0053014B">
              <w:rPr>
                <w:rFonts w:ascii="Times New Roman" w:hAnsi="Times New Roman" w:cs="Times New Roman"/>
              </w:rPr>
              <w:br/>
            </w:r>
          </w:p>
          <w:p w14:paraId="2E2E5C06" w14:textId="77777777" w:rsidR="00E37956" w:rsidRPr="0053014B" w:rsidRDefault="00E37956" w:rsidP="00E37956">
            <w:pPr>
              <w:pStyle w:val="ListParagraph"/>
              <w:numPr>
                <w:ilvl w:val="0"/>
                <w:numId w:val="3"/>
              </w:numPr>
              <w:rPr>
                <w:rFonts w:ascii="Times New Roman" w:hAnsi="Times New Roman" w:cs="Times New Roman"/>
              </w:rPr>
            </w:pPr>
            <w:r w:rsidRPr="0053014B">
              <w:rPr>
                <w:rFonts w:ascii="Times New Roman" w:hAnsi="Times New Roman" w:cs="Times New Roman"/>
              </w:rPr>
              <w:t xml:space="preserve">Another point to reiterate is that EPA stated in the Federal Register for the Generator Improvements Rule, that EPA “…is providing flexibility to generators in how they identify hazardous of the hazardous waste in the container, and using DOT hazard communication such as hazard class labels (or placards, if appropriate) is one option for complying with this requirement. …” </w:t>
            </w:r>
          </w:p>
          <w:p w14:paraId="438D0FC5" w14:textId="77777777" w:rsidR="00E37956" w:rsidRPr="0053014B" w:rsidRDefault="00E37956" w:rsidP="00E37956">
            <w:pPr>
              <w:rPr>
                <w:rFonts w:ascii="Times New Roman" w:hAnsi="Times New Roman" w:cs="Times New Roman"/>
              </w:rPr>
            </w:pPr>
          </w:p>
          <w:p w14:paraId="2434DD06" w14:textId="61E7F134" w:rsidR="00E37956" w:rsidRPr="0053014B" w:rsidRDefault="00E37956" w:rsidP="00E37956">
            <w:pPr>
              <w:rPr>
                <w:rFonts w:ascii="Times New Roman" w:hAnsi="Times New Roman" w:cs="Times New Roman"/>
              </w:rPr>
            </w:pPr>
            <w:r w:rsidRPr="0053014B">
              <w:rPr>
                <w:rFonts w:ascii="Times New Roman" w:hAnsi="Times New Roman" w:cs="Times New Roman"/>
              </w:rPr>
              <w:t>Based upon the above, CHPRC recommends adoption of the equivalent federal requirement wording at 40 CFR 262.15 and updating WAC 173-303-630(3) and all other sections referencing hazard labels to read as:</w:t>
            </w:r>
            <w:r w:rsidRPr="0053014B">
              <w:rPr>
                <w:rFonts w:ascii="Times New Roman" w:hAnsi="Times New Roman" w:cs="Times New Roman"/>
              </w:rPr>
              <w:br/>
            </w:r>
          </w:p>
          <w:p w14:paraId="060E1FD1" w14:textId="35057415" w:rsidR="00E37956" w:rsidRPr="0053014B" w:rsidRDefault="00E37956" w:rsidP="00E37956">
            <w:pPr>
              <w:rPr>
                <w:rFonts w:ascii="Times New Roman" w:hAnsi="Times New Roman" w:cs="Times New Roman"/>
                <w:b/>
                <w:u w:val="single"/>
              </w:rPr>
            </w:pPr>
            <w:r w:rsidRPr="0053014B">
              <w:rPr>
                <w:rFonts w:ascii="Times New Roman" w:hAnsi="Times New Roman" w:cs="Times New Roman"/>
              </w:rPr>
              <w:t>“Clearly label or mark containers with an indication of the actual hazards of the contents (examples include, but are not limited to, the exhibited dangerous waste characteristic(s) and criteria of ignitable, corrosive, reactive and toxic, and the exhibited characteristic hazard(s) for listed dangerous wastes; or applicable DOT, OSHA or NFPA labels, or any nationally recognized system that communicates the hazard(s)). The label or marking must be legible and/or recognizable from a distance of 25 feet or the lettering size is a minimum of one half inch in height</w:t>
            </w:r>
          </w:p>
          <w:p w14:paraId="556EBD94" w14:textId="77777777" w:rsidR="00763300" w:rsidRPr="0053014B" w:rsidRDefault="00763300" w:rsidP="001C0AE5">
            <w:pPr>
              <w:rPr>
                <w:rFonts w:ascii="Times New Roman" w:hAnsi="Times New Roman" w:cs="Times New Roman"/>
              </w:rPr>
            </w:pPr>
          </w:p>
        </w:tc>
        <w:tc>
          <w:tcPr>
            <w:tcW w:w="1267" w:type="dxa"/>
          </w:tcPr>
          <w:p w14:paraId="146BA824" w14:textId="6CC5A9AF" w:rsidR="00763300" w:rsidRPr="0053014B" w:rsidRDefault="00E37956" w:rsidP="001C0AE5">
            <w:pPr>
              <w:rPr>
                <w:rFonts w:ascii="Times New Roman" w:hAnsi="Times New Roman" w:cs="Times New Roman"/>
              </w:rPr>
            </w:pPr>
            <w:r w:rsidRPr="0053014B">
              <w:rPr>
                <w:rFonts w:ascii="Times New Roman" w:hAnsi="Times New Roman" w:cs="Times New Roman"/>
              </w:rPr>
              <w:lastRenderedPageBreak/>
              <w:t>CHPRC</w:t>
            </w:r>
          </w:p>
        </w:tc>
      </w:tr>
      <w:tr w:rsidR="004D14B5" w:rsidRPr="0053014B" w14:paraId="2D7118A4" w14:textId="77777777" w:rsidTr="008F2058">
        <w:tc>
          <w:tcPr>
            <w:tcW w:w="527" w:type="dxa"/>
          </w:tcPr>
          <w:p w14:paraId="51727AF3" w14:textId="1D245AF6" w:rsidR="001C0AE5" w:rsidRPr="0053014B" w:rsidRDefault="004D14B5" w:rsidP="001C0AE5">
            <w:pPr>
              <w:jc w:val="center"/>
              <w:rPr>
                <w:rFonts w:ascii="Times New Roman" w:hAnsi="Times New Roman" w:cs="Times New Roman"/>
              </w:rPr>
            </w:pPr>
            <w:r>
              <w:rPr>
                <w:rFonts w:ascii="Times New Roman" w:hAnsi="Times New Roman" w:cs="Times New Roman"/>
              </w:rPr>
              <w:lastRenderedPageBreak/>
              <w:t>10</w:t>
            </w:r>
          </w:p>
        </w:tc>
        <w:tc>
          <w:tcPr>
            <w:tcW w:w="1823" w:type="dxa"/>
          </w:tcPr>
          <w:p w14:paraId="2FE3AD32" w14:textId="68477742" w:rsidR="001C0AE5" w:rsidRPr="0053014B" w:rsidRDefault="001C0AE5" w:rsidP="001C0AE5">
            <w:pPr>
              <w:rPr>
                <w:rFonts w:ascii="Times New Roman" w:hAnsi="Times New Roman" w:cs="Times New Roman"/>
              </w:rPr>
            </w:pPr>
            <w:r w:rsidRPr="0053014B">
              <w:rPr>
                <w:rFonts w:ascii="Times New Roman" w:hAnsi="Times New Roman" w:cs="Times New Roman"/>
              </w:rPr>
              <w:t>173-303-200(7)</w:t>
            </w:r>
          </w:p>
        </w:tc>
        <w:tc>
          <w:tcPr>
            <w:tcW w:w="8978" w:type="dxa"/>
          </w:tcPr>
          <w:p w14:paraId="4C7826BD" w14:textId="15130808" w:rsidR="001C0AE5" w:rsidRPr="0053014B" w:rsidRDefault="001C0AE5" w:rsidP="001C0AE5">
            <w:pPr>
              <w:rPr>
                <w:rFonts w:ascii="Times New Roman" w:hAnsi="Times New Roman" w:cs="Times New Roman"/>
              </w:rPr>
            </w:pPr>
            <w:r w:rsidRPr="0053014B">
              <w:rPr>
                <w:rFonts w:ascii="Times New Roman" w:hAnsi="Times New Roman" w:cs="Times New Roman"/>
              </w:rPr>
              <w:t>Our concerns regarding Ecology’s proposed label size requirement for SAAs also extend to Central Accumulation Areas. We request that the proposed label size requirement not apply to containers having 20 liters or less capacity.</w:t>
            </w:r>
          </w:p>
        </w:tc>
        <w:tc>
          <w:tcPr>
            <w:tcW w:w="1267" w:type="dxa"/>
          </w:tcPr>
          <w:p w14:paraId="3872F6C1" w14:textId="163AACF8" w:rsidR="001C0AE5" w:rsidRPr="0053014B" w:rsidRDefault="001C0AE5" w:rsidP="001C0AE5">
            <w:pPr>
              <w:rPr>
                <w:rFonts w:ascii="Times New Roman" w:hAnsi="Times New Roman" w:cs="Times New Roman"/>
              </w:rPr>
            </w:pPr>
            <w:r w:rsidRPr="0053014B">
              <w:rPr>
                <w:rFonts w:ascii="Times New Roman" w:hAnsi="Times New Roman" w:cs="Times New Roman"/>
              </w:rPr>
              <w:t>PNNL</w:t>
            </w:r>
          </w:p>
        </w:tc>
      </w:tr>
      <w:tr w:rsidR="004D14B5" w:rsidRPr="0053014B" w14:paraId="13E3B133" w14:textId="77777777" w:rsidTr="008F2058">
        <w:tc>
          <w:tcPr>
            <w:tcW w:w="527" w:type="dxa"/>
          </w:tcPr>
          <w:p w14:paraId="35B079A8" w14:textId="1249FE68" w:rsidR="001C0AE5" w:rsidRPr="0053014B" w:rsidRDefault="004D14B5" w:rsidP="001C0AE5">
            <w:pPr>
              <w:jc w:val="center"/>
              <w:rPr>
                <w:rFonts w:ascii="Times New Roman" w:hAnsi="Times New Roman" w:cs="Times New Roman"/>
              </w:rPr>
            </w:pPr>
            <w:r>
              <w:rPr>
                <w:rFonts w:ascii="Times New Roman" w:hAnsi="Times New Roman" w:cs="Times New Roman"/>
              </w:rPr>
              <w:lastRenderedPageBreak/>
              <w:t>11</w:t>
            </w:r>
          </w:p>
        </w:tc>
        <w:tc>
          <w:tcPr>
            <w:tcW w:w="1823" w:type="dxa"/>
          </w:tcPr>
          <w:p w14:paraId="4E37DFD9" w14:textId="10CC6774" w:rsidR="001C0AE5" w:rsidRPr="0053014B" w:rsidRDefault="001C0AE5" w:rsidP="001C0AE5">
            <w:pPr>
              <w:rPr>
                <w:rFonts w:ascii="Times New Roman" w:hAnsi="Times New Roman" w:cs="Times New Roman"/>
              </w:rPr>
            </w:pPr>
            <w:r w:rsidRPr="0053014B">
              <w:rPr>
                <w:rFonts w:ascii="Times New Roman" w:hAnsi="Times New Roman" w:cs="Times New Roman"/>
              </w:rPr>
              <w:t>173-303-200(7)(a)(iii)</w:t>
            </w:r>
          </w:p>
        </w:tc>
        <w:tc>
          <w:tcPr>
            <w:tcW w:w="8978" w:type="dxa"/>
          </w:tcPr>
          <w:p w14:paraId="50935C0D" w14:textId="77777777" w:rsidR="001C0AE5" w:rsidRPr="0053014B" w:rsidRDefault="001C0AE5" w:rsidP="001C0AE5">
            <w:pPr>
              <w:rPr>
                <w:rFonts w:ascii="Times New Roman" w:hAnsi="Times New Roman" w:cs="Times New Roman"/>
              </w:rPr>
            </w:pPr>
            <w:r w:rsidRPr="0053014B">
              <w:rPr>
                <w:rFonts w:ascii="Times New Roman" w:hAnsi="Times New Roman" w:cs="Times New Roman"/>
              </w:rPr>
              <w:t>The proposed rule requires the generator to ……. “</w:t>
            </w:r>
            <w:r w:rsidRPr="0053014B">
              <w:rPr>
                <w:rFonts w:ascii="Times New Roman" w:hAnsi="Times New Roman" w:cs="Times New Roman"/>
                <w:i/>
              </w:rPr>
              <w:t>clearly mark or label its containers……With an indication of the hazards of the contents (examples include, but are not limited to, applicable dangerous waste characteristic(s) or criteria of ignitable, corrosive, reactive and toxic in the applicable hazard(s) identified for listed dangerous wastes)</w:t>
            </w:r>
            <w:r w:rsidRPr="0053014B">
              <w:rPr>
                <w:rFonts w:ascii="Times New Roman" w:hAnsi="Times New Roman" w:cs="Times New Roman"/>
              </w:rPr>
              <w:t>.”</w:t>
            </w:r>
          </w:p>
          <w:p w14:paraId="403F3EDB" w14:textId="77777777" w:rsidR="001C0AE5" w:rsidRPr="0053014B" w:rsidRDefault="001C0AE5" w:rsidP="001C0AE5">
            <w:pPr>
              <w:rPr>
                <w:rFonts w:ascii="Times New Roman" w:hAnsi="Times New Roman" w:cs="Times New Roman"/>
              </w:rPr>
            </w:pPr>
          </w:p>
          <w:p w14:paraId="555B331F" w14:textId="77777777" w:rsidR="001C0AE5" w:rsidRPr="0053014B" w:rsidRDefault="001C0AE5" w:rsidP="001C0AE5">
            <w:pPr>
              <w:rPr>
                <w:rFonts w:ascii="Times New Roman" w:hAnsi="Times New Roman" w:cs="Times New Roman"/>
              </w:rPr>
            </w:pPr>
            <w:r w:rsidRPr="0053014B">
              <w:rPr>
                <w:rFonts w:ascii="Times New Roman" w:hAnsi="Times New Roman" w:cs="Times New Roman"/>
              </w:rPr>
              <w:t xml:space="preserve">In some situations, a dangerous waste can have the F001 or F002 waste code (i.e., not F003) and the concentration of F001 or F002 constituent(s) can be extremely low.  When the F001 or F002 constituent(s) concentration is extremely low, the waste does not present a toxicity hazard (e.g., a small amount of F001 or F002 coded waste is combined with a large amount of solid waste not containing F001 or F002 constituents).  </w:t>
            </w:r>
          </w:p>
          <w:p w14:paraId="26C504C1" w14:textId="77777777" w:rsidR="001C0AE5" w:rsidRPr="0053014B" w:rsidRDefault="001C0AE5" w:rsidP="001C0AE5">
            <w:pPr>
              <w:rPr>
                <w:rFonts w:ascii="Times New Roman" w:hAnsi="Times New Roman" w:cs="Times New Roman"/>
              </w:rPr>
            </w:pPr>
          </w:p>
          <w:p w14:paraId="6F542771" w14:textId="77777777" w:rsidR="001C0AE5" w:rsidRPr="0053014B" w:rsidRDefault="001C0AE5" w:rsidP="001C0AE5">
            <w:pPr>
              <w:rPr>
                <w:rFonts w:ascii="Times New Roman" w:hAnsi="Times New Roman" w:cs="Times New Roman"/>
              </w:rPr>
            </w:pPr>
            <w:r w:rsidRPr="0053014B">
              <w:rPr>
                <w:rFonts w:ascii="Times New Roman" w:hAnsi="Times New Roman" w:cs="Times New Roman"/>
              </w:rPr>
              <w:t>Question:  Would Ecology expect the generator to apply a toxic hazard label on the container? </w:t>
            </w:r>
          </w:p>
          <w:p w14:paraId="0A7A1742" w14:textId="77777777" w:rsidR="001C0AE5" w:rsidRPr="0053014B" w:rsidRDefault="001C0AE5" w:rsidP="001C0AE5">
            <w:pPr>
              <w:rPr>
                <w:rFonts w:ascii="Times New Roman" w:hAnsi="Times New Roman" w:cs="Times New Roman"/>
              </w:rPr>
            </w:pPr>
          </w:p>
          <w:p w14:paraId="08DB0689" w14:textId="77777777" w:rsidR="001C0AE5" w:rsidRPr="0053014B" w:rsidRDefault="001C0AE5" w:rsidP="001C0AE5">
            <w:pPr>
              <w:rPr>
                <w:rFonts w:ascii="Times New Roman" w:hAnsi="Times New Roman" w:cs="Times New Roman"/>
              </w:rPr>
            </w:pPr>
            <w:r w:rsidRPr="0053014B">
              <w:rPr>
                <w:rFonts w:ascii="Times New Roman" w:hAnsi="Times New Roman" w:cs="Times New Roman"/>
              </w:rPr>
              <w:t xml:space="preserve">Ecology's comment-response (July 2018, 18-04-006, page 3) focuses on a scenario associated with the F003 code.  The F003 code addresses sources that exhibit the characteristic of ignitability.  Under WAC 173-303-070(2)(c) a dangerous waste listed in WAC 173-303-082(1) solely because it exhibits the characteristic of ignitability is not a dangerous waste if it no longer exhibits the characteristic of ignitability.  Ecology's comment-response says it is okay to </w:t>
            </w:r>
            <w:r w:rsidRPr="0053014B">
              <w:rPr>
                <w:rFonts w:ascii="Times New Roman" w:hAnsi="Times New Roman" w:cs="Times New Roman"/>
                <w:b/>
                <w:u w:val="single"/>
              </w:rPr>
              <w:t>not</w:t>
            </w:r>
            <w:r w:rsidRPr="0053014B">
              <w:rPr>
                <w:rFonts w:ascii="Times New Roman" w:hAnsi="Times New Roman" w:cs="Times New Roman"/>
              </w:rPr>
              <w:t xml:space="preserve"> put an ignitability hazard label on a container if the associated waste code no longer applies.  </w:t>
            </w:r>
          </w:p>
          <w:p w14:paraId="55967B27" w14:textId="77777777" w:rsidR="001C0AE5" w:rsidRPr="0053014B" w:rsidRDefault="001C0AE5" w:rsidP="001C0AE5">
            <w:pPr>
              <w:rPr>
                <w:rFonts w:ascii="Times New Roman" w:hAnsi="Times New Roman" w:cs="Times New Roman"/>
              </w:rPr>
            </w:pPr>
          </w:p>
          <w:p w14:paraId="08FF68A7" w14:textId="77777777" w:rsidR="001C0AE5" w:rsidRPr="0053014B" w:rsidRDefault="001C0AE5" w:rsidP="001C0AE5">
            <w:pPr>
              <w:rPr>
                <w:rFonts w:ascii="Times New Roman" w:hAnsi="Times New Roman" w:cs="Times New Roman"/>
              </w:rPr>
            </w:pPr>
            <w:r w:rsidRPr="0053014B">
              <w:rPr>
                <w:rFonts w:ascii="Times New Roman" w:hAnsi="Times New Roman" w:cs="Times New Roman"/>
              </w:rPr>
              <w:t xml:space="preserve">The question being asked above is different.  The above question addresses the application of a hazard label when the F-code still exists but the hazard does not.  </w:t>
            </w:r>
          </w:p>
          <w:p w14:paraId="6401A552" w14:textId="77777777" w:rsidR="001C0AE5" w:rsidRPr="0053014B" w:rsidRDefault="001C0AE5" w:rsidP="001C0AE5">
            <w:pPr>
              <w:rPr>
                <w:rFonts w:ascii="Times New Roman" w:hAnsi="Times New Roman" w:cs="Times New Roman"/>
              </w:rPr>
            </w:pPr>
          </w:p>
        </w:tc>
        <w:tc>
          <w:tcPr>
            <w:tcW w:w="1267" w:type="dxa"/>
          </w:tcPr>
          <w:p w14:paraId="2E301EF8" w14:textId="77777777" w:rsidR="001C0AE5" w:rsidRPr="0053014B" w:rsidRDefault="001C0AE5" w:rsidP="001C0AE5">
            <w:pPr>
              <w:rPr>
                <w:rFonts w:ascii="Times New Roman" w:hAnsi="Times New Roman" w:cs="Times New Roman"/>
              </w:rPr>
            </w:pPr>
            <w:r w:rsidRPr="0053014B">
              <w:rPr>
                <w:rFonts w:ascii="Times New Roman" w:hAnsi="Times New Roman" w:cs="Times New Roman"/>
              </w:rPr>
              <w:t>MSA</w:t>
            </w:r>
          </w:p>
          <w:p w14:paraId="0720E451" w14:textId="77777777" w:rsidR="001C0AE5" w:rsidRPr="0053014B" w:rsidRDefault="001C0AE5" w:rsidP="001C0AE5">
            <w:pPr>
              <w:rPr>
                <w:rFonts w:ascii="Times New Roman" w:hAnsi="Times New Roman" w:cs="Times New Roman"/>
              </w:rPr>
            </w:pPr>
          </w:p>
        </w:tc>
      </w:tr>
      <w:tr w:rsidR="004D14B5" w:rsidRPr="0053014B" w14:paraId="39BC5DBE" w14:textId="77777777" w:rsidTr="008F2058">
        <w:tc>
          <w:tcPr>
            <w:tcW w:w="527" w:type="dxa"/>
          </w:tcPr>
          <w:p w14:paraId="2CC05C79" w14:textId="6F65668F" w:rsidR="001C0AE5" w:rsidRPr="0053014B" w:rsidRDefault="004D14B5" w:rsidP="004D14B5">
            <w:pPr>
              <w:jc w:val="center"/>
              <w:rPr>
                <w:rFonts w:ascii="Times New Roman" w:hAnsi="Times New Roman" w:cs="Times New Roman"/>
              </w:rPr>
            </w:pPr>
            <w:r>
              <w:rPr>
                <w:rFonts w:ascii="Times New Roman" w:hAnsi="Times New Roman" w:cs="Times New Roman"/>
              </w:rPr>
              <w:t>12</w:t>
            </w:r>
          </w:p>
        </w:tc>
        <w:tc>
          <w:tcPr>
            <w:tcW w:w="1823" w:type="dxa"/>
          </w:tcPr>
          <w:p w14:paraId="6AA86612" w14:textId="77777777" w:rsidR="001C0AE5" w:rsidRPr="0053014B" w:rsidRDefault="001C0AE5" w:rsidP="001C0AE5">
            <w:pPr>
              <w:rPr>
                <w:rFonts w:ascii="Times New Roman" w:hAnsi="Times New Roman" w:cs="Times New Roman"/>
              </w:rPr>
            </w:pPr>
            <w:r w:rsidRPr="0053014B">
              <w:rPr>
                <w:rFonts w:ascii="Times New Roman" w:hAnsi="Times New Roman" w:cs="Times New Roman"/>
              </w:rPr>
              <w:t>WAC 173-303-201(11)(a)</w:t>
            </w:r>
          </w:p>
        </w:tc>
        <w:tc>
          <w:tcPr>
            <w:tcW w:w="8978" w:type="dxa"/>
          </w:tcPr>
          <w:p w14:paraId="5960B1C1" w14:textId="77777777" w:rsidR="001C0AE5" w:rsidRPr="0053014B" w:rsidRDefault="001C0AE5" w:rsidP="001C0AE5">
            <w:pPr>
              <w:rPr>
                <w:rFonts w:ascii="Times New Roman" w:hAnsi="Times New Roman" w:cs="Times New Roman"/>
              </w:rPr>
            </w:pPr>
            <w:r w:rsidRPr="0053014B">
              <w:rPr>
                <w:rFonts w:ascii="Times New Roman" w:hAnsi="Times New Roman" w:cs="Times New Roman"/>
              </w:rPr>
              <w:t xml:space="preserve">This requirement should include a provision to render the requirement inapplicable in situations where local emergency responders do not receive copies of the contingency plan.    </w:t>
            </w:r>
          </w:p>
          <w:p w14:paraId="6D90248F" w14:textId="77777777" w:rsidR="001C0AE5" w:rsidRPr="0053014B" w:rsidRDefault="001C0AE5" w:rsidP="001C0AE5">
            <w:pPr>
              <w:rPr>
                <w:rFonts w:ascii="Times New Roman" w:hAnsi="Times New Roman" w:cs="Times New Roman"/>
              </w:rPr>
            </w:pPr>
          </w:p>
          <w:p w14:paraId="4DD76DEC" w14:textId="77777777" w:rsidR="001C0AE5" w:rsidRPr="0053014B" w:rsidRDefault="001C0AE5" w:rsidP="001C0AE5">
            <w:pPr>
              <w:rPr>
                <w:rFonts w:ascii="Times New Roman" w:hAnsi="Times New Roman" w:cs="Times New Roman"/>
              </w:rPr>
            </w:pPr>
            <w:r w:rsidRPr="0053014B">
              <w:rPr>
                <w:rFonts w:ascii="Times New Roman" w:hAnsi="Times New Roman" w:cs="Times New Roman"/>
              </w:rPr>
              <w:t xml:space="preserve">The Hanford Facility (LQG) possesses 24-hour internal emergency response capabilities.  Hence, the local emergency response authorities are not relied upon to provide emergency response service.  The local emergency response agencies have declined to receive Hanford Facility contingency plan documentation.  In the past, letters were written from the Hanford Facility to the local emergency response agencies to document this situation and associated variance from the requirement for a LQGs to submit a copy of the contingency plan to local emergency responders [i.e., WAC 173-303-201(10)(b)].  </w:t>
            </w:r>
          </w:p>
          <w:p w14:paraId="5CA0C6D5" w14:textId="77777777" w:rsidR="001C0AE5" w:rsidRPr="0053014B" w:rsidRDefault="001C0AE5" w:rsidP="001C0AE5">
            <w:pPr>
              <w:rPr>
                <w:rFonts w:ascii="Times New Roman" w:hAnsi="Times New Roman" w:cs="Times New Roman"/>
              </w:rPr>
            </w:pPr>
          </w:p>
          <w:p w14:paraId="1EF8B9E4" w14:textId="77777777" w:rsidR="001C0AE5" w:rsidRPr="0053014B" w:rsidRDefault="001C0AE5" w:rsidP="001C0AE5">
            <w:pPr>
              <w:rPr>
                <w:rFonts w:ascii="Times New Roman" w:hAnsi="Times New Roman" w:cs="Times New Roman"/>
              </w:rPr>
            </w:pPr>
            <w:r w:rsidRPr="0053014B">
              <w:rPr>
                <w:rFonts w:ascii="Times New Roman" w:hAnsi="Times New Roman" w:cs="Times New Roman"/>
              </w:rPr>
              <w:lastRenderedPageBreak/>
              <w:t>For facilities like Hanford that do not provide a copy of the contingency plan to local emergency response agencies, it does not make sense to provide a quick reference guide of the contingency plan to local emergency response agencies.  One option to consider might be to include a waiver provision similar to the waiver for MQGs under WAC 173-303-172(11)(f)(iii).</w:t>
            </w:r>
          </w:p>
          <w:p w14:paraId="47001181" w14:textId="77777777" w:rsidR="001C0AE5" w:rsidRPr="0053014B" w:rsidRDefault="001C0AE5" w:rsidP="001C0AE5">
            <w:pPr>
              <w:rPr>
                <w:rFonts w:ascii="Times New Roman" w:hAnsi="Times New Roman" w:cs="Times New Roman"/>
              </w:rPr>
            </w:pPr>
          </w:p>
        </w:tc>
        <w:tc>
          <w:tcPr>
            <w:tcW w:w="1267" w:type="dxa"/>
          </w:tcPr>
          <w:p w14:paraId="68AC6C1C" w14:textId="77777777" w:rsidR="001C0AE5" w:rsidRPr="0053014B" w:rsidRDefault="001C0AE5" w:rsidP="001C0AE5">
            <w:pPr>
              <w:rPr>
                <w:rFonts w:ascii="Times New Roman" w:hAnsi="Times New Roman" w:cs="Times New Roman"/>
              </w:rPr>
            </w:pPr>
            <w:r w:rsidRPr="0053014B">
              <w:rPr>
                <w:rFonts w:ascii="Times New Roman" w:hAnsi="Times New Roman" w:cs="Times New Roman"/>
              </w:rPr>
              <w:lastRenderedPageBreak/>
              <w:t>MSA</w:t>
            </w:r>
          </w:p>
        </w:tc>
      </w:tr>
      <w:tr w:rsidR="009B0A9D" w:rsidRPr="0053014B" w14:paraId="07CC8C47" w14:textId="77777777" w:rsidTr="008F2058">
        <w:tc>
          <w:tcPr>
            <w:tcW w:w="527" w:type="dxa"/>
          </w:tcPr>
          <w:p w14:paraId="3D91700C" w14:textId="5C398454" w:rsidR="009B0A9D" w:rsidRPr="0053014B" w:rsidRDefault="004D14B5" w:rsidP="00FA7C2A">
            <w:pPr>
              <w:jc w:val="center"/>
              <w:rPr>
                <w:rFonts w:ascii="Times New Roman" w:hAnsi="Times New Roman" w:cs="Times New Roman"/>
              </w:rPr>
            </w:pPr>
            <w:r>
              <w:rPr>
                <w:rFonts w:ascii="Times New Roman" w:hAnsi="Times New Roman" w:cs="Times New Roman"/>
              </w:rPr>
              <w:t>13</w:t>
            </w:r>
          </w:p>
        </w:tc>
        <w:tc>
          <w:tcPr>
            <w:tcW w:w="1823" w:type="dxa"/>
          </w:tcPr>
          <w:p w14:paraId="1FE4D678" w14:textId="77777777" w:rsidR="009B0A9D" w:rsidRPr="0053014B" w:rsidRDefault="009B0A9D" w:rsidP="009B0A9D">
            <w:pPr>
              <w:rPr>
                <w:rFonts w:ascii="Times New Roman" w:hAnsi="Times New Roman" w:cs="Times New Roman"/>
              </w:rPr>
            </w:pPr>
            <w:r w:rsidRPr="0053014B">
              <w:rPr>
                <w:rFonts w:ascii="Times New Roman" w:hAnsi="Times New Roman" w:cs="Times New Roman"/>
              </w:rPr>
              <w:t xml:space="preserve">630(5), Use and management of containers, </w:t>
            </w:r>
          </w:p>
          <w:p w14:paraId="0F84480A" w14:textId="29046AD3" w:rsidR="009B0A9D" w:rsidRPr="0053014B" w:rsidRDefault="009B0A9D" w:rsidP="009B0A9D">
            <w:pPr>
              <w:rPr>
                <w:rFonts w:ascii="Times New Roman" w:hAnsi="Times New Roman" w:cs="Times New Roman"/>
              </w:rPr>
            </w:pPr>
            <w:r w:rsidRPr="0053014B">
              <w:rPr>
                <w:rFonts w:ascii="Times New Roman" w:hAnsi="Times New Roman" w:cs="Times New Roman"/>
              </w:rPr>
              <w:t>p. 241, 298, 690</w:t>
            </w:r>
          </w:p>
        </w:tc>
        <w:tc>
          <w:tcPr>
            <w:tcW w:w="8978" w:type="dxa"/>
          </w:tcPr>
          <w:p w14:paraId="7E18B0FF" w14:textId="77777777" w:rsidR="009B0A9D" w:rsidRPr="0053014B" w:rsidRDefault="009B0A9D" w:rsidP="009B0A9D">
            <w:pPr>
              <w:rPr>
                <w:rFonts w:ascii="Times New Roman" w:hAnsi="Times New Roman" w:cs="Times New Roman"/>
                <w:b/>
                <w:u w:val="single"/>
              </w:rPr>
            </w:pPr>
            <w:r w:rsidRPr="0053014B">
              <w:rPr>
                <w:rFonts w:ascii="Times New Roman" w:hAnsi="Times New Roman" w:cs="Times New Roman"/>
                <w:b/>
                <w:u w:val="single"/>
              </w:rPr>
              <w:t>Applicable Text:</w:t>
            </w:r>
          </w:p>
          <w:p w14:paraId="725AE015" w14:textId="67832340" w:rsidR="009B0A9D" w:rsidRDefault="009B0A9D" w:rsidP="009B0A9D">
            <w:pPr>
              <w:rPr>
                <w:rFonts w:ascii="Times New Roman" w:hAnsi="Times New Roman" w:cs="Times New Roman"/>
              </w:rPr>
            </w:pPr>
            <w:r w:rsidRPr="00FA3DE2">
              <w:rPr>
                <w:rFonts w:ascii="Times New Roman" w:hAnsi="Times New Roman" w:cs="Times New Roman"/>
              </w:rPr>
              <w:t>“…allow for complete inspection of each container…”</w:t>
            </w:r>
          </w:p>
          <w:p w14:paraId="2CEC4D8E" w14:textId="77777777" w:rsidR="009B0A9D" w:rsidRPr="0053014B" w:rsidRDefault="009B0A9D" w:rsidP="009B0A9D">
            <w:pPr>
              <w:rPr>
                <w:rFonts w:ascii="Times New Roman" w:hAnsi="Times New Roman" w:cs="Times New Roman"/>
              </w:rPr>
            </w:pPr>
          </w:p>
          <w:p w14:paraId="23538648" w14:textId="61E83325" w:rsidR="009B0A9D" w:rsidRDefault="009B0A9D" w:rsidP="009B0A9D">
            <w:pPr>
              <w:rPr>
                <w:rFonts w:ascii="Times New Roman" w:hAnsi="Times New Roman" w:cs="Times New Roman"/>
                <w:b/>
                <w:u w:val="single"/>
              </w:rPr>
            </w:pPr>
            <w:r w:rsidRPr="0053014B">
              <w:rPr>
                <w:rFonts w:ascii="Times New Roman" w:hAnsi="Times New Roman" w:cs="Times New Roman"/>
                <w:b/>
                <w:u w:val="single"/>
              </w:rPr>
              <w:t>Comment:</w:t>
            </w:r>
          </w:p>
          <w:p w14:paraId="61CE4F0C" w14:textId="77777777" w:rsidR="009B0A9D" w:rsidRDefault="009B0A9D" w:rsidP="009B0A9D">
            <w:pPr>
              <w:rPr>
                <w:rFonts w:ascii="Times New Roman" w:hAnsi="Times New Roman" w:cs="Times New Roman"/>
                <w:iCs/>
              </w:rPr>
            </w:pPr>
            <w:r>
              <w:rPr>
                <w:rFonts w:ascii="Times New Roman" w:hAnsi="Times New Roman" w:cs="Times New Roman"/>
              </w:rPr>
              <w:t>CHPRC appreciates that Ecology will revisit the term “completely” and use a word that will be taken literally.</w:t>
            </w:r>
          </w:p>
          <w:p w14:paraId="60CC6CA4" w14:textId="77777777" w:rsidR="009B0A9D" w:rsidRPr="0053014B" w:rsidRDefault="009B0A9D" w:rsidP="004210D5">
            <w:pPr>
              <w:rPr>
                <w:rFonts w:ascii="Times New Roman" w:hAnsi="Times New Roman" w:cs="Times New Roman"/>
                <w:b/>
                <w:u w:val="single"/>
              </w:rPr>
            </w:pPr>
          </w:p>
        </w:tc>
        <w:tc>
          <w:tcPr>
            <w:tcW w:w="1267" w:type="dxa"/>
          </w:tcPr>
          <w:p w14:paraId="1D70B495" w14:textId="40684F0F" w:rsidR="009B0A9D" w:rsidRPr="0053014B" w:rsidRDefault="009B0A9D" w:rsidP="004210D5">
            <w:pPr>
              <w:rPr>
                <w:rFonts w:ascii="Times New Roman" w:hAnsi="Times New Roman" w:cs="Times New Roman"/>
              </w:rPr>
            </w:pPr>
            <w:r>
              <w:rPr>
                <w:rFonts w:ascii="Times New Roman" w:hAnsi="Times New Roman" w:cs="Times New Roman"/>
              </w:rPr>
              <w:t>CHPRC</w:t>
            </w:r>
          </w:p>
        </w:tc>
      </w:tr>
      <w:tr w:rsidR="004D14B5" w:rsidRPr="0053014B" w14:paraId="54DBB617" w14:textId="77777777" w:rsidTr="008F2058">
        <w:tc>
          <w:tcPr>
            <w:tcW w:w="527" w:type="dxa"/>
          </w:tcPr>
          <w:p w14:paraId="21583498" w14:textId="30FA8751" w:rsidR="004210D5" w:rsidRPr="0053014B" w:rsidRDefault="004D14B5" w:rsidP="009B0A9D">
            <w:pPr>
              <w:jc w:val="center"/>
              <w:rPr>
                <w:rFonts w:ascii="Times New Roman" w:hAnsi="Times New Roman" w:cs="Times New Roman"/>
              </w:rPr>
            </w:pPr>
            <w:r>
              <w:rPr>
                <w:rFonts w:ascii="Times New Roman" w:hAnsi="Times New Roman" w:cs="Times New Roman"/>
              </w:rPr>
              <w:t>14</w:t>
            </w:r>
          </w:p>
        </w:tc>
        <w:tc>
          <w:tcPr>
            <w:tcW w:w="1823" w:type="dxa"/>
          </w:tcPr>
          <w:p w14:paraId="3D48D837" w14:textId="42C296BD" w:rsidR="003F5FE2" w:rsidRPr="0053014B" w:rsidRDefault="004210D5" w:rsidP="003F5FE2">
            <w:pPr>
              <w:rPr>
                <w:rFonts w:ascii="Times New Roman" w:hAnsi="Times New Roman" w:cs="Times New Roman"/>
              </w:rPr>
            </w:pPr>
            <w:r w:rsidRPr="0053014B">
              <w:rPr>
                <w:rFonts w:ascii="Times New Roman" w:hAnsi="Times New Roman" w:cs="Times New Roman"/>
              </w:rPr>
              <w:t>630</w:t>
            </w:r>
            <w:r w:rsidR="009B0A9D">
              <w:rPr>
                <w:rFonts w:ascii="Times New Roman" w:hAnsi="Times New Roman" w:cs="Times New Roman"/>
              </w:rPr>
              <w:t>,</w:t>
            </w:r>
            <w:r w:rsidRPr="0053014B">
              <w:rPr>
                <w:rFonts w:ascii="Times New Roman" w:hAnsi="Times New Roman" w:cs="Times New Roman"/>
              </w:rPr>
              <w:t xml:space="preserve"> </w:t>
            </w:r>
            <w:r w:rsidR="003F5FE2" w:rsidRPr="0053014B">
              <w:rPr>
                <w:rFonts w:ascii="Times New Roman" w:hAnsi="Times New Roman" w:cs="Times New Roman"/>
              </w:rPr>
              <w:t>(2) Condition of containers</w:t>
            </w:r>
            <w:r w:rsidR="003F5FE2">
              <w:rPr>
                <w:rFonts w:ascii="Times New Roman" w:hAnsi="Times New Roman" w:cs="Times New Roman"/>
              </w:rPr>
              <w:t>,</w:t>
            </w:r>
          </w:p>
          <w:p w14:paraId="4FE65F12" w14:textId="21A7CBF9" w:rsidR="004210D5" w:rsidRPr="0053014B" w:rsidRDefault="004210D5" w:rsidP="009B0A9D">
            <w:pPr>
              <w:rPr>
                <w:rFonts w:ascii="Times New Roman" w:hAnsi="Times New Roman" w:cs="Times New Roman"/>
              </w:rPr>
            </w:pPr>
            <w:r w:rsidRPr="0053014B">
              <w:rPr>
                <w:rFonts w:ascii="Times New Roman" w:hAnsi="Times New Roman" w:cs="Times New Roman"/>
              </w:rPr>
              <w:t>p. 24</w:t>
            </w:r>
            <w:r w:rsidR="009B0A9D">
              <w:rPr>
                <w:rFonts w:ascii="Times New Roman" w:hAnsi="Times New Roman" w:cs="Times New Roman"/>
              </w:rPr>
              <w:t>0, 275, 297, 687</w:t>
            </w:r>
          </w:p>
        </w:tc>
        <w:tc>
          <w:tcPr>
            <w:tcW w:w="8978" w:type="dxa"/>
          </w:tcPr>
          <w:p w14:paraId="7782530A" w14:textId="46F22E49" w:rsidR="004210D5" w:rsidRPr="0053014B" w:rsidRDefault="004210D5" w:rsidP="004210D5">
            <w:pPr>
              <w:rPr>
                <w:rFonts w:ascii="Times New Roman" w:hAnsi="Times New Roman" w:cs="Times New Roman"/>
                <w:b/>
                <w:u w:val="single"/>
              </w:rPr>
            </w:pPr>
            <w:r w:rsidRPr="0053014B">
              <w:rPr>
                <w:rFonts w:ascii="Times New Roman" w:hAnsi="Times New Roman" w:cs="Times New Roman"/>
                <w:b/>
                <w:u w:val="single"/>
              </w:rPr>
              <w:t>Applicable Text:</w:t>
            </w:r>
          </w:p>
          <w:p w14:paraId="7482808C" w14:textId="00093FFD" w:rsidR="004210D5" w:rsidRPr="0053014B" w:rsidRDefault="003F5FE2" w:rsidP="004210D5">
            <w:pPr>
              <w:rPr>
                <w:rFonts w:ascii="Times New Roman" w:hAnsi="Times New Roman" w:cs="Times New Roman"/>
                <w:b/>
                <w:u w:val="single"/>
              </w:rPr>
            </w:pPr>
            <w:r w:rsidRPr="0053014B">
              <w:rPr>
                <w:rFonts w:ascii="Times New Roman" w:hAnsi="Times New Roman" w:cs="Times New Roman"/>
              </w:rPr>
              <w:t xml:space="preserve"> </w:t>
            </w:r>
            <w:r w:rsidR="004210D5" w:rsidRPr="0053014B">
              <w:rPr>
                <w:rFonts w:ascii="Times New Roman" w:hAnsi="Times New Roman" w:cs="Times New Roman"/>
              </w:rPr>
              <w:t xml:space="preserve">(e.g., severe corroding, </w:t>
            </w:r>
            <w:r w:rsidR="004210D5" w:rsidRPr="0053014B" w:rsidDel="001811B7">
              <w:rPr>
                <w:rFonts w:ascii="Times New Roman" w:hAnsi="Times New Roman" w:cs="Times New Roman"/>
              </w:rPr>
              <w:t xml:space="preserve">severe </w:t>
            </w:r>
            <w:r w:rsidR="004210D5" w:rsidRPr="0053014B">
              <w:rPr>
                <w:rFonts w:ascii="Times New Roman" w:hAnsi="Times New Roman" w:cs="Times New Roman"/>
              </w:rPr>
              <w:t>rusting, flaking, scaling, and/or apparent structural defects)</w:t>
            </w:r>
          </w:p>
          <w:p w14:paraId="0E0AE6E8" w14:textId="77777777" w:rsidR="004210D5" w:rsidRPr="0053014B" w:rsidRDefault="004210D5" w:rsidP="004210D5">
            <w:pPr>
              <w:rPr>
                <w:rFonts w:ascii="Times New Roman" w:hAnsi="Times New Roman" w:cs="Times New Roman"/>
              </w:rPr>
            </w:pPr>
          </w:p>
          <w:p w14:paraId="534908AE" w14:textId="0922071E" w:rsidR="004210D5" w:rsidRPr="0053014B" w:rsidRDefault="004210D5" w:rsidP="004210D5">
            <w:pPr>
              <w:rPr>
                <w:rFonts w:ascii="Times New Roman" w:hAnsi="Times New Roman" w:cs="Times New Roman"/>
                <w:b/>
                <w:u w:val="single"/>
              </w:rPr>
            </w:pPr>
            <w:r w:rsidRPr="0053014B">
              <w:rPr>
                <w:rFonts w:ascii="Times New Roman" w:hAnsi="Times New Roman" w:cs="Times New Roman"/>
                <w:b/>
                <w:u w:val="single"/>
              </w:rPr>
              <w:t>Comment:</w:t>
            </w:r>
          </w:p>
          <w:p w14:paraId="5407309A" w14:textId="77777777" w:rsidR="004210D5" w:rsidRPr="0053014B" w:rsidRDefault="004210D5" w:rsidP="004210D5">
            <w:pPr>
              <w:rPr>
                <w:rFonts w:ascii="Times New Roman" w:hAnsi="Times New Roman" w:cs="Times New Roman"/>
                <w:iCs/>
              </w:rPr>
            </w:pPr>
            <w:r w:rsidRPr="0053014B">
              <w:rPr>
                <w:rFonts w:ascii="Times New Roman" w:hAnsi="Times New Roman" w:cs="Times New Roman"/>
                <w:iCs/>
              </w:rPr>
              <w:t>CHPRC is still not in favor of this proposed change.  Ecology’s Response to Comments (B-6-18) stated that this change is needed due to generators arguing that containers are in “good condition” although piles of metal flakes are seen around severely flaking containers.  The presence of metal flakes does not necessarily mean a container is no longer in good condition especially when a steel container retains over an 1/4 of an inch of thickness and the flaking can be attributed to being retrieved from a burial ground where metal from other deteriorating containers precipitates on a container, giving it the appearance of flaking, e.g., a drum’s condition is determined by its current integrity and not the appearance of flakes.</w:t>
            </w:r>
          </w:p>
          <w:p w14:paraId="32E06D12" w14:textId="77777777" w:rsidR="004210D5" w:rsidRPr="0053014B" w:rsidRDefault="004210D5" w:rsidP="004210D5">
            <w:pPr>
              <w:rPr>
                <w:rFonts w:ascii="Times New Roman" w:hAnsi="Times New Roman" w:cs="Times New Roman"/>
                <w:iCs/>
              </w:rPr>
            </w:pPr>
          </w:p>
          <w:p w14:paraId="0D7CEFE0" w14:textId="017184F6" w:rsidR="004210D5" w:rsidRPr="0053014B" w:rsidRDefault="004210D5" w:rsidP="004210D5">
            <w:pPr>
              <w:rPr>
                <w:rFonts w:ascii="Times New Roman" w:hAnsi="Times New Roman" w:cs="Times New Roman"/>
                <w:iCs/>
              </w:rPr>
            </w:pPr>
            <w:r w:rsidRPr="0053014B">
              <w:rPr>
                <w:rFonts w:ascii="Times New Roman" w:hAnsi="Times New Roman" w:cs="Times New Roman"/>
                <w:iCs/>
              </w:rPr>
              <w:t xml:space="preserve">And CHPRC did not disagree with the overall intent of the wording; we were just concerned that the adjective “severe” was only associated with corrosion and rusting and not </w:t>
            </w:r>
            <w:r w:rsidR="007D5307">
              <w:rPr>
                <w:rFonts w:ascii="Times New Roman" w:hAnsi="Times New Roman" w:cs="Times New Roman"/>
                <w:iCs/>
              </w:rPr>
              <w:t xml:space="preserve">with </w:t>
            </w:r>
            <w:r w:rsidRPr="0053014B">
              <w:rPr>
                <w:rFonts w:ascii="Times New Roman" w:hAnsi="Times New Roman" w:cs="Times New Roman"/>
                <w:iCs/>
              </w:rPr>
              <w:t xml:space="preserve">flacking or scaling.  This would imply that any amount of flaking or </w:t>
            </w:r>
            <w:r w:rsidR="007D5307">
              <w:rPr>
                <w:rFonts w:ascii="Times New Roman" w:hAnsi="Times New Roman" w:cs="Times New Roman"/>
                <w:iCs/>
              </w:rPr>
              <w:t xml:space="preserve">any amount of </w:t>
            </w:r>
            <w:r w:rsidRPr="0053014B">
              <w:rPr>
                <w:rFonts w:ascii="Times New Roman" w:hAnsi="Times New Roman" w:cs="Times New Roman"/>
                <w:iCs/>
              </w:rPr>
              <w:t>scaling is an example of a container not being in good condition, which is not always the case.</w:t>
            </w:r>
          </w:p>
          <w:p w14:paraId="0D0B2AE3" w14:textId="77777777" w:rsidR="004210D5" w:rsidRPr="0053014B" w:rsidRDefault="004210D5" w:rsidP="004210D5">
            <w:pPr>
              <w:rPr>
                <w:rFonts w:ascii="Times New Roman" w:hAnsi="Times New Roman" w:cs="Times New Roman"/>
                <w:iCs/>
              </w:rPr>
            </w:pPr>
          </w:p>
          <w:p w14:paraId="7977B9C6" w14:textId="0078F706" w:rsidR="004210D5" w:rsidRPr="0053014B" w:rsidRDefault="004210D5" w:rsidP="004210D5">
            <w:pPr>
              <w:rPr>
                <w:rFonts w:ascii="Times New Roman" w:hAnsi="Times New Roman" w:cs="Times New Roman"/>
                <w:b/>
                <w:u w:val="single"/>
              </w:rPr>
            </w:pPr>
            <w:r w:rsidRPr="0053014B">
              <w:rPr>
                <w:rFonts w:ascii="Times New Roman" w:hAnsi="Times New Roman" w:cs="Times New Roman"/>
              </w:rPr>
              <w:t>CHPRC again recommends the following: (e.g. severe corroding, severe rusting, severe flaking, severe scaling, apparent structural defects)</w:t>
            </w:r>
          </w:p>
          <w:p w14:paraId="53DA03B0" w14:textId="77777777" w:rsidR="004210D5" w:rsidRPr="0053014B" w:rsidRDefault="004210D5" w:rsidP="004210D5">
            <w:pPr>
              <w:rPr>
                <w:rFonts w:ascii="Times New Roman" w:hAnsi="Times New Roman" w:cs="Times New Roman"/>
              </w:rPr>
            </w:pPr>
          </w:p>
        </w:tc>
        <w:tc>
          <w:tcPr>
            <w:tcW w:w="1267" w:type="dxa"/>
          </w:tcPr>
          <w:p w14:paraId="6DCC6215" w14:textId="28B064C1" w:rsidR="004210D5" w:rsidRPr="0053014B" w:rsidRDefault="004210D5" w:rsidP="004210D5">
            <w:pPr>
              <w:rPr>
                <w:rFonts w:ascii="Times New Roman" w:hAnsi="Times New Roman" w:cs="Times New Roman"/>
              </w:rPr>
            </w:pPr>
            <w:r w:rsidRPr="0053014B">
              <w:rPr>
                <w:rFonts w:ascii="Times New Roman" w:hAnsi="Times New Roman" w:cs="Times New Roman"/>
              </w:rPr>
              <w:t>CHPRC</w:t>
            </w:r>
          </w:p>
        </w:tc>
      </w:tr>
      <w:tr w:rsidR="004D14B5" w:rsidRPr="0053014B" w14:paraId="503FE400" w14:textId="77777777" w:rsidTr="008F2058">
        <w:tc>
          <w:tcPr>
            <w:tcW w:w="527" w:type="dxa"/>
          </w:tcPr>
          <w:p w14:paraId="55382AB5" w14:textId="06994C08" w:rsidR="001C0AE5" w:rsidRPr="0053014B" w:rsidRDefault="004D14B5" w:rsidP="001C0AE5">
            <w:pPr>
              <w:jc w:val="center"/>
              <w:rPr>
                <w:rFonts w:ascii="Times New Roman" w:hAnsi="Times New Roman" w:cs="Times New Roman"/>
              </w:rPr>
            </w:pPr>
            <w:r>
              <w:rPr>
                <w:rFonts w:ascii="Times New Roman" w:hAnsi="Times New Roman" w:cs="Times New Roman"/>
              </w:rPr>
              <w:lastRenderedPageBreak/>
              <w:t>15</w:t>
            </w:r>
          </w:p>
        </w:tc>
        <w:tc>
          <w:tcPr>
            <w:tcW w:w="1823" w:type="dxa"/>
          </w:tcPr>
          <w:p w14:paraId="66CB4CC0" w14:textId="69BF9D7E" w:rsidR="001C0AE5" w:rsidRPr="0053014B" w:rsidRDefault="001C0AE5" w:rsidP="001C0AE5">
            <w:pPr>
              <w:rPr>
                <w:rFonts w:ascii="Times New Roman" w:hAnsi="Times New Roman" w:cs="Times New Roman"/>
              </w:rPr>
            </w:pPr>
            <w:r w:rsidRPr="0053014B">
              <w:rPr>
                <w:rFonts w:ascii="Times New Roman" w:hAnsi="Times New Roman" w:cs="Times New Roman"/>
              </w:rPr>
              <w:t>173-303-630(3)(a) and (b)</w:t>
            </w:r>
          </w:p>
        </w:tc>
        <w:tc>
          <w:tcPr>
            <w:tcW w:w="8978" w:type="dxa"/>
          </w:tcPr>
          <w:p w14:paraId="204C4A47" w14:textId="2D1F5DAD" w:rsidR="001C0AE5" w:rsidRPr="0053014B" w:rsidRDefault="001C0AE5" w:rsidP="001C0AE5">
            <w:pPr>
              <w:rPr>
                <w:rFonts w:ascii="Times New Roman" w:hAnsi="Times New Roman" w:cs="Times New Roman"/>
              </w:rPr>
            </w:pPr>
            <w:r w:rsidRPr="0053014B">
              <w:rPr>
                <w:rFonts w:ascii="Times New Roman" w:hAnsi="Times New Roman" w:cs="Times New Roman"/>
              </w:rPr>
              <w:t>Our concerns regarding Ecology’s proposed label size requirement for SAAs also extend to permitted container storage. We request that the proposed label size requirement not apply to containers having 20 liters or less capacity.</w:t>
            </w:r>
          </w:p>
        </w:tc>
        <w:tc>
          <w:tcPr>
            <w:tcW w:w="1267" w:type="dxa"/>
          </w:tcPr>
          <w:p w14:paraId="29CA482E" w14:textId="6DF1C039" w:rsidR="001C0AE5" w:rsidRPr="0053014B" w:rsidRDefault="001C0AE5" w:rsidP="001C0AE5">
            <w:pPr>
              <w:rPr>
                <w:rFonts w:ascii="Times New Roman" w:hAnsi="Times New Roman" w:cs="Times New Roman"/>
              </w:rPr>
            </w:pPr>
            <w:r w:rsidRPr="0053014B">
              <w:rPr>
                <w:rFonts w:ascii="Times New Roman" w:hAnsi="Times New Roman" w:cs="Times New Roman"/>
              </w:rPr>
              <w:t>PNNL</w:t>
            </w:r>
          </w:p>
        </w:tc>
      </w:tr>
      <w:tr w:rsidR="003F5FE2" w:rsidRPr="0053014B" w14:paraId="17504E9F" w14:textId="77777777" w:rsidTr="008E4CAA">
        <w:tc>
          <w:tcPr>
            <w:tcW w:w="12595" w:type="dxa"/>
            <w:gridSpan w:val="4"/>
          </w:tcPr>
          <w:p w14:paraId="6115AB0F" w14:textId="10AFC23F" w:rsidR="003F5FE2" w:rsidRPr="0053014B" w:rsidRDefault="003F5FE2" w:rsidP="003F5FE2">
            <w:pPr>
              <w:jc w:val="center"/>
              <w:rPr>
                <w:rFonts w:ascii="Times New Roman" w:hAnsi="Times New Roman" w:cs="Times New Roman"/>
              </w:rPr>
            </w:pPr>
            <w:r>
              <w:rPr>
                <w:rFonts w:ascii="Times New Roman" w:hAnsi="Times New Roman" w:cs="Times New Roman"/>
                <w:b/>
              </w:rPr>
              <w:t>Comments on Ecology’s Response to Comments</w:t>
            </w:r>
          </w:p>
        </w:tc>
      </w:tr>
      <w:tr w:rsidR="004D14B5" w:rsidRPr="0053014B" w14:paraId="1EFB6787" w14:textId="77777777" w:rsidTr="008F2058">
        <w:tc>
          <w:tcPr>
            <w:tcW w:w="527" w:type="dxa"/>
          </w:tcPr>
          <w:p w14:paraId="24A484AD" w14:textId="2DA5ED32" w:rsidR="00432BF3" w:rsidRPr="0053014B" w:rsidRDefault="004D14B5" w:rsidP="001C0AE5">
            <w:pPr>
              <w:jc w:val="center"/>
              <w:rPr>
                <w:rFonts w:ascii="Times New Roman" w:hAnsi="Times New Roman" w:cs="Times New Roman"/>
              </w:rPr>
            </w:pPr>
            <w:r>
              <w:rPr>
                <w:rFonts w:ascii="Times New Roman" w:hAnsi="Times New Roman" w:cs="Times New Roman"/>
              </w:rPr>
              <w:t>16</w:t>
            </w:r>
          </w:p>
        </w:tc>
        <w:tc>
          <w:tcPr>
            <w:tcW w:w="1823" w:type="dxa"/>
          </w:tcPr>
          <w:p w14:paraId="5682A568" w14:textId="7D2A98BE" w:rsidR="00432BF3" w:rsidRPr="0053014B" w:rsidRDefault="0065226C" w:rsidP="003D2EE7">
            <w:pPr>
              <w:rPr>
                <w:rFonts w:ascii="Times New Roman" w:hAnsi="Times New Roman" w:cs="Times New Roman"/>
              </w:rPr>
            </w:pPr>
            <w:r w:rsidRPr="0053014B">
              <w:rPr>
                <w:rFonts w:ascii="Times New Roman" w:hAnsi="Times New Roman" w:cs="Times New Roman"/>
              </w:rPr>
              <w:t>Comment O-1-58</w:t>
            </w:r>
          </w:p>
        </w:tc>
        <w:tc>
          <w:tcPr>
            <w:tcW w:w="8978" w:type="dxa"/>
          </w:tcPr>
          <w:p w14:paraId="5D80370C" w14:textId="77777777" w:rsidR="0065226C" w:rsidRPr="0053014B" w:rsidRDefault="0065226C" w:rsidP="0065226C">
            <w:pPr>
              <w:rPr>
                <w:rFonts w:ascii="Times New Roman" w:hAnsi="Times New Roman" w:cs="Times New Roman"/>
              </w:rPr>
            </w:pPr>
            <w:r w:rsidRPr="0053014B">
              <w:rPr>
                <w:rFonts w:ascii="Times New Roman" w:hAnsi="Times New Roman" w:cs="Times New Roman"/>
              </w:rPr>
              <w:t>Ecology stated:</w:t>
            </w:r>
          </w:p>
          <w:p w14:paraId="1ACCBD13" w14:textId="77777777" w:rsidR="0065226C" w:rsidRPr="0053014B" w:rsidRDefault="0065226C" w:rsidP="0065226C">
            <w:pPr>
              <w:rPr>
                <w:rFonts w:ascii="Times New Roman" w:hAnsi="Times New Roman" w:cs="Times New Roman"/>
              </w:rPr>
            </w:pPr>
          </w:p>
          <w:p w14:paraId="47458945" w14:textId="3B7E4317" w:rsidR="0065226C" w:rsidRPr="0053014B" w:rsidRDefault="0065226C" w:rsidP="0065226C">
            <w:pPr>
              <w:rPr>
                <w:rFonts w:ascii="Times New Roman" w:hAnsi="Times New Roman" w:cs="Times New Roman"/>
                <w:b/>
                <w:u w:val="single"/>
              </w:rPr>
            </w:pPr>
            <w:r w:rsidRPr="0053014B">
              <w:rPr>
                <w:rFonts w:ascii="Times New Roman" w:hAnsi="Times New Roman" w:cs="Times New Roman"/>
              </w:rPr>
              <w:t xml:space="preserve">“As for SQGs, under current federal and state regulations, the satellite accumulation standards are not, and have not, been available for SQGs to practice. To allow SQGs to practice satellite accumulation would be less stringent then the federal RCRA program. In addition, current regulations (which are not proposed to change) allow SQGs to treat their own waste if they are also a permitted final or interim status facility, or permitted to manage municipal solid waste, or permitted to manage moderate risk waste. Sections -170 and -200 allow LQGs and MQGs to practice TBG. </w:t>
            </w:r>
            <w:r w:rsidRPr="0053014B">
              <w:rPr>
                <w:rFonts w:ascii="Times New Roman" w:hAnsi="Times New Roman" w:cs="Times New Roman"/>
                <w:i/>
              </w:rPr>
              <w:t xml:space="preserve">SQGs can’t take advantage of this set of regulations. To allow this by rule would be less stringent then the federal RCRA program.”  </w:t>
            </w:r>
            <w:r w:rsidRPr="0053014B">
              <w:rPr>
                <w:rFonts w:ascii="Times New Roman" w:hAnsi="Times New Roman" w:cs="Times New Roman"/>
              </w:rPr>
              <w:t>(Emphasis added)</w:t>
            </w:r>
          </w:p>
          <w:p w14:paraId="7274277A" w14:textId="77777777" w:rsidR="00432BF3" w:rsidRPr="0053014B" w:rsidRDefault="00432BF3" w:rsidP="00432BF3">
            <w:pPr>
              <w:rPr>
                <w:rFonts w:ascii="Times New Roman" w:hAnsi="Times New Roman" w:cs="Times New Roman"/>
              </w:rPr>
            </w:pPr>
          </w:p>
          <w:p w14:paraId="6D1B7984" w14:textId="58DA7E1C" w:rsidR="00432BF3" w:rsidRPr="0053014B" w:rsidRDefault="0065226C" w:rsidP="00432BF3">
            <w:pPr>
              <w:rPr>
                <w:rFonts w:ascii="Times New Roman" w:hAnsi="Times New Roman" w:cs="Times New Roman"/>
                <w:b/>
                <w:u w:val="single"/>
              </w:rPr>
            </w:pPr>
            <w:r w:rsidRPr="0053014B">
              <w:rPr>
                <w:rFonts w:ascii="Times New Roman" w:hAnsi="Times New Roman" w:cs="Times New Roman"/>
                <w:b/>
                <w:u w:val="single"/>
              </w:rPr>
              <w:t xml:space="preserve">CHPRC </w:t>
            </w:r>
            <w:r w:rsidR="00432BF3" w:rsidRPr="0053014B">
              <w:rPr>
                <w:rFonts w:ascii="Times New Roman" w:hAnsi="Times New Roman" w:cs="Times New Roman"/>
                <w:b/>
                <w:u w:val="single"/>
              </w:rPr>
              <w:t>Comment:</w:t>
            </w:r>
          </w:p>
          <w:p w14:paraId="54B4F8D8" w14:textId="77777777" w:rsidR="0065226C" w:rsidRPr="0053014B" w:rsidRDefault="0065226C" w:rsidP="0065226C">
            <w:pPr>
              <w:rPr>
                <w:rFonts w:ascii="Times New Roman" w:hAnsi="Times New Roman" w:cs="Times New Roman"/>
              </w:rPr>
            </w:pPr>
            <w:r w:rsidRPr="0053014B">
              <w:rPr>
                <w:rFonts w:ascii="Times New Roman" w:hAnsi="Times New Roman" w:cs="Times New Roman"/>
              </w:rPr>
              <w:t>Ecology’s statement that SQGs are not eligible to accumulate waste in satellite accumulation areas contradicts EPA guidance, “Hazardous Waste Generated in Laboratories”, RO 14618</w:t>
            </w:r>
          </w:p>
          <w:p w14:paraId="3DBB6118" w14:textId="77777777" w:rsidR="0065226C" w:rsidRPr="0053014B" w:rsidRDefault="0065226C" w:rsidP="0065226C">
            <w:pPr>
              <w:rPr>
                <w:rFonts w:ascii="Times New Roman" w:hAnsi="Times New Roman" w:cs="Times New Roman"/>
              </w:rPr>
            </w:pPr>
          </w:p>
          <w:p w14:paraId="58889B67" w14:textId="77777777" w:rsidR="0065226C" w:rsidRPr="0053014B" w:rsidRDefault="0065226C" w:rsidP="0065226C">
            <w:pPr>
              <w:autoSpaceDE w:val="0"/>
              <w:autoSpaceDN w:val="0"/>
              <w:adjustRightInd w:val="0"/>
              <w:rPr>
                <w:rFonts w:ascii="Times New Roman" w:hAnsi="Times New Roman" w:cs="Times New Roman"/>
              </w:rPr>
            </w:pPr>
            <w:r w:rsidRPr="0053014B">
              <w:rPr>
                <w:rFonts w:ascii="Times New Roman" w:hAnsi="Times New Roman" w:cs="Times New Roman"/>
              </w:rPr>
              <w:t>“Many of the hazardous wastes managed at academic institutions are produced and initially accumulated in research laboratories. The satellite accumulation provisions of 40 CFR 262.34(c) allow for reduced requirements for hazardous waste accumulated in containers at or near any point of generation. Both LQGs and SQGs may take advantage of the reduced requirements while hazardous waste is in satellite accumulation areas, such as laboratories, provided the waste is managed in accordance with the provisions of 40 CFR 262.34(c) (e.g., properly labeled).”</w:t>
            </w:r>
          </w:p>
          <w:p w14:paraId="0BBE956A" w14:textId="77777777" w:rsidR="0065226C" w:rsidRPr="0053014B" w:rsidRDefault="0065226C" w:rsidP="0065226C">
            <w:pPr>
              <w:autoSpaceDE w:val="0"/>
              <w:autoSpaceDN w:val="0"/>
              <w:adjustRightInd w:val="0"/>
              <w:rPr>
                <w:rFonts w:ascii="Times New Roman" w:hAnsi="Times New Roman" w:cs="Times New Roman"/>
              </w:rPr>
            </w:pPr>
          </w:p>
          <w:p w14:paraId="6654E17C" w14:textId="2976B291" w:rsidR="00432BF3" w:rsidRPr="0053014B" w:rsidRDefault="0065226C" w:rsidP="0065226C">
            <w:pPr>
              <w:rPr>
                <w:rFonts w:ascii="Times New Roman" w:hAnsi="Times New Roman" w:cs="Times New Roman"/>
              </w:rPr>
            </w:pPr>
            <w:r w:rsidRPr="0053014B">
              <w:rPr>
                <w:rFonts w:ascii="Times New Roman" w:hAnsi="Times New Roman" w:cs="Times New Roman"/>
              </w:rPr>
              <w:t>Note that the above guidance would apply to any LQG or SQG and was written before the academic entities regulations at 40 CFR 262, Subpart K.</w:t>
            </w:r>
          </w:p>
          <w:p w14:paraId="5403C724" w14:textId="77777777" w:rsidR="0065226C" w:rsidRPr="0053014B" w:rsidRDefault="0065226C" w:rsidP="001C0AE5">
            <w:pPr>
              <w:rPr>
                <w:rFonts w:ascii="Times New Roman" w:hAnsi="Times New Roman" w:cs="Times New Roman"/>
              </w:rPr>
            </w:pPr>
          </w:p>
          <w:p w14:paraId="6D106856" w14:textId="55C3CFB2" w:rsidR="0065226C" w:rsidRPr="0053014B" w:rsidRDefault="0065226C" w:rsidP="001C0AE5">
            <w:pPr>
              <w:rPr>
                <w:rFonts w:ascii="Times New Roman" w:hAnsi="Times New Roman" w:cs="Times New Roman"/>
              </w:rPr>
            </w:pPr>
          </w:p>
        </w:tc>
        <w:tc>
          <w:tcPr>
            <w:tcW w:w="1267" w:type="dxa"/>
          </w:tcPr>
          <w:p w14:paraId="297F981D" w14:textId="2333C196" w:rsidR="00432BF3" w:rsidRPr="0053014B" w:rsidRDefault="0065226C" w:rsidP="001C0AE5">
            <w:pPr>
              <w:rPr>
                <w:rFonts w:ascii="Times New Roman" w:hAnsi="Times New Roman" w:cs="Times New Roman"/>
              </w:rPr>
            </w:pPr>
            <w:r w:rsidRPr="0053014B">
              <w:rPr>
                <w:rFonts w:ascii="Times New Roman" w:hAnsi="Times New Roman" w:cs="Times New Roman"/>
              </w:rPr>
              <w:t>CHPRC</w:t>
            </w:r>
          </w:p>
        </w:tc>
      </w:tr>
      <w:tr w:rsidR="008F2058" w:rsidRPr="0053014B" w14:paraId="43D084CF" w14:textId="77777777" w:rsidTr="00EB1C21">
        <w:tc>
          <w:tcPr>
            <w:tcW w:w="12595" w:type="dxa"/>
            <w:gridSpan w:val="4"/>
          </w:tcPr>
          <w:p w14:paraId="46F35D44" w14:textId="0F0DB079" w:rsidR="008F2058" w:rsidRDefault="008F2058" w:rsidP="001C0AE5">
            <w:pPr>
              <w:rPr>
                <w:rFonts w:ascii="Times New Roman" w:hAnsi="Times New Roman" w:cs="Times New Roman"/>
              </w:rPr>
            </w:pPr>
            <w:r>
              <w:rPr>
                <w:rFonts w:ascii="Times New Roman" w:hAnsi="Times New Roman" w:cs="Times New Roman"/>
              </w:rPr>
              <w:t xml:space="preserve">Additional comments: </w:t>
            </w:r>
          </w:p>
          <w:p w14:paraId="2BD781A5" w14:textId="77777777" w:rsidR="008F2058" w:rsidRDefault="008F2058" w:rsidP="001C0AE5">
            <w:pPr>
              <w:rPr>
                <w:rFonts w:ascii="Times New Roman" w:hAnsi="Times New Roman" w:cs="Times New Roman"/>
              </w:rPr>
            </w:pPr>
          </w:p>
          <w:p w14:paraId="5011A7D6" w14:textId="5F36C07B" w:rsidR="008F2058" w:rsidRPr="00F95746" w:rsidRDefault="008F2058" w:rsidP="008F2058">
            <w:pPr>
              <w:rPr>
                <w:rFonts w:ascii="Times New Roman" w:hAnsi="Times New Roman" w:cs="Times New Roman"/>
              </w:rPr>
            </w:pPr>
            <w:r>
              <w:rPr>
                <w:rFonts w:ascii="Times New Roman" w:hAnsi="Times New Roman" w:cs="Times New Roman"/>
              </w:rPr>
              <w:t>WAC 173-303-070(b): the addition of “</w:t>
            </w:r>
            <w:r w:rsidRPr="00F95746">
              <w:rPr>
                <w:rFonts w:ascii="Times New Roman" w:hAnsi="Times New Roman" w:cs="Times New Roman"/>
              </w:rPr>
              <w:t xml:space="preserve">or who discovers an unknown material,” is </w:t>
            </w:r>
            <w:r w:rsidR="009A6B82" w:rsidRPr="00F95746">
              <w:rPr>
                <w:rFonts w:ascii="Times New Roman" w:hAnsi="Times New Roman" w:cs="Times New Roman"/>
              </w:rPr>
              <w:t>concerning</w:t>
            </w:r>
            <w:r w:rsidRPr="00F95746">
              <w:rPr>
                <w:rFonts w:ascii="Times New Roman" w:hAnsi="Times New Roman" w:cs="Times New Roman"/>
              </w:rPr>
              <w:t xml:space="preserve">, especially since it requires, “an accurate determination” of whether the waste designates. </w:t>
            </w:r>
          </w:p>
          <w:p w14:paraId="6B7307D1" w14:textId="44BCE918" w:rsidR="008F2058" w:rsidRPr="00F95746" w:rsidRDefault="008F2058" w:rsidP="008F2058">
            <w:pPr>
              <w:rPr>
                <w:rFonts w:ascii="Times New Roman" w:hAnsi="Times New Roman" w:cs="Times New Roman"/>
              </w:rPr>
            </w:pPr>
            <w:r w:rsidRPr="00F95746">
              <w:rPr>
                <w:rFonts w:ascii="Times New Roman" w:hAnsi="Times New Roman" w:cs="Times New Roman"/>
              </w:rPr>
              <w:lastRenderedPageBreak/>
              <w:t xml:space="preserve">Also, the addition of </w:t>
            </w:r>
            <w:r w:rsidR="00F95746">
              <w:rPr>
                <w:rFonts w:ascii="Times New Roman" w:hAnsi="Times New Roman" w:cs="Times New Roman"/>
              </w:rPr>
              <w:t>WAC 173-303-070</w:t>
            </w:r>
            <w:r w:rsidR="00F95746" w:rsidRPr="00F95746">
              <w:rPr>
                <w:rFonts w:ascii="Times New Roman" w:hAnsi="Times New Roman" w:cs="Times New Roman"/>
              </w:rPr>
              <w:t xml:space="preserve"> </w:t>
            </w:r>
            <w:r w:rsidRPr="00F95746">
              <w:rPr>
                <w:rFonts w:ascii="Times New Roman" w:hAnsi="Times New Roman" w:cs="Times New Roman"/>
              </w:rPr>
              <w:t xml:space="preserve">(3)(a) seems problematic: </w:t>
            </w:r>
          </w:p>
          <w:p w14:paraId="42F1F6B9" w14:textId="77777777" w:rsidR="008F2058" w:rsidRDefault="008F2058" w:rsidP="008F2058">
            <w:pPr>
              <w:rPr>
                <w:rFonts w:ascii="Times New Roman" w:hAnsi="Times New Roman" w:cs="Times New Roman"/>
              </w:rPr>
            </w:pPr>
            <w:r w:rsidRPr="00F95746">
              <w:rPr>
                <w:rFonts w:ascii="Times New Roman" w:hAnsi="Times New Roman" w:cs="Times New Roman"/>
              </w:rPr>
              <w:t xml:space="preserve">“The dangerous waste designation for each solid waste must begin immediately at the point of waste generation or upon the discovery of an unknown material…”  </w:t>
            </w:r>
            <w:r w:rsidRPr="00F95746">
              <w:rPr>
                <w:rFonts w:ascii="Times New Roman" w:hAnsi="Times New Roman" w:cs="Times New Roman"/>
                <w:b/>
              </w:rPr>
              <w:t>IMMEDIATELY</w:t>
            </w:r>
            <w:r w:rsidRPr="00F95746">
              <w:rPr>
                <w:rFonts w:ascii="Times New Roman" w:hAnsi="Times New Roman" w:cs="Times New Roman"/>
              </w:rPr>
              <w:t xml:space="preserve"> is not defined.  We’ve also argued that in some cases we do not know the point of generation. </w:t>
            </w:r>
          </w:p>
          <w:p w14:paraId="5A6ABAE8" w14:textId="77777777" w:rsidR="00F95746" w:rsidRDefault="00F95746" w:rsidP="008F2058">
            <w:pPr>
              <w:rPr>
                <w:rFonts w:ascii="Times New Roman" w:hAnsi="Times New Roman" w:cs="Times New Roman"/>
              </w:rPr>
            </w:pPr>
          </w:p>
          <w:p w14:paraId="66FF2CF3" w14:textId="0259AF93" w:rsidR="00BF5C97" w:rsidRPr="00697EAD" w:rsidRDefault="00BF5C97" w:rsidP="00BF5C97">
            <w:pPr>
              <w:rPr>
                <w:rFonts w:ascii="Times New Roman" w:hAnsi="Times New Roman" w:cs="Times New Roman"/>
              </w:rPr>
            </w:pPr>
            <w:r>
              <w:rPr>
                <w:rFonts w:ascii="Times New Roman" w:hAnsi="Times New Roman" w:cs="Times New Roman"/>
              </w:rPr>
              <w:t>WAC 173-303-180(10)(a)(i</w:t>
            </w:r>
            <w:bookmarkStart w:id="1" w:name="_GoBack"/>
            <w:bookmarkEnd w:id="1"/>
            <w:r>
              <w:rPr>
                <w:rFonts w:ascii="Times New Roman" w:hAnsi="Times New Roman" w:cs="Times New Roman"/>
              </w:rPr>
              <w:t>) MANIFEST PAGE 103:</w:t>
            </w:r>
            <w:r w:rsidRPr="00697EAD">
              <w:rPr>
                <w:rFonts w:ascii="Times New Roman" w:hAnsi="Times New Roman" w:cs="Times New Roman"/>
              </w:rPr>
              <w:t xml:space="preserve"> “Any requirement in this section to sign a manifest or manifest certification by hand, or to obtain a handwritten signature, is satisfied by signing with or obtaining a valid and enforceable electronic signature within the meaning of subsection (11) of this section.” </w:t>
            </w:r>
          </w:p>
          <w:p w14:paraId="2355F6B2" w14:textId="3789ECAC" w:rsidR="00BF5C97" w:rsidRPr="00697EAD" w:rsidRDefault="00BF5C97" w:rsidP="00697EAD">
            <w:pPr>
              <w:pStyle w:val="ListParagraph"/>
              <w:numPr>
                <w:ilvl w:val="0"/>
                <w:numId w:val="3"/>
              </w:numPr>
              <w:rPr>
                <w:rFonts w:ascii="Times New Roman" w:hAnsi="Times New Roman" w:cs="Times New Roman"/>
              </w:rPr>
            </w:pPr>
            <w:r w:rsidRPr="00697EAD">
              <w:rPr>
                <w:rFonts w:ascii="Times New Roman" w:hAnsi="Times New Roman" w:cs="Times New Roman"/>
              </w:rPr>
              <w:t>SEE ALSO-- WAC 173-303-200(d)—PAGE 105 “…The generator must keep a written or electronic inspection log including at least the date and time of the inspection, the printed name and the handwritten or electronic signature of the inspector, a notation of the observations made and the date and nature of any repairs or remedial actions taken.”</w:t>
            </w:r>
          </w:p>
          <w:p w14:paraId="5564DF12" w14:textId="2FAEA2B9" w:rsidR="00F95746" w:rsidRPr="00697EAD" w:rsidRDefault="00BF5C97" w:rsidP="00697EAD">
            <w:pPr>
              <w:pStyle w:val="ListParagraph"/>
              <w:numPr>
                <w:ilvl w:val="0"/>
                <w:numId w:val="3"/>
              </w:numPr>
              <w:rPr>
                <w:rFonts w:ascii="Times New Roman" w:hAnsi="Times New Roman" w:cs="Times New Roman"/>
              </w:rPr>
            </w:pPr>
            <w:r w:rsidRPr="00697EAD">
              <w:rPr>
                <w:rFonts w:ascii="Times New Roman" w:hAnsi="Times New Roman" w:cs="Times New Roman"/>
              </w:rPr>
              <w:t xml:space="preserve">How do these modifications impact the disagreement regarding requirement to have a “written name?”  Is that now moot?  </w:t>
            </w:r>
          </w:p>
          <w:p w14:paraId="6256B324" w14:textId="77777777" w:rsidR="00BF5C97" w:rsidRDefault="00BF5C97" w:rsidP="00BF5C97"/>
          <w:p w14:paraId="171CB821" w14:textId="589D676C" w:rsidR="00697EAD" w:rsidRPr="0053014B" w:rsidRDefault="00643963" w:rsidP="006058FE">
            <w:pPr>
              <w:rPr>
                <w:rFonts w:ascii="Times New Roman" w:hAnsi="Times New Roman" w:cs="Times New Roman"/>
              </w:rPr>
            </w:pPr>
            <w:r>
              <w:rPr>
                <w:rFonts w:ascii="Times New Roman" w:hAnsi="Times New Roman" w:cs="Times New Roman"/>
              </w:rPr>
              <w:t>WAC 173-303-630(3)(b)(ii)</w:t>
            </w:r>
            <w:r w:rsidR="006058FE">
              <w:rPr>
                <w:rFonts w:ascii="Times New Roman" w:hAnsi="Times New Roman" w:cs="Times New Roman"/>
              </w:rPr>
              <w:t xml:space="preserve">—Page 238.  </w:t>
            </w:r>
            <w:r>
              <w:rPr>
                <w:rFonts w:ascii="Times New Roman" w:hAnsi="Times New Roman" w:cs="Times New Roman"/>
              </w:rPr>
              <w:t xml:space="preserve">No comment on removal of the Note that allows DOE to use another labeling system?  </w:t>
            </w:r>
          </w:p>
        </w:tc>
      </w:tr>
    </w:tbl>
    <w:p w14:paraId="3713F6DE" w14:textId="77777777" w:rsidR="005A1C45" w:rsidRDefault="00171FFD"/>
    <w:sectPr w:rsidR="005A1C45" w:rsidSect="005342E4">
      <w:headerReference w:type="default" r:id="rId10"/>
      <w:footerReference w:type="default" r:id="rId11"/>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errano, Simon P" w:date="2018-10-02T10:50:00Z" w:initials="SSP">
    <w:p w14:paraId="61B55F83" w14:textId="77777777" w:rsidR="008F2058" w:rsidRDefault="008F2058">
      <w:pPr>
        <w:pStyle w:val="CommentText"/>
      </w:pPr>
      <w:r>
        <w:rPr>
          <w:rStyle w:val="CommentReference"/>
        </w:rPr>
        <w:annotationRef/>
      </w:r>
      <w:r>
        <w:t xml:space="preserve">Looks like this is text from wrong version. </w:t>
      </w:r>
    </w:p>
    <w:p w14:paraId="0B6E13F2" w14:textId="77777777" w:rsidR="008F2058" w:rsidRDefault="008F2058">
      <w:pPr>
        <w:pStyle w:val="CommentText"/>
      </w:pPr>
    </w:p>
    <w:p w14:paraId="24CEC1C4" w14:textId="59B16E8A" w:rsidR="008F2058" w:rsidRDefault="008F2058">
      <w:pPr>
        <w:pStyle w:val="CommentText"/>
      </w:pPr>
      <w:r>
        <w:t>Page 35 of proposed regs reads:</w:t>
      </w:r>
    </w:p>
    <w:p w14:paraId="621E5A16" w14:textId="3AB12BA4" w:rsidR="008F2058" w:rsidRDefault="008F2058" w:rsidP="008F2058">
      <w:pPr>
        <w:pStyle w:val="CommentText"/>
      </w:pPr>
      <w:r>
        <w:t>"Weekly inspections" means at least once during the period from Sunday to Saturday.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1E5A1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5756F" w14:textId="77777777" w:rsidR="00A47CF0" w:rsidRDefault="00A47CF0" w:rsidP="005342E4">
      <w:pPr>
        <w:spacing w:after="0" w:line="240" w:lineRule="auto"/>
      </w:pPr>
      <w:r>
        <w:separator/>
      </w:r>
    </w:p>
  </w:endnote>
  <w:endnote w:type="continuationSeparator" w:id="0">
    <w:p w14:paraId="43103D11" w14:textId="77777777" w:rsidR="00A47CF0" w:rsidRDefault="00A47CF0" w:rsidP="0053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NewPSMT">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368912"/>
      <w:docPartObj>
        <w:docPartGallery w:val="Page Numbers (Bottom of Page)"/>
        <w:docPartUnique/>
      </w:docPartObj>
    </w:sdtPr>
    <w:sdtEndPr>
      <w:rPr>
        <w:noProof/>
      </w:rPr>
    </w:sdtEndPr>
    <w:sdtContent>
      <w:p w14:paraId="2AD5C9A1" w14:textId="5B54D6EE" w:rsidR="0063504F" w:rsidRDefault="0063504F">
        <w:pPr>
          <w:pStyle w:val="Footer"/>
          <w:jc w:val="center"/>
        </w:pPr>
        <w:r>
          <w:fldChar w:fldCharType="begin"/>
        </w:r>
        <w:r>
          <w:instrText xml:space="preserve"> PAGE   \* MERGEFORMAT </w:instrText>
        </w:r>
        <w:r>
          <w:fldChar w:fldCharType="separate"/>
        </w:r>
        <w:r w:rsidR="00171FFD">
          <w:rPr>
            <w:noProof/>
          </w:rPr>
          <w:t>12</w:t>
        </w:r>
        <w:r>
          <w:rPr>
            <w:noProof/>
          </w:rPr>
          <w:fldChar w:fldCharType="end"/>
        </w:r>
      </w:p>
    </w:sdtContent>
  </w:sdt>
  <w:p w14:paraId="66A4E793" w14:textId="77777777" w:rsidR="005342E4" w:rsidRPr="005342E4" w:rsidRDefault="005342E4" w:rsidP="005342E4">
    <w:pPr>
      <w:pStyle w:val="Footer"/>
      <w:tabs>
        <w:tab w:val="clear" w:pos="4680"/>
        <w:tab w:val="clear" w:pos="9360"/>
        <w:tab w:val="left" w:pos="11160"/>
      </w:tabs>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83CF0" w14:textId="77777777" w:rsidR="00A47CF0" w:rsidRDefault="00A47CF0" w:rsidP="005342E4">
      <w:pPr>
        <w:spacing w:after="0" w:line="240" w:lineRule="auto"/>
      </w:pPr>
      <w:r>
        <w:separator/>
      </w:r>
    </w:p>
  </w:footnote>
  <w:footnote w:type="continuationSeparator" w:id="0">
    <w:p w14:paraId="38BAF3BE" w14:textId="77777777" w:rsidR="00A47CF0" w:rsidRDefault="00A47CF0" w:rsidP="00534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BF80F" w14:textId="77777777" w:rsidR="005342E4" w:rsidRPr="0063504F" w:rsidRDefault="005342E4" w:rsidP="005342E4">
    <w:pPr>
      <w:pStyle w:val="Header"/>
      <w:jc w:val="center"/>
      <w:rPr>
        <w:rFonts w:ascii="Times New Roman" w:hAnsi="Times New Roman" w:cs="Times New Roman"/>
        <w:b/>
      </w:rPr>
    </w:pPr>
    <w:r w:rsidRPr="0063504F">
      <w:rPr>
        <w:rFonts w:ascii="Times New Roman" w:hAnsi="Times New Roman" w:cs="Times New Roman"/>
        <w:b/>
      </w:rPr>
      <w:t xml:space="preserve">DOE Hanford Site Contractor Comments on </w:t>
    </w:r>
    <w:r w:rsidR="00846333">
      <w:rPr>
        <w:rFonts w:ascii="Times New Roman" w:hAnsi="Times New Roman" w:cs="Times New Roman"/>
        <w:b/>
      </w:rPr>
      <w:t xml:space="preserve">Proposed Amendments to </w:t>
    </w:r>
    <w:r w:rsidRPr="0063504F">
      <w:rPr>
        <w:rFonts w:ascii="Times New Roman" w:hAnsi="Times New Roman" w:cs="Times New Roman"/>
        <w:b/>
      </w:rPr>
      <w:t xml:space="preserve">WAC 173-303 Dangerous Waste </w:t>
    </w:r>
    <w:r w:rsidR="00846333">
      <w:rPr>
        <w:rFonts w:ascii="Times New Roman" w:hAnsi="Times New Roman" w:cs="Times New Roman"/>
        <w:b/>
      </w:rPr>
      <w:t>Regulations</w:t>
    </w:r>
  </w:p>
  <w:p w14:paraId="72082D77" w14:textId="77777777" w:rsidR="005342E4" w:rsidRDefault="00534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512C7"/>
    <w:multiLevelType w:val="hybridMultilevel"/>
    <w:tmpl w:val="1E76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B1571"/>
    <w:multiLevelType w:val="hybridMultilevel"/>
    <w:tmpl w:val="0492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71E92"/>
    <w:multiLevelType w:val="hybridMultilevel"/>
    <w:tmpl w:val="FD50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rano, Simon P">
    <w15:presenceInfo w15:providerId="None" w15:userId="Serrano, Simon 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E4"/>
    <w:rsid w:val="0000599E"/>
    <w:rsid w:val="00035E82"/>
    <w:rsid w:val="00037187"/>
    <w:rsid w:val="00055948"/>
    <w:rsid w:val="0005722B"/>
    <w:rsid w:val="000578F9"/>
    <w:rsid w:val="000646D0"/>
    <w:rsid w:val="000674B4"/>
    <w:rsid w:val="00075426"/>
    <w:rsid w:val="00090043"/>
    <w:rsid w:val="0009493B"/>
    <w:rsid w:val="0009605E"/>
    <w:rsid w:val="000A5054"/>
    <w:rsid w:val="000B74A9"/>
    <w:rsid w:val="0012293C"/>
    <w:rsid w:val="00124851"/>
    <w:rsid w:val="00126215"/>
    <w:rsid w:val="00137DCE"/>
    <w:rsid w:val="00151169"/>
    <w:rsid w:val="00171F8C"/>
    <w:rsid w:val="00171FFD"/>
    <w:rsid w:val="00172EAE"/>
    <w:rsid w:val="001A2228"/>
    <w:rsid w:val="001B7B0A"/>
    <w:rsid w:val="001B7FDD"/>
    <w:rsid w:val="001C0AE5"/>
    <w:rsid w:val="001C446D"/>
    <w:rsid w:val="002014D8"/>
    <w:rsid w:val="002033A7"/>
    <w:rsid w:val="00207208"/>
    <w:rsid w:val="00211504"/>
    <w:rsid w:val="00212F45"/>
    <w:rsid w:val="002213A0"/>
    <w:rsid w:val="0022468F"/>
    <w:rsid w:val="0022620D"/>
    <w:rsid w:val="0023492E"/>
    <w:rsid w:val="00247B16"/>
    <w:rsid w:val="002824CB"/>
    <w:rsid w:val="0029047E"/>
    <w:rsid w:val="002973BC"/>
    <w:rsid w:val="002B3B4E"/>
    <w:rsid w:val="002D7BFB"/>
    <w:rsid w:val="002E3B76"/>
    <w:rsid w:val="002E72D7"/>
    <w:rsid w:val="002F3905"/>
    <w:rsid w:val="002F39F1"/>
    <w:rsid w:val="00313FE9"/>
    <w:rsid w:val="00314A51"/>
    <w:rsid w:val="003349C2"/>
    <w:rsid w:val="00365269"/>
    <w:rsid w:val="0036783F"/>
    <w:rsid w:val="00376518"/>
    <w:rsid w:val="00376C80"/>
    <w:rsid w:val="0039795E"/>
    <w:rsid w:val="003A6A5B"/>
    <w:rsid w:val="003B762A"/>
    <w:rsid w:val="003D2EE7"/>
    <w:rsid w:val="003D5EA3"/>
    <w:rsid w:val="003E26B4"/>
    <w:rsid w:val="003E4E27"/>
    <w:rsid w:val="003E6B28"/>
    <w:rsid w:val="003F5FE2"/>
    <w:rsid w:val="0040198E"/>
    <w:rsid w:val="00410FC4"/>
    <w:rsid w:val="004210D5"/>
    <w:rsid w:val="0042172B"/>
    <w:rsid w:val="004273D5"/>
    <w:rsid w:val="00432BF3"/>
    <w:rsid w:val="00433036"/>
    <w:rsid w:val="00445C62"/>
    <w:rsid w:val="004463A2"/>
    <w:rsid w:val="004545C1"/>
    <w:rsid w:val="00455463"/>
    <w:rsid w:val="00466F10"/>
    <w:rsid w:val="00495C1D"/>
    <w:rsid w:val="00495DC2"/>
    <w:rsid w:val="004A5690"/>
    <w:rsid w:val="004A6CD7"/>
    <w:rsid w:val="004C2A4C"/>
    <w:rsid w:val="004D014F"/>
    <w:rsid w:val="004D14B5"/>
    <w:rsid w:val="004D4639"/>
    <w:rsid w:val="004D7232"/>
    <w:rsid w:val="004E0C15"/>
    <w:rsid w:val="004F6516"/>
    <w:rsid w:val="004F654C"/>
    <w:rsid w:val="004F7903"/>
    <w:rsid w:val="005074A6"/>
    <w:rsid w:val="0051734D"/>
    <w:rsid w:val="00520A09"/>
    <w:rsid w:val="00522EDB"/>
    <w:rsid w:val="00523638"/>
    <w:rsid w:val="0053014B"/>
    <w:rsid w:val="005342E4"/>
    <w:rsid w:val="005445F9"/>
    <w:rsid w:val="00552475"/>
    <w:rsid w:val="00581502"/>
    <w:rsid w:val="0058222B"/>
    <w:rsid w:val="00595ADC"/>
    <w:rsid w:val="00597802"/>
    <w:rsid w:val="005A1BDA"/>
    <w:rsid w:val="005B453D"/>
    <w:rsid w:val="005D4BB0"/>
    <w:rsid w:val="005E2E44"/>
    <w:rsid w:val="005F37D3"/>
    <w:rsid w:val="005F52D2"/>
    <w:rsid w:val="0060101A"/>
    <w:rsid w:val="00603376"/>
    <w:rsid w:val="0060558D"/>
    <w:rsid w:val="006058FE"/>
    <w:rsid w:val="00610095"/>
    <w:rsid w:val="00617590"/>
    <w:rsid w:val="0063504F"/>
    <w:rsid w:val="00643963"/>
    <w:rsid w:val="0065226C"/>
    <w:rsid w:val="00697EAD"/>
    <w:rsid w:val="006A53EC"/>
    <w:rsid w:val="006E2B6D"/>
    <w:rsid w:val="006F4210"/>
    <w:rsid w:val="00720A49"/>
    <w:rsid w:val="00723D96"/>
    <w:rsid w:val="00741A83"/>
    <w:rsid w:val="0074389D"/>
    <w:rsid w:val="00753739"/>
    <w:rsid w:val="007571AF"/>
    <w:rsid w:val="007575C7"/>
    <w:rsid w:val="00761680"/>
    <w:rsid w:val="00763300"/>
    <w:rsid w:val="007739E9"/>
    <w:rsid w:val="007755E8"/>
    <w:rsid w:val="00785BE2"/>
    <w:rsid w:val="00790A43"/>
    <w:rsid w:val="007A7FE7"/>
    <w:rsid w:val="007C0587"/>
    <w:rsid w:val="007C2613"/>
    <w:rsid w:val="007C388E"/>
    <w:rsid w:val="007D5307"/>
    <w:rsid w:val="007E1BD1"/>
    <w:rsid w:val="007F0F3B"/>
    <w:rsid w:val="007F11AD"/>
    <w:rsid w:val="007F1D49"/>
    <w:rsid w:val="00804201"/>
    <w:rsid w:val="00826D10"/>
    <w:rsid w:val="00830FC5"/>
    <w:rsid w:val="00836702"/>
    <w:rsid w:val="00842F4B"/>
    <w:rsid w:val="00845507"/>
    <w:rsid w:val="00846333"/>
    <w:rsid w:val="008714F3"/>
    <w:rsid w:val="00885970"/>
    <w:rsid w:val="008873E4"/>
    <w:rsid w:val="008A5FA0"/>
    <w:rsid w:val="008B0007"/>
    <w:rsid w:val="008B3D0A"/>
    <w:rsid w:val="008B4093"/>
    <w:rsid w:val="008D1FA4"/>
    <w:rsid w:val="008D5275"/>
    <w:rsid w:val="008F17E3"/>
    <w:rsid w:val="008F2058"/>
    <w:rsid w:val="00903E0C"/>
    <w:rsid w:val="0092145C"/>
    <w:rsid w:val="00926417"/>
    <w:rsid w:val="00931566"/>
    <w:rsid w:val="00941BFF"/>
    <w:rsid w:val="009511E4"/>
    <w:rsid w:val="009950AF"/>
    <w:rsid w:val="00996966"/>
    <w:rsid w:val="00996C97"/>
    <w:rsid w:val="00997139"/>
    <w:rsid w:val="009A6B82"/>
    <w:rsid w:val="009B0A9D"/>
    <w:rsid w:val="009B3DA2"/>
    <w:rsid w:val="009B6DBD"/>
    <w:rsid w:val="009E2AE3"/>
    <w:rsid w:val="009F3C53"/>
    <w:rsid w:val="00A37367"/>
    <w:rsid w:val="00A47CF0"/>
    <w:rsid w:val="00A604E4"/>
    <w:rsid w:val="00A760BF"/>
    <w:rsid w:val="00A775E0"/>
    <w:rsid w:val="00A81BB3"/>
    <w:rsid w:val="00A95FB8"/>
    <w:rsid w:val="00AB0CB8"/>
    <w:rsid w:val="00AD0115"/>
    <w:rsid w:val="00AD0942"/>
    <w:rsid w:val="00AD7691"/>
    <w:rsid w:val="00AF156C"/>
    <w:rsid w:val="00AF480A"/>
    <w:rsid w:val="00AF53D6"/>
    <w:rsid w:val="00B3082C"/>
    <w:rsid w:val="00B341E7"/>
    <w:rsid w:val="00B4381D"/>
    <w:rsid w:val="00B46C88"/>
    <w:rsid w:val="00B53117"/>
    <w:rsid w:val="00B86A78"/>
    <w:rsid w:val="00BA6D6F"/>
    <w:rsid w:val="00BA6EFE"/>
    <w:rsid w:val="00BB418F"/>
    <w:rsid w:val="00BC2A1C"/>
    <w:rsid w:val="00BE08E3"/>
    <w:rsid w:val="00BF05BA"/>
    <w:rsid w:val="00BF072C"/>
    <w:rsid w:val="00BF5C97"/>
    <w:rsid w:val="00C0582A"/>
    <w:rsid w:val="00C161CA"/>
    <w:rsid w:val="00C24C96"/>
    <w:rsid w:val="00C51B9F"/>
    <w:rsid w:val="00C53548"/>
    <w:rsid w:val="00C94324"/>
    <w:rsid w:val="00CA1A3F"/>
    <w:rsid w:val="00CB5F79"/>
    <w:rsid w:val="00CC176D"/>
    <w:rsid w:val="00CC21BC"/>
    <w:rsid w:val="00CE28EE"/>
    <w:rsid w:val="00CE6834"/>
    <w:rsid w:val="00CF037B"/>
    <w:rsid w:val="00D02B63"/>
    <w:rsid w:val="00D03B02"/>
    <w:rsid w:val="00D20CC4"/>
    <w:rsid w:val="00D4131C"/>
    <w:rsid w:val="00D413E5"/>
    <w:rsid w:val="00D6210B"/>
    <w:rsid w:val="00D63A2C"/>
    <w:rsid w:val="00D9378F"/>
    <w:rsid w:val="00DA254B"/>
    <w:rsid w:val="00DA5837"/>
    <w:rsid w:val="00DA7868"/>
    <w:rsid w:val="00DB3912"/>
    <w:rsid w:val="00DD7BBE"/>
    <w:rsid w:val="00DE0008"/>
    <w:rsid w:val="00DF451B"/>
    <w:rsid w:val="00DF5D88"/>
    <w:rsid w:val="00E123AE"/>
    <w:rsid w:val="00E258DB"/>
    <w:rsid w:val="00E37956"/>
    <w:rsid w:val="00E52F51"/>
    <w:rsid w:val="00E568E5"/>
    <w:rsid w:val="00E742C4"/>
    <w:rsid w:val="00EA78CA"/>
    <w:rsid w:val="00EB0146"/>
    <w:rsid w:val="00EB3A7F"/>
    <w:rsid w:val="00EB6209"/>
    <w:rsid w:val="00EB6E56"/>
    <w:rsid w:val="00EC13FD"/>
    <w:rsid w:val="00EC47AC"/>
    <w:rsid w:val="00EC4D74"/>
    <w:rsid w:val="00EC657B"/>
    <w:rsid w:val="00ED0788"/>
    <w:rsid w:val="00EE6CAF"/>
    <w:rsid w:val="00EF4DB0"/>
    <w:rsid w:val="00F06C65"/>
    <w:rsid w:val="00F26A72"/>
    <w:rsid w:val="00F36241"/>
    <w:rsid w:val="00F74807"/>
    <w:rsid w:val="00F84325"/>
    <w:rsid w:val="00F95746"/>
    <w:rsid w:val="00FA32B3"/>
    <w:rsid w:val="00FA7C2A"/>
    <w:rsid w:val="00FA7E4C"/>
    <w:rsid w:val="00FC441E"/>
    <w:rsid w:val="00FD10F5"/>
    <w:rsid w:val="00FE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18DE4F"/>
  <w15:chartTrackingRefBased/>
  <w15:docId w15:val="{9E6747E8-33FA-4159-8BD7-1DB1677C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2E4"/>
  </w:style>
  <w:style w:type="paragraph" w:styleId="Footer">
    <w:name w:val="footer"/>
    <w:basedOn w:val="Normal"/>
    <w:link w:val="FooterChar"/>
    <w:uiPriority w:val="99"/>
    <w:unhideWhenUsed/>
    <w:rsid w:val="00534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2E4"/>
  </w:style>
  <w:style w:type="table" w:styleId="TableGrid">
    <w:name w:val="Table Grid"/>
    <w:basedOn w:val="TableNormal"/>
    <w:uiPriority w:val="39"/>
    <w:rsid w:val="0053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966"/>
    <w:pPr>
      <w:ind w:left="720"/>
      <w:contextualSpacing/>
    </w:pPr>
  </w:style>
  <w:style w:type="paragraph" w:styleId="BalloonText">
    <w:name w:val="Balloon Text"/>
    <w:basedOn w:val="Normal"/>
    <w:link w:val="BalloonTextChar"/>
    <w:uiPriority w:val="99"/>
    <w:semiHidden/>
    <w:unhideWhenUsed/>
    <w:rsid w:val="00517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4D"/>
    <w:rPr>
      <w:rFonts w:ascii="Segoe UI" w:hAnsi="Segoe UI" w:cs="Segoe UI"/>
      <w:sz w:val="18"/>
      <w:szCs w:val="18"/>
    </w:rPr>
  </w:style>
  <w:style w:type="character" w:styleId="Hyperlink">
    <w:name w:val="Hyperlink"/>
    <w:basedOn w:val="DefaultParagraphFont"/>
    <w:uiPriority w:val="99"/>
    <w:unhideWhenUsed/>
    <w:rsid w:val="00763300"/>
    <w:rPr>
      <w:color w:val="0000FF"/>
      <w:u w:val="single"/>
    </w:rPr>
  </w:style>
  <w:style w:type="character" w:styleId="CommentReference">
    <w:name w:val="annotation reference"/>
    <w:basedOn w:val="DefaultParagraphFont"/>
    <w:uiPriority w:val="99"/>
    <w:semiHidden/>
    <w:unhideWhenUsed/>
    <w:rsid w:val="008F2058"/>
    <w:rPr>
      <w:sz w:val="16"/>
      <w:szCs w:val="16"/>
    </w:rPr>
  </w:style>
  <w:style w:type="paragraph" w:styleId="CommentText">
    <w:name w:val="annotation text"/>
    <w:basedOn w:val="Normal"/>
    <w:link w:val="CommentTextChar"/>
    <w:uiPriority w:val="99"/>
    <w:semiHidden/>
    <w:unhideWhenUsed/>
    <w:rsid w:val="008F2058"/>
    <w:pPr>
      <w:spacing w:line="240" w:lineRule="auto"/>
    </w:pPr>
    <w:rPr>
      <w:sz w:val="20"/>
      <w:szCs w:val="20"/>
    </w:rPr>
  </w:style>
  <w:style w:type="character" w:customStyle="1" w:styleId="CommentTextChar">
    <w:name w:val="Comment Text Char"/>
    <w:basedOn w:val="DefaultParagraphFont"/>
    <w:link w:val="CommentText"/>
    <w:uiPriority w:val="99"/>
    <w:semiHidden/>
    <w:rsid w:val="008F2058"/>
    <w:rPr>
      <w:sz w:val="20"/>
      <w:szCs w:val="20"/>
    </w:rPr>
  </w:style>
  <w:style w:type="paragraph" w:styleId="CommentSubject">
    <w:name w:val="annotation subject"/>
    <w:basedOn w:val="CommentText"/>
    <w:next w:val="CommentText"/>
    <w:link w:val="CommentSubjectChar"/>
    <w:uiPriority w:val="99"/>
    <w:semiHidden/>
    <w:unhideWhenUsed/>
    <w:rsid w:val="008F2058"/>
    <w:rPr>
      <w:b/>
      <w:bCs/>
    </w:rPr>
  </w:style>
  <w:style w:type="character" w:customStyle="1" w:styleId="CommentSubjectChar">
    <w:name w:val="Comment Subject Char"/>
    <w:basedOn w:val="CommentTextChar"/>
    <w:link w:val="CommentSubject"/>
    <w:uiPriority w:val="99"/>
    <w:semiHidden/>
    <w:rsid w:val="008F20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pa.gov/sites/production/files/2015-09/documents/hwid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Hanford(MSP ver 2.0)</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Weyns, Magdalena (Dalena)</dc:creator>
  <cp:keywords/>
  <dc:description/>
  <cp:lastModifiedBy>McKarns, Anthony C (Tony)</cp:lastModifiedBy>
  <cp:revision>2</cp:revision>
  <cp:lastPrinted>2018-10-02T20:22:00Z</cp:lastPrinted>
  <dcterms:created xsi:type="dcterms:W3CDTF">2018-10-04T17:37:00Z</dcterms:created>
  <dcterms:modified xsi:type="dcterms:W3CDTF">2018-10-04T17:37:00Z</dcterms:modified>
</cp:coreProperties>
</file>