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9681C" w14:textId="77777777" w:rsidR="00EA3E88" w:rsidRDefault="00EA3E88" w:rsidP="00EA3E88">
      <w:r w:rsidRPr="00FE7E8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E0FEBA" wp14:editId="6E990A0C">
            <wp:simplePos x="0" y="0"/>
            <wp:positionH relativeFrom="margin">
              <wp:align>center</wp:align>
            </wp:positionH>
            <wp:positionV relativeFrom="page">
              <wp:posOffset>358140</wp:posOffset>
            </wp:positionV>
            <wp:extent cx="1746250" cy="657860"/>
            <wp:effectExtent l="0" t="0" r="6350" b="8890"/>
            <wp:wrapTopAndBottom/>
            <wp:docPr id="1" name="Picture 1" descr="150316-it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0316-it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11FE5" w14:textId="7686691B" w:rsidR="00EA3E88" w:rsidRDefault="00864EA5" w:rsidP="00EA3E88">
      <w:bookmarkStart w:id="0" w:name="_MailAutoSig"/>
      <w:r>
        <w:t>March 25,</w:t>
      </w:r>
      <w:r w:rsidR="00EA3E88">
        <w:t xml:space="preserve"> 2020 </w:t>
      </w:r>
    </w:p>
    <w:p w14:paraId="0973EAF3" w14:textId="77777777" w:rsidR="00EA3E88" w:rsidRDefault="00EA3E88" w:rsidP="00EA3E88"/>
    <w:p w14:paraId="43DC0AE5" w14:textId="77777777" w:rsidR="00EA3E88" w:rsidRDefault="00EA3E88" w:rsidP="00864EA5">
      <w:pPr>
        <w:spacing w:after="0"/>
      </w:pPr>
      <w:r>
        <w:t xml:space="preserve">Ms. </w:t>
      </w:r>
      <w:r>
        <w:t xml:space="preserve">Linda Kildahl </w:t>
      </w:r>
    </w:p>
    <w:p w14:paraId="2F677EAC" w14:textId="77777777" w:rsidR="00EA3E88" w:rsidRDefault="00EA3E88" w:rsidP="00864EA5">
      <w:pPr>
        <w:spacing w:after="0"/>
      </w:pPr>
      <w:r>
        <w:t xml:space="preserve">Washington State Department of Ecology </w:t>
      </w:r>
    </w:p>
    <w:p w14:paraId="523B3D16" w14:textId="2C5241E5" w:rsidR="00EA3E88" w:rsidRDefault="00EA3E88" w:rsidP="00864EA5">
      <w:pPr>
        <w:spacing w:after="0"/>
      </w:pPr>
      <w:r>
        <w:t xml:space="preserve">300 Desmond Dr </w:t>
      </w:r>
      <w:r w:rsidR="00811669">
        <w:t>SE</w:t>
      </w:r>
    </w:p>
    <w:p w14:paraId="1AF12A98" w14:textId="2018EDB7" w:rsidR="00EA3E88" w:rsidRDefault="00EA3E88" w:rsidP="00864EA5">
      <w:pPr>
        <w:spacing w:after="0"/>
      </w:pPr>
      <w:r>
        <w:t xml:space="preserve">Lacey, WA 98503 </w:t>
      </w:r>
    </w:p>
    <w:p w14:paraId="7219FCE9" w14:textId="77777777" w:rsidR="00EA3E88" w:rsidRPr="00B02A64" w:rsidRDefault="00EA3E88" w:rsidP="00864EA5">
      <w:pPr>
        <w:spacing w:after="0"/>
        <w:rPr>
          <w:b/>
          <w:bCs/>
        </w:rPr>
      </w:pPr>
      <w:r w:rsidRPr="00B02A64">
        <w:rPr>
          <w:b/>
          <w:bCs/>
        </w:rPr>
        <w:t xml:space="preserve">Re: </w:t>
      </w:r>
      <w:r w:rsidRPr="00B02A64">
        <w:rPr>
          <w:b/>
          <w:bCs/>
        </w:rPr>
        <w:t>ITW</w:t>
      </w:r>
      <w:r w:rsidRPr="00B02A64">
        <w:rPr>
          <w:b/>
          <w:bCs/>
        </w:rPr>
        <w:t xml:space="preserve"> Comments to Washington: Chapter 173-443 WAC, Hydrofluorocarbons </w:t>
      </w:r>
    </w:p>
    <w:p w14:paraId="26644599" w14:textId="20E0D6CC" w:rsidR="00EA3E88" w:rsidRDefault="00EA3E88" w:rsidP="00EA3E88">
      <w:pPr>
        <w:spacing w:after="0"/>
      </w:pPr>
      <w:r>
        <w:t xml:space="preserve">Submitted via </w:t>
      </w:r>
      <w:hyperlink r:id="rId6" w:history="1">
        <w:r>
          <w:rPr>
            <w:rStyle w:val="Hyperlink"/>
          </w:rPr>
          <w:t>http://ac.ecology.commentinput.com/?id=Ypx2G</w:t>
        </w:r>
      </w:hyperlink>
    </w:p>
    <w:p w14:paraId="6C9D1172" w14:textId="77777777" w:rsidR="00EA3E88" w:rsidRDefault="00EA3E88" w:rsidP="00864EA5">
      <w:pPr>
        <w:spacing w:after="0"/>
        <w:rPr>
          <w:rFonts w:eastAsia="Times New Roman"/>
        </w:rPr>
      </w:pPr>
    </w:p>
    <w:p w14:paraId="5EF509FF" w14:textId="148118D8" w:rsidR="00EA3E88" w:rsidRPr="00864EA5" w:rsidRDefault="00EA3E88" w:rsidP="00B02A64">
      <w:pPr>
        <w:jc w:val="both"/>
        <w:rPr>
          <w:rFonts w:eastAsia="Times New Roman" w:cstheme="minorHAnsi"/>
        </w:rPr>
      </w:pPr>
      <w:r w:rsidRPr="00864EA5">
        <w:rPr>
          <w:rFonts w:eastAsia="Times New Roman" w:cstheme="minorHAnsi"/>
        </w:rPr>
        <w:t>Dear Ms. Kildahl:</w:t>
      </w:r>
    </w:p>
    <w:p w14:paraId="6FCEB726" w14:textId="5DE13ADC" w:rsidR="00EA3E88" w:rsidRPr="00864EA5" w:rsidRDefault="00EA3E88" w:rsidP="00B02A64">
      <w:pPr>
        <w:spacing w:after="240"/>
        <w:jc w:val="both"/>
        <w:rPr>
          <w:rFonts w:cstheme="minorHAnsi"/>
        </w:rPr>
      </w:pPr>
      <w:r w:rsidRPr="00864EA5">
        <w:rPr>
          <w:rFonts w:eastAsia="Times New Roman" w:cstheme="minorHAnsi"/>
        </w:rPr>
        <w:t xml:space="preserve">Thank you for the opportunity to provide written comments on </w:t>
      </w:r>
      <w:r w:rsidRPr="00864EA5">
        <w:rPr>
          <w:rFonts w:cstheme="minorHAnsi"/>
        </w:rPr>
        <w:t>Chapter 173-443 WAC, Hydrofluorocarbons</w:t>
      </w:r>
      <w:r w:rsidRPr="00864EA5">
        <w:rPr>
          <w:rFonts w:cstheme="minorHAnsi"/>
        </w:rPr>
        <w:t xml:space="preserve"> draft regulations</w:t>
      </w:r>
      <w:r w:rsidRPr="00864EA5">
        <w:rPr>
          <w:rFonts w:eastAsia="Times New Roman" w:cstheme="minorHAnsi"/>
        </w:rPr>
        <w:t xml:space="preserve">. ITW </w:t>
      </w:r>
      <w:r w:rsidRPr="00864EA5">
        <w:rPr>
          <w:rFonts w:eastAsia="Times New Roman" w:cstheme="minorHAnsi"/>
        </w:rPr>
        <w:t>applauds the state’s efforts to adopt regulations in line with</w:t>
      </w:r>
      <w:r w:rsidRPr="00864EA5">
        <w:rPr>
          <w:rFonts w:eastAsia="Times New Roman" w:cstheme="minorHAnsi"/>
        </w:rPr>
        <w:t xml:space="preserve"> the erstwhile </w:t>
      </w:r>
      <w:r w:rsidR="00B02A64">
        <w:rPr>
          <w:rFonts w:eastAsia="Times New Roman" w:cstheme="minorHAnsi"/>
        </w:rPr>
        <w:t xml:space="preserve">2015 </w:t>
      </w:r>
      <w:r w:rsidRPr="00864EA5">
        <w:rPr>
          <w:rFonts w:eastAsia="Times New Roman" w:cstheme="minorHAnsi"/>
        </w:rPr>
        <w:t>US Environmental Protection Agency (EPA) regulation that governed the transition away from higher global warming potential substances</w:t>
      </w:r>
      <w:r w:rsidRPr="00864EA5">
        <w:rPr>
          <w:rFonts w:eastAsia="Times New Roman" w:cstheme="minorHAnsi"/>
        </w:rPr>
        <w:t xml:space="preserve"> such as hydrofluorocarbons (HFCs)</w:t>
      </w:r>
      <w:r w:rsidRPr="00864EA5">
        <w:rPr>
          <w:rFonts w:eastAsia="Times New Roman" w:cstheme="minorHAnsi"/>
        </w:rPr>
        <w:t xml:space="preserve">. </w:t>
      </w:r>
    </w:p>
    <w:p w14:paraId="51B58A57" w14:textId="564574D4" w:rsidR="00811669" w:rsidRPr="00864EA5" w:rsidRDefault="00EA3E88" w:rsidP="00811669">
      <w:pPr>
        <w:pStyle w:val="Default"/>
        <w:spacing w:after="240"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Illinois Tools Works Inc. (ITW) is a U.S. manufacturer of value-added commercial and industrial-use products, components and systems. ITW is a Fortune 200 company operating  a diverse global portfolio of 84 manufacturing divisions, including </w:t>
      </w:r>
      <w:r w:rsidRPr="00811669">
        <w:rPr>
          <w:rFonts w:asciiTheme="minorHAnsi" w:hAnsiTheme="minorHAnsi" w:cstheme="minorHAnsi"/>
          <w:color w:val="auto"/>
          <w:sz w:val="22"/>
          <w:szCs w:val="22"/>
        </w:rPr>
        <w:t>commercial foodservice</w:t>
      </w:r>
      <w:r w:rsidR="00811669" w:rsidRPr="009A10E7">
        <w:rPr>
          <w:rFonts w:asciiTheme="minorHAnsi" w:hAnsiTheme="minorHAnsi" w:cstheme="minorHAnsi"/>
          <w:sz w:val="22"/>
          <w:szCs w:val="22"/>
        </w:rPr>
        <w:t xml:space="preserve"> refrigeration</w:t>
      </w:r>
      <w:r w:rsidRPr="009A10E7">
        <w:rPr>
          <w:rFonts w:asciiTheme="minorHAnsi" w:hAnsiTheme="minorHAnsi" w:cstheme="minorHAnsi"/>
          <w:color w:val="auto"/>
          <w:sz w:val="22"/>
          <w:szCs w:val="22"/>
        </w:rPr>
        <w:t xml:space="preserve"> equipment</w:t>
      </w:r>
      <w:r w:rsidR="00811669" w:rsidRPr="009A10E7">
        <w:rPr>
          <w:rFonts w:asciiTheme="minorHAnsi" w:hAnsiTheme="minorHAnsi" w:cstheme="minorHAnsi"/>
          <w:sz w:val="22"/>
          <w:szCs w:val="22"/>
        </w:rPr>
        <w:t xml:space="preserve"> that comprises our </w:t>
      </w:r>
      <w:r w:rsidR="00811669" w:rsidRPr="009A10E7">
        <w:rPr>
          <w:rFonts w:asciiTheme="minorHAnsi" w:hAnsiTheme="minorHAnsi" w:cstheme="minorHAnsi"/>
          <w:color w:val="auto"/>
          <w:sz w:val="22"/>
          <w:szCs w:val="22"/>
        </w:rPr>
        <w:t>the ITW Food Equipment Group, LLC (</w:t>
      </w:r>
      <w:r w:rsidR="00811669" w:rsidRPr="009A10E7">
        <w:rPr>
          <w:rFonts w:asciiTheme="minorHAnsi" w:hAnsiTheme="minorHAnsi" w:cstheme="minorHAnsi"/>
          <w:color w:val="auto"/>
          <w:sz w:val="22"/>
          <w:szCs w:val="22"/>
        </w:rPr>
        <w:t xml:space="preserve">ITW </w:t>
      </w:r>
      <w:r w:rsidR="00811669" w:rsidRPr="009A10E7">
        <w:rPr>
          <w:rFonts w:asciiTheme="minorHAnsi" w:hAnsiTheme="minorHAnsi" w:cstheme="minorHAnsi"/>
          <w:color w:val="auto"/>
          <w:sz w:val="22"/>
          <w:szCs w:val="22"/>
        </w:rPr>
        <w:t>FEG)</w:t>
      </w:r>
      <w:r w:rsidR="00811669" w:rsidRPr="009A10E7">
        <w:rPr>
          <w:rFonts w:asciiTheme="minorHAnsi" w:hAnsiTheme="minorHAnsi" w:cstheme="minorHAnsi"/>
          <w:sz w:val="22"/>
          <w:szCs w:val="22"/>
        </w:rPr>
        <w:t xml:space="preserve"> business segment. Our equipment is </w:t>
      </w:r>
      <w:r w:rsidR="00811669" w:rsidRPr="009A10E7">
        <w:rPr>
          <w:rFonts w:asciiTheme="minorHAnsi" w:hAnsiTheme="minorHAnsi" w:cstheme="minorHAnsi"/>
          <w:color w:val="auto"/>
          <w:sz w:val="22"/>
          <w:szCs w:val="22"/>
        </w:rPr>
        <w:t xml:space="preserve">manufactured in the US and sold across North </w:t>
      </w:r>
      <w:r w:rsidR="009A10E7" w:rsidRPr="009A10E7">
        <w:rPr>
          <w:rFonts w:asciiTheme="minorHAnsi" w:hAnsiTheme="minorHAnsi" w:cstheme="minorHAnsi"/>
          <w:color w:val="auto"/>
          <w:sz w:val="22"/>
          <w:szCs w:val="22"/>
        </w:rPr>
        <w:t>America</w:t>
      </w:r>
      <w:r w:rsidR="009A10E7">
        <w:rPr>
          <w:rFonts w:asciiTheme="minorHAnsi" w:hAnsiTheme="minorHAnsi" w:cstheme="minorHAnsi"/>
          <w:color w:val="auto"/>
          <w:sz w:val="22"/>
          <w:szCs w:val="22"/>
        </w:rPr>
        <w:t>; our refrigeration division</w:t>
      </w:r>
      <w:bookmarkStart w:id="1" w:name="_GoBack"/>
      <w:bookmarkEnd w:id="1"/>
      <w:r w:rsidR="00811669" w:rsidRPr="009A10E7">
        <w:rPr>
          <w:rFonts w:asciiTheme="minorHAnsi" w:hAnsiTheme="minorHAnsi" w:cstheme="minorHAnsi"/>
          <w:color w:val="auto"/>
          <w:sz w:val="22"/>
          <w:szCs w:val="22"/>
        </w:rPr>
        <w:t xml:space="preserve">is </w:t>
      </w:r>
      <w:r w:rsidR="009A10E7">
        <w:rPr>
          <w:rFonts w:asciiTheme="minorHAnsi" w:hAnsiTheme="minorHAnsi" w:cstheme="minorHAnsi"/>
          <w:color w:val="auto"/>
          <w:sz w:val="22"/>
          <w:szCs w:val="22"/>
        </w:rPr>
        <w:t>one of</w:t>
      </w:r>
      <w:r w:rsidR="009A10E7" w:rsidRPr="009A10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1669" w:rsidRPr="009A10E7">
        <w:rPr>
          <w:rFonts w:asciiTheme="minorHAnsi" w:hAnsiTheme="minorHAnsi" w:cstheme="minorHAnsi"/>
          <w:color w:val="auto"/>
          <w:sz w:val="22"/>
          <w:szCs w:val="22"/>
        </w:rPr>
        <w:t>the world’s largest manufacturers. FEG has</w:t>
      </w:r>
      <w:r w:rsidR="00811669" w:rsidRPr="009A10E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1669" w:rsidRPr="009A10E7">
        <w:rPr>
          <w:rFonts w:asciiTheme="minorHAnsi" w:hAnsiTheme="minorHAnsi" w:cstheme="minorHAnsi"/>
          <w:color w:val="auto"/>
          <w:sz w:val="22"/>
          <w:szCs w:val="22"/>
        </w:rPr>
        <w:t>introduced environmentally sustainable marketplace options to promote responsible resource usage, energy savings and overall good stewardship practices, while meeting the needs of the diverse North American commercial kitchen appliance market.</w:t>
      </w:r>
      <w:r w:rsidR="00811669"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6FA7B6C" w14:textId="0B655F13" w:rsidR="00EA3E88" w:rsidRPr="00864EA5" w:rsidRDefault="00EA3E88" w:rsidP="00B02A64">
      <w:pPr>
        <w:pStyle w:val="Default"/>
        <w:spacing w:after="240" w:line="259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ITW FEG was deeply involved in the EPA’s 2015 rule prohibiting and transitioning HFCs for use as refrigerant and foam-blowing agents in commercial </w:t>
      </w:r>
      <w:r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foodservice </w:t>
      </w:r>
      <w:r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refrigeration equipment. Once the regulation was finalized, ITW FEG immediately </w:t>
      </w:r>
      <w:r w:rsidR="00811669">
        <w:rPr>
          <w:rFonts w:asciiTheme="minorHAnsi" w:hAnsiTheme="minorHAnsi" w:cstheme="minorHAnsi"/>
          <w:color w:val="auto"/>
          <w:sz w:val="22"/>
          <w:szCs w:val="22"/>
        </w:rPr>
        <w:t>re-imagined</w:t>
      </w:r>
      <w:r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1669">
        <w:rPr>
          <w:rFonts w:asciiTheme="minorHAnsi" w:hAnsiTheme="minorHAnsi" w:cstheme="minorHAnsi"/>
          <w:color w:val="auto"/>
          <w:sz w:val="22"/>
          <w:szCs w:val="22"/>
        </w:rPr>
        <w:t>its</w:t>
      </w:r>
      <w:r w:rsidR="00811669"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products to comply with </w:t>
      </w:r>
      <w:r w:rsidR="00B02A64">
        <w:rPr>
          <w:rFonts w:asciiTheme="minorHAnsi" w:hAnsiTheme="minorHAnsi" w:cstheme="minorHAnsi"/>
          <w:color w:val="auto"/>
          <w:sz w:val="22"/>
          <w:szCs w:val="22"/>
        </w:rPr>
        <w:t xml:space="preserve">EPA’s new </w:t>
      </w:r>
      <w:r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effective dates; in point of fact, </w:t>
      </w:r>
      <w:r w:rsidR="00811669">
        <w:rPr>
          <w:rFonts w:asciiTheme="minorHAnsi" w:hAnsiTheme="minorHAnsi" w:cstheme="minorHAnsi"/>
          <w:color w:val="auto"/>
          <w:sz w:val="22"/>
          <w:szCs w:val="22"/>
        </w:rPr>
        <w:t xml:space="preserve">our refrigeration equipment </w:t>
      </w:r>
      <w:r w:rsidR="00811669"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division </w:t>
      </w:r>
      <w:r w:rsidR="00811669">
        <w:rPr>
          <w:rFonts w:asciiTheme="minorHAnsi" w:hAnsiTheme="minorHAnsi" w:cstheme="minorHAnsi"/>
          <w:color w:val="auto"/>
          <w:sz w:val="22"/>
          <w:szCs w:val="22"/>
        </w:rPr>
        <w:t>completed</w:t>
      </w:r>
      <w:r w:rsidR="008116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1669">
        <w:rPr>
          <w:rFonts w:asciiTheme="minorHAnsi" w:hAnsiTheme="minorHAnsi" w:cstheme="minorHAnsi"/>
          <w:color w:val="auto"/>
          <w:sz w:val="22"/>
          <w:szCs w:val="22"/>
        </w:rPr>
        <w:t xml:space="preserve">its HFC </w:t>
      </w:r>
      <w:r w:rsidR="00B02A64">
        <w:rPr>
          <w:rFonts w:asciiTheme="minorHAnsi" w:hAnsiTheme="minorHAnsi" w:cstheme="minorHAnsi"/>
          <w:color w:val="auto"/>
          <w:sz w:val="22"/>
          <w:szCs w:val="22"/>
        </w:rPr>
        <w:t>transition</w:t>
      </w:r>
      <w:r w:rsidR="00811669">
        <w:rPr>
          <w:rFonts w:asciiTheme="minorHAnsi" w:hAnsiTheme="minorHAnsi" w:cstheme="minorHAnsi"/>
          <w:color w:val="auto"/>
          <w:sz w:val="22"/>
          <w:szCs w:val="22"/>
        </w:rPr>
        <w:t xml:space="preserve"> of </w:t>
      </w:r>
      <w:r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over 500 product models </w:t>
      </w:r>
      <w:r w:rsidR="00B02A64">
        <w:rPr>
          <w:rFonts w:asciiTheme="minorHAnsi" w:hAnsiTheme="minorHAnsi" w:cstheme="minorHAnsi"/>
          <w:color w:val="auto"/>
          <w:sz w:val="22"/>
          <w:szCs w:val="22"/>
        </w:rPr>
        <w:t>ahead of schedule</w:t>
      </w:r>
      <w:r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1669">
        <w:rPr>
          <w:rFonts w:asciiTheme="minorHAnsi" w:hAnsiTheme="minorHAnsi" w:cstheme="minorHAnsi"/>
          <w:color w:val="auto"/>
          <w:sz w:val="22"/>
          <w:szCs w:val="22"/>
        </w:rPr>
        <w:t>to show our</w:t>
      </w:r>
      <w:r w:rsidRPr="00864EA5">
        <w:rPr>
          <w:rFonts w:asciiTheme="minorHAnsi" w:hAnsiTheme="minorHAnsi" w:cstheme="minorHAnsi"/>
          <w:color w:val="auto"/>
          <w:sz w:val="22"/>
          <w:szCs w:val="22"/>
        </w:rPr>
        <w:t xml:space="preserve"> commitment to the issue as a market leader.</w:t>
      </w:r>
    </w:p>
    <w:p w14:paraId="625DBED1" w14:textId="576FA012" w:rsidR="00EA3E88" w:rsidRPr="00864EA5" w:rsidRDefault="00EA3E88" w:rsidP="00B02A64">
      <w:pPr>
        <w:jc w:val="both"/>
        <w:rPr>
          <w:rFonts w:cstheme="minorHAnsi"/>
        </w:rPr>
      </w:pPr>
      <w:r w:rsidRPr="00864EA5">
        <w:rPr>
          <w:rFonts w:cstheme="minorHAnsi"/>
        </w:rPr>
        <w:t xml:space="preserve">Given that record of participation, we </w:t>
      </w:r>
      <w:r w:rsidR="0084270B" w:rsidRPr="00864EA5">
        <w:rPr>
          <w:rFonts w:cstheme="minorHAnsi"/>
        </w:rPr>
        <w:t>offer the following comments to</w:t>
      </w:r>
      <w:r w:rsidRPr="00864EA5">
        <w:rPr>
          <w:rFonts w:cstheme="minorHAnsi"/>
        </w:rPr>
        <w:t xml:space="preserve"> specific provisions below.</w:t>
      </w:r>
    </w:p>
    <w:p w14:paraId="54540841" w14:textId="16E04082" w:rsidR="00864EA5" w:rsidRDefault="0084270B" w:rsidP="00B02A64">
      <w:pPr>
        <w:spacing w:after="0"/>
        <w:jc w:val="both"/>
        <w:rPr>
          <w:rFonts w:cstheme="minorHAnsi"/>
        </w:rPr>
      </w:pPr>
      <w:r w:rsidRPr="00864EA5">
        <w:rPr>
          <w:rFonts w:cstheme="minorHAnsi"/>
          <w:u w:val="single"/>
        </w:rPr>
        <w:t>General</w:t>
      </w:r>
      <w:r w:rsidR="00864EA5">
        <w:rPr>
          <w:rFonts w:cstheme="minorHAnsi"/>
        </w:rPr>
        <w:t>.</w:t>
      </w:r>
    </w:p>
    <w:p w14:paraId="296DDEC4" w14:textId="04BBE25D" w:rsidR="00EA3E88" w:rsidRDefault="0084270B" w:rsidP="00B02A64">
      <w:pPr>
        <w:spacing w:after="0"/>
        <w:jc w:val="both"/>
        <w:rPr>
          <w:rFonts w:cstheme="minorHAnsi"/>
        </w:rPr>
      </w:pPr>
      <w:r w:rsidRPr="00864EA5">
        <w:rPr>
          <w:rFonts w:cstheme="minorHAnsi"/>
        </w:rPr>
        <w:t>We support the language change,</w:t>
      </w:r>
      <w:r w:rsidR="00EA3E88" w:rsidRPr="00864EA5">
        <w:rPr>
          <w:rFonts w:cstheme="minorHAnsi"/>
        </w:rPr>
        <w:t xml:space="preserve"> to distinguish between “products” and “equipment</w:t>
      </w:r>
      <w:r w:rsidR="00811669">
        <w:rPr>
          <w:rFonts w:cstheme="minorHAnsi"/>
        </w:rPr>
        <w:t>,</w:t>
      </w:r>
      <w:r w:rsidR="00EA3E88" w:rsidRPr="00864EA5">
        <w:rPr>
          <w:rFonts w:cstheme="minorHAnsi"/>
        </w:rPr>
        <w:t>” for more heavily engineered</w:t>
      </w:r>
      <w:r w:rsidR="00B02A64">
        <w:rPr>
          <w:rFonts w:cstheme="minorHAnsi"/>
        </w:rPr>
        <w:t xml:space="preserve"> </w:t>
      </w:r>
      <w:r w:rsidR="00EA3E88" w:rsidRPr="00864EA5">
        <w:rPr>
          <w:rFonts w:cstheme="minorHAnsi"/>
        </w:rPr>
        <w:t>items</w:t>
      </w:r>
      <w:r w:rsidR="00B02A64">
        <w:rPr>
          <w:rFonts w:cstheme="minorHAnsi"/>
        </w:rPr>
        <w:t>.</w:t>
      </w:r>
    </w:p>
    <w:p w14:paraId="044EDA70" w14:textId="77777777" w:rsidR="00864EA5" w:rsidRPr="00864EA5" w:rsidRDefault="00864EA5" w:rsidP="00B02A64">
      <w:pPr>
        <w:spacing w:after="0"/>
        <w:jc w:val="both"/>
        <w:rPr>
          <w:rFonts w:cstheme="minorHAnsi"/>
        </w:rPr>
      </w:pPr>
    </w:p>
    <w:p w14:paraId="077D0A2D" w14:textId="77777777" w:rsidR="0084270B" w:rsidRPr="00864EA5" w:rsidRDefault="0084270B" w:rsidP="00B02A6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u w:val="single"/>
          <w:lang w:val="x-none"/>
        </w:rPr>
      </w:pPr>
      <w:r w:rsidRPr="00864EA5">
        <w:rPr>
          <w:rFonts w:eastAsia="Times New Roman" w:cstheme="minorHAnsi"/>
          <w:u w:val="single"/>
          <w:lang w:val="x-none"/>
        </w:rPr>
        <w:t>WAC 173-443-060 Prohibitions.</w:t>
      </w:r>
    </w:p>
    <w:p w14:paraId="7707DC57" w14:textId="4AFD003E" w:rsidR="00EA3E88" w:rsidRPr="00864EA5" w:rsidRDefault="0084270B" w:rsidP="00B02A64">
      <w:pPr>
        <w:autoSpaceDE w:val="0"/>
        <w:autoSpaceDN w:val="0"/>
        <w:adjustRightInd w:val="0"/>
        <w:snapToGrid w:val="0"/>
        <w:jc w:val="both"/>
        <w:rPr>
          <w:rFonts w:eastAsia="Times New Roman" w:cstheme="minorHAnsi"/>
          <w:lang w:val="x-none"/>
        </w:rPr>
      </w:pPr>
      <w:r w:rsidRPr="00864EA5">
        <w:rPr>
          <w:rFonts w:eastAsia="Times New Roman" w:cstheme="minorHAnsi"/>
        </w:rPr>
        <w:t>We also support the language changes made to this section, particularly section 2</w:t>
      </w:r>
      <w:r w:rsidR="00CD781F" w:rsidRPr="00864EA5">
        <w:rPr>
          <w:rFonts w:eastAsia="Times New Roman" w:cstheme="minorHAnsi"/>
        </w:rPr>
        <w:t xml:space="preserve">(c) and </w:t>
      </w:r>
      <w:r w:rsidR="00EA3E88" w:rsidRPr="00864EA5">
        <w:rPr>
          <w:rFonts w:eastAsia="Times New Roman" w:cstheme="minorHAnsi"/>
          <w:lang w:val="x-none"/>
        </w:rPr>
        <w:t>(d)</w:t>
      </w:r>
      <w:r w:rsidRPr="00864EA5">
        <w:rPr>
          <w:rFonts w:eastAsia="Times New Roman" w:cstheme="minorHAnsi"/>
        </w:rPr>
        <w:t xml:space="preserve">, </w:t>
      </w:r>
      <w:r w:rsidR="00CD781F" w:rsidRPr="00864EA5">
        <w:rPr>
          <w:rFonts w:eastAsia="Times New Roman" w:cstheme="minorHAnsi"/>
        </w:rPr>
        <w:t>that provide a sell-through opportunity for equipment containing HFC-based “refrigerant and s</w:t>
      </w:r>
      <w:r w:rsidR="00EA3E88" w:rsidRPr="00864EA5">
        <w:rPr>
          <w:rFonts w:eastAsia="Times New Roman" w:cstheme="minorHAnsi"/>
          <w:lang w:val="x-none"/>
        </w:rPr>
        <w:t>pray foam systems in the possession of a manufacturer before an applicable prohibition date where the blowing agent has not yet been applied on site may be used after the prohibition date.</w:t>
      </w:r>
      <w:r w:rsidR="00CD781F" w:rsidRPr="00864EA5">
        <w:rPr>
          <w:rFonts w:eastAsia="Times New Roman" w:cstheme="minorHAnsi"/>
        </w:rPr>
        <w:t xml:space="preserve">” These provisions </w:t>
      </w:r>
      <w:r w:rsidR="00B02A64">
        <w:rPr>
          <w:rFonts w:eastAsia="Times New Roman" w:cstheme="minorHAnsi"/>
        </w:rPr>
        <w:t>help</w:t>
      </w:r>
      <w:r w:rsidR="00B02A64" w:rsidRPr="00864EA5">
        <w:rPr>
          <w:rFonts w:eastAsia="Times New Roman" w:cstheme="minorHAnsi"/>
        </w:rPr>
        <w:t xml:space="preserve"> </w:t>
      </w:r>
      <w:r w:rsidR="00CD781F" w:rsidRPr="00864EA5">
        <w:rPr>
          <w:rFonts w:eastAsia="Times New Roman" w:cstheme="minorHAnsi"/>
        </w:rPr>
        <w:t xml:space="preserve">protect supply </w:t>
      </w:r>
      <w:r w:rsidR="00CD781F" w:rsidRPr="00864EA5">
        <w:rPr>
          <w:rFonts w:eastAsia="Times New Roman" w:cstheme="minorHAnsi"/>
        </w:rPr>
        <w:lastRenderedPageBreak/>
        <w:t xml:space="preserve">chains from interruption </w:t>
      </w:r>
      <w:r w:rsidR="00B02A64">
        <w:rPr>
          <w:rFonts w:eastAsia="Times New Roman" w:cstheme="minorHAnsi"/>
        </w:rPr>
        <w:t>considering</w:t>
      </w:r>
      <w:r w:rsidR="00B02A64" w:rsidRPr="00864EA5">
        <w:rPr>
          <w:rFonts w:eastAsia="Times New Roman" w:cstheme="minorHAnsi"/>
        </w:rPr>
        <w:t xml:space="preserve"> </w:t>
      </w:r>
      <w:r w:rsidR="00CD781F" w:rsidRPr="00864EA5">
        <w:rPr>
          <w:rFonts w:eastAsia="Times New Roman" w:cstheme="minorHAnsi"/>
        </w:rPr>
        <w:t>the multi-step distribution of commercial equipment to end-use customers.</w:t>
      </w:r>
    </w:p>
    <w:p w14:paraId="1764B599" w14:textId="77777777" w:rsidR="00CD781F" w:rsidRPr="00864EA5" w:rsidRDefault="00CD781F" w:rsidP="00B02A6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eastAsia="Times New Roman" w:cstheme="minorHAnsi"/>
          <w:u w:val="single"/>
          <w:lang w:val="x-none"/>
        </w:rPr>
      </w:pPr>
      <w:r w:rsidRPr="00864EA5">
        <w:rPr>
          <w:rFonts w:eastAsia="Times New Roman" w:cstheme="minorHAnsi"/>
          <w:u w:val="single"/>
          <w:lang w:val="x-none"/>
        </w:rPr>
        <w:t>WAC 173-443-070 Product labeling and disclosure requirements.</w:t>
      </w:r>
    </w:p>
    <w:p w14:paraId="36FA0A3C" w14:textId="419FC062" w:rsidR="009A10E7" w:rsidRDefault="00EA3E88" w:rsidP="00B02A64">
      <w:pPr>
        <w:spacing w:after="0"/>
        <w:jc w:val="both"/>
        <w:rPr>
          <w:rFonts w:cstheme="minorHAnsi"/>
        </w:rPr>
      </w:pPr>
      <w:r w:rsidRPr="00864EA5">
        <w:rPr>
          <w:rFonts w:cstheme="minorHAnsi"/>
        </w:rPr>
        <w:t xml:space="preserve">We understand here the distinction between </w:t>
      </w:r>
      <w:r w:rsidR="00CD781F" w:rsidRPr="00864EA5">
        <w:rPr>
          <w:rFonts w:cstheme="minorHAnsi"/>
        </w:rPr>
        <w:t xml:space="preserve">refrigerant and blown foam, </w:t>
      </w:r>
      <w:r w:rsidRPr="00864EA5">
        <w:rPr>
          <w:rFonts w:cstheme="minorHAnsi"/>
        </w:rPr>
        <w:t xml:space="preserve">the two elements of application for HFCs or </w:t>
      </w:r>
      <w:r w:rsidR="009A10E7" w:rsidRPr="00864EA5">
        <w:rPr>
          <w:rFonts w:cstheme="minorHAnsi"/>
        </w:rPr>
        <w:t>substitutes</w:t>
      </w:r>
      <w:r w:rsidRPr="00864EA5">
        <w:rPr>
          <w:rFonts w:cstheme="minorHAnsi"/>
        </w:rPr>
        <w:t xml:space="preserve"> used in commercial stand-alone and remote </w:t>
      </w:r>
      <w:r w:rsidR="00B02A64">
        <w:rPr>
          <w:rFonts w:cstheme="minorHAnsi"/>
        </w:rPr>
        <w:t xml:space="preserve">foodservice </w:t>
      </w:r>
      <w:r w:rsidRPr="00864EA5">
        <w:rPr>
          <w:rFonts w:cstheme="minorHAnsi"/>
        </w:rPr>
        <w:t>equipment</w:t>
      </w:r>
      <w:r w:rsidR="00864EA5" w:rsidRPr="00864EA5">
        <w:rPr>
          <w:rFonts w:cstheme="minorHAnsi"/>
        </w:rPr>
        <w:t xml:space="preserve">. </w:t>
      </w:r>
    </w:p>
    <w:p w14:paraId="6AB4E83F" w14:textId="77777777" w:rsidR="009A10E7" w:rsidRDefault="009A10E7" w:rsidP="00B02A64">
      <w:pPr>
        <w:spacing w:after="0"/>
        <w:jc w:val="both"/>
        <w:rPr>
          <w:rFonts w:cstheme="minorHAnsi"/>
        </w:rPr>
      </w:pPr>
    </w:p>
    <w:p w14:paraId="0DF62F4C" w14:textId="6031CB2F" w:rsidR="00EA3E88" w:rsidRPr="00864EA5" w:rsidRDefault="00CD781F" w:rsidP="00B02A64">
      <w:pPr>
        <w:spacing w:after="0"/>
        <w:jc w:val="both"/>
        <w:rPr>
          <w:rFonts w:cstheme="minorHAnsi"/>
        </w:rPr>
      </w:pPr>
      <w:r w:rsidRPr="00864EA5">
        <w:rPr>
          <w:rFonts w:cstheme="minorHAnsi"/>
        </w:rPr>
        <w:t>In Section 2(c) f</w:t>
      </w:r>
      <w:r w:rsidR="00EA3E88" w:rsidRPr="00864EA5">
        <w:rPr>
          <w:rFonts w:cstheme="minorHAnsi"/>
        </w:rPr>
        <w:t>or refrigerant, we agree with the alternative display requirements offered</w:t>
      </w:r>
      <w:r w:rsidR="00864EA5" w:rsidRPr="00864EA5">
        <w:rPr>
          <w:rFonts w:cstheme="minorHAnsi"/>
        </w:rPr>
        <w:t xml:space="preserve">. </w:t>
      </w:r>
      <w:r w:rsidRPr="00864EA5">
        <w:rPr>
          <w:rFonts w:cstheme="minorHAnsi"/>
        </w:rPr>
        <w:t>In Section 2(d) f</w:t>
      </w:r>
      <w:r w:rsidR="00EA3E88" w:rsidRPr="00864EA5">
        <w:rPr>
          <w:rFonts w:cstheme="minorHAnsi"/>
        </w:rPr>
        <w:t xml:space="preserve">or foam blown into equipment, we want to confirm, from </w:t>
      </w:r>
      <w:r w:rsidR="00B02A64">
        <w:rPr>
          <w:rFonts w:cstheme="minorHAnsi"/>
        </w:rPr>
        <w:t>Department of Ecology explanations</w:t>
      </w:r>
      <w:r w:rsidR="00EA3E88" w:rsidRPr="00864EA5">
        <w:rPr>
          <w:rFonts w:cstheme="minorHAnsi"/>
        </w:rPr>
        <w:t xml:space="preserve"> during </w:t>
      </w:r>
      <w:r w:rsidR="009A10E7" w:rsidRPr="00864EA5">
        <w:rPr>
          <w:rFonts w:cstheme="minorHAnsi"/>
        </w:rPr>
        <w:t>previous</w:t>
      </w:r>
      <w:r w:rsidR="00EA3E88" w:rsidRPr="00864EA5">
        <w:rPr>
          <w:rFonts w:cstheme="minorHAnsi"/>
        </w:rPr>
        <w:t xml:space="preserve"> public meetings, that </w:t>
      </w:r>
      <w:r w:rsidR="00B02A64">
        <w:rPr>
          <w:rFonts w:cstheme="minorHAnsi"/>
        </w:rPr>
        <w:t>the Department</w:t>
      </w:r>
      <w:r w:rsidR="00B02A64" w:rsidRPr="00864EA5">
        <w:rPr>
          <w:rFonts w:cstheme="minorHAnsi"/>
        </w:rPr>
        <w:t xml:space="preserve"> </w:t>
      </w:r>
      <w:r w:rsidR="00EA3E88" w:rsidRPr="00864EA5">
        <w:rPr>
          <w:rFonts w:cstheme="minorHAnsi"/>
        </w:rPr>
        <w:t>understands that UL and equivalent safety labels do not include de</w:t>
      </w:r>
      <w:r w:rsidR="00864EA5" w:rsidRPr="00864EA5">
        <w:rPr>
          <w:rFonts w:cstheme="minorHAnsi"/>
        </w:rPr>
        <w:t>c</w:t>
      </w:r>
      <w:r w:rsidR="00EA3E88" w:rsidRPr="00864EA5">
        <w:rPr>
          <w:rFonts w:cstheme="minorHAnsi"/>
        </w:rPr>
        <w:t xml:space="preserve">larations specifically for foam blowing agents. Thus, declarations for the blowing agent can be provided via a separate </w:t>
      </w:r>
      <w:r w:rsidR="00504CDE">
        <w:rPr>
          <w:rFonts w:cstheme="minorHAnsi"/>
        </w:rPr>
        <w:t>mechanism – a label</w:t>
      </w:r>
      <w:r w:rsidR="009A10E7">
        <w:rPr>
          <w:rFonts w:cstheme="minorHAnsi"/>
        </w:rPr>
        <w:t>,</w:t>
      </w:r>
      <w:r w:rsidR="00504CDE">
        <w:rPr>
          <w:rFonts w:cstheme="minorHAnsi"/>
        </w:rPr>
        <w:t xml:space="preserve"> or a declaration on-product or in a product’s owners’ manual –</w:t>
      </w:r>
      <w:r w:rsidR="00504CDE" w:rsidRPr="00864EA5">
        <w:rPr>
          <w:rFonts w:cstheme="minorHAnsi"/>
        </w:rPr>
        <w:t xml:space="preserve"> </w:t>
      </w:r>
      <w:r w:rsidR="00504CDE">
        <w:rPr>
          <w:rFonts w:cstheme="minorHAnsi"/>
        </w:rPr>
        <w:t>to call out</w:t>
      </w:r>
      <w:r w:rsidR="00EA3E88" w:rsidRPr="00864EA5">
        <w:rPr>
          <w:rFonts w:cstheme="minorHAnsi"/>
        </w:rPr>
        <w:t xml:space="preserve"> </w:t>
      </w:r>
      <w:r w:rsidR="009A10E7" w:rsidRPr="00864EA5">
        <w:rPr>
          <w:rFonts w:cstheme="minorHAnsi"/>
        </w:rPr>
        <w:t>an</w:t>
      </w:r>
      <w:r w:rsidR="00EA3E88" w:rsidRPr="00864EA5">
        <w:rPr>
          <w:rFonts w:cstheme="minorHAnsi"/>
        </w:rPr>
        <w:t xml:space="preserve"> </w:t>
      </w:r>
      <w:r w:rsidR="00504CDE">
        <w:rPr>
          <w:rFonts w:cstheme="minorHAnsi"/>
        </w:rPr>
        <w:t xml:space="preserve">HFC-using </w:t>
      </w:r>
      <w:r w:rsidR="00EA3E88" w:rsidRPr="00864EA5">
        <w:rPr>
          <w:rFonts w:cstheme="minorHAnsi"/>
        </w:rPr>
        <w:t xml:space="preserve">product’s blowing agent </w:t>
      </w:r>
      <w:r w:rsidR="009A10E7">
        <w:rPr>
          <w:rFonts w:cstheme="minorHAnsi"/>
        </w:rPr>
        <w:t>used to insert</w:t>
      </w:r>
      <w:r w:rsidR="00EA3E88" w:rsidRPr="00864EA5">
        <w:rPr>
          <w:rFonts w:cstheme="minorHAnsi"/>
        </w:rPr>
        <w:t xml:space="preserve"> foam. Again, confirming this posture is correct, we agree with the disclosure options offered.</w:t>
      </w:r>
    </w:p>
    <w:p w14:paraId="38812C8F" w14:textId="77777777" w:rsidR="00EA3E88" w:rsidRPr="00864EA5" w:rsidRDefault="00EA3E88" w:rsidP="00B02A64">
      <w:pPr>
        <w:spacing w:after="0"/>
        <w:jc w:val="both"/>
        <w:rPr>
          <w:rFonts w:cstheme="minorHAnsi"/>
        </w:rPr>
      </w:pPr>
    </w:p>
    <w:p w14:paraId="734B9ED6" w14:textId="77777777" w:rsidR="00CD781F" w:rsidRPr="00864EA5" w:rsidRDefault="00EA3E88" w:rsidP="00B02A64">
      <w:pPr>
        <w:autoSpaceDE w:val="0"/>
        <w:autoSpaceDN w:val="0"/>
        <w:adjustRightInd w:val="0"/>
        <w:snapToGrid w:val="0"/>
        <w:spacing w:after="0"/>
        <w:jc w:val="both"/>
        <w:rPr>
          <w:rFonts w:eastAsia="Times New Roman" w:cstheme="minorHAnsi"/>
          <w:u w:val="single"/>
        </w:rPr>
      </w:pPr>
      <w:r w:rsidRPr="00864EA5">
        <w:rPr>
          <w:rFonts w:eastAsia="Times New Roman" w:cstheme="minorHAnsi"/>
          <w:u w:val="single"/>
          <w:lang w:val="x-none"/>
        </w:rPr>
        <w:t>WAC 173-443-080 Manufacturer notification</w:t>
      </w:r>
      <w:r w:rsidR="00CD781F" w:rsidRPr="00864EA5">
        <w:rPr>
          <w:rFonts w:eastAsia="Times New Roman" w:cstheme="minorHAnsi"/>
          <w:u w:val="single"/>
        </w:rPr>
        <w:t>.</w:t>
      </w:r>
    </w:p>
    <w:p w14:paraId="4E973B65" w14:textId="714CBD50" w:rsidR="00EA3E88" w:rsidRDefault="00CD781F" w:rsidP="00B02A64">
      <w:pPr>
        <w:autoSpaceDE w:val="0"/>
        <w:autoSpaceDN w:val="0"/>
        <w:adjustRightInd w:val="0"/>
        <w:snapToGrid w:val="0"/>
        <w:spacing w:after="0"/>
        <w:jc w:val="both"/>
        <w:rPr>
          <w:rFonts w:eastAsia="Times New Roman" w:cstheme="minorHAnsi"/>
        </w:rPr>
      </w:pPr>
      <w:r w:rsidRPr="00864EA5">
        <w:rPr>
          <w:rFonts w:eastAsia="Times New Roman" w:cstheme="minorHAnsi"/>
        </w:rPr>
        <w:t>U</w:t>
      </w:r>
      <w:r w:rsidR="00EA3E88" w:rsidRPr="00864EA5">
        <w:rPr>
          <w:rFonts w:eastAsia="Times New Roman" w:cstheme="minorHAnsi"/>
        </w:rPr>
        <w:t xml:space="preserve">nderstanding </w:t>
      </w:r>
      <w:r w:rsidR="009A10E7">
        <w:rPr>
          <w:rFonts w:eastAsia="Times New Roman" w:cstheme="minorHAnsi"/>
        </w:rPr>
        <w:t xml:space="preserve">that </w:t>
      </w:r>
      <w:r w:rsidR="00EA3E88" w:rsidRPr="00864EA5">
        <w:rPr>
          <w:rFonts w:eastAsia="Times New Roman" w:cstheme="minorHAnsi"/>
        </w:rPr>
        <w:t>this notification is based on HFC</w:t>
      </w:r>
      <w:r w:rsidR="00504CDE">
        <w:rPr>
          <w:rFonts w:eastAsia="Times New Roman" w:cstheme="minorHAnsi"/>
        </w:rPr>
        <w:t>s</w:t>
      </w:r>
      <w:r w:rsidR="00EA3E88" w:rsidRPr="00864EA5">
        <w:rPr>
          <w:rFonts w:eastAsia="Times New Roman" w:cstheme="minorHAnsi"/>
        </w:rPr>
        <w:t xml:space="preserve"> used </w:t>
      </w:r>
      <w:r w:rsidRPr="00864EA5">
        <w:rPr>
          <w:rFonts w:eastAsia="Times New Roman" w:cstheme="minorHAnsi"/>
        </w:rPr>
        <w:t xml:space="preserve">in </w:t>
      </w:r>
      <w:r w:rsidR="009A10E7">
        <w:rPr>
          <w:rFonts w:eastAsia="Times New Roman" w:cstheme="minorHAnsi"/>
        </w:rPr>
        <w:t>equipment</w:t>
      </w:r>
      <w:r w:rsidR="009A10E7" w:rsidRPr="00864EA5">
        <w:rPr>
          <w:rFonts w:eastAsia="Times New Roman" w:cstheme="minorHAnsi"/>
        </w:rPr>
        <w:t xml:space="preserve"> </w:t>
      </w:r>
      <w:r w:rsidRPr="00864EA5">
        <w:rPr>
          <w:rFonts w:eastAsia="Times New Roman" w:cstheme="minorHAnsi"/>
        </w:rPr>
        <w:t>prior to</w:t>
      </w:r>
      <w:r w:rsidR="00EA3E88" w:rsidRPr="00864EA5">
        <w:rPr>
          <w:rFonts w:eastAsia="Times New Roman" w:cstheme="minorHAnsi"/>
        </w:rPr>
        <w:t xml:space="preserve"> July</w:t>
      </w:r>
      <w:r w:rsidRPr="00864EA5">
        <w:rPr>
          <w:rFonts w:eastAsia="Times New Roman" w:cstheme="minorHAnsi"/>
        </w:rPr>
        <w:t xml:space="preserve"> 28,</w:t>
      </w:r>
      <w:r w:rsidR="00EA3E88" w:rsidRPr="00864EA5">
        <w:rPr>
          <w:rFonts w:eastAsia="Times New Roman" w:cstheme="minorHAnsi"/>
        </w:rPr>
        <w:t xml:space="preserve"> 2019, we agree with the notification and </w:t>
      </w:r>
      <w:r w:rsidR="009A10E7" w:rsidRPr="00864EA5">
        <w:rPr>
          <w:rFonts w:eastAsia="Times New Roman" w:cstheme="minorHAnsi"/>
        </w:rPr>
        <w:t>reporting</w:t>
      </w:r>
      <w:r w:rsidR="00EA3E88" w:rsidRPr="00864EA5">
        <w:rPr>
          <w:rFonts w:eastAsia="Times New Roman" w:cstheme="minorHAnsi"/>
        </w:rPr>
        <w:t xml:space="preserve"> requirement</w:t>
      </w:r>
      <w:r w:rsidR="00504CDE">
        <w:rPr>
          <w:rFonts w:eastAsia="Times New Roman" w:cstheme="minorHAnsi"/>
        </w:rPr>
        <w:t>. In addition, we would especially</w:t>
      </w:r>
      <w:r w:rsidR="00EA3E88" w:rsidRPr="00864EA5">
        <w:rPr>
          <w:rFonts w:eastAsia="Times New Roman" w:cstheme="minorHAnsi"/>
        </w:rPr>
        <w:t xml:space="preserve"> agree if, </w:t>
      </w:r>
      <w:r w:rsidR="009A10E7">
        <w:rPr>
          <w:rFonts w:eastAsia="Times New Roman" w:cstheme="minorHAnsi"/>
        </w:rPr>
        <w:t>in line with</w:t>
      </w:r>
      <w:r w:rsidR="009A10E7">
        <w:rPr>
          <w:rFonts w:eastAsia="Times New Roman" w:cstheme="minorHAnsi"/>
        </w:rPr>
        <w:t xml:space="preserve"> </w:t>
      </w:r>
      <w:r w:rsidR="00504CDE">
        <w:rPr>
          <w:rFonts w:eastAsia="Times New Roman" w:cstheme="minorHAnsi"/>
        </w:rPr>
        <w:t>the Department’s previous comments</w:t>
      </w:r>
      <w:r w:rsidR="00EA3E88" w:rsidRPr="00864EA5">
        <w:rPr>
          <w:rFonts w:eastAsia="Times New Roman" w:cstheme="minorHAnsi"/>
        </w:rPr>
        <w:t xml:space="preserve">, </w:t>
      </w:r>
      <w:r w:rsidRPr="00864EA5">
        <w:rPr>
          <w:rFonts w:eastAsia="Times New Roman" w:cstheme="minorHAnsi"/>
        </w:rPr>
        <w:t>a</w:t>
      </w:r>
      <w:r w:rsidR="00EA3E88" w:rsidRPr="00864EA5">
        <w:rPr>
          <w:rFonts w:eastAsia="Times New Roman" w:cstheme="minorHAnsi"/>
        </w:rPr>
        <w:t xml:space="preserve"> </w:t>
      </w:r>
      <w:r w:rsidR="009A10E7">
        <w:rPr>
          <w:rFonts w:eastAsia="Times New Roman" w:cstheme="minorHAnsi"/>
        </w:rPr>
        <w:t xml:space="preserve">non-HFC </w:t>
      </w:r>
      <w:r w:rsidR="00EA3E88" w:rsidRPr="00864EA5">
        <w:rPr>
          <w:rFonts w:eastAsia="Times New Roman" w:cstheme="minorHAnsi"/>
        </w:rPr>
        <w:t xml:space="preserve">product manufactured </w:t>
      </w:r>
      <w:r w:rsidR="00EA3E88" w:rsidRPr="00864EA5">
        <w:rPr>
          <w:rFonts w:eastAsia="Times New Roman" w:cstheme="minorHAnsi"/>
          <w:u w:val="single"/>
        </w:rPr>
        <w:t>after</w:t>
      </w:r>
      <w:r w:rsidR="00EA3E88" w:rsidRPr="00864EA5">
        <w:rPr>
          <w:rFonts w:eastAsia="Times New Roman" w:cstheme="minorHAnsi"/>
        </w:rPr>
        <w:t xml:space="preserve"> July</w:t>
      </w:r>
      <w:r w:rsidRPr="00864EA5">
        <w:rPr>
          <w:rFonts w:eastAsia="Times New Roman" w:cstheme="minorHAnsi"/>
        </w:rPr>
        <w:t xml:space="preserve"> 28,</w:t>
      </w:r>
      <w:r w:rsidR="00EA3E88" w:rsidRPr="00864EA5">
        <w:rPr>
          <w:rFonts w:eastAsia="Times New Roman" w:cstheme="minorHAnsi"/>
        </w:rPr>
        <w:t xml:space="preserve"> 2019, does </w:t>
      </w:r>
      <w:r w:rsidR="00EA3E88" w:rsidRPr="00864EA5">
        <w:rPr>
          <w:rFonts w:eastAsia="Times New Roman" w:cstheme="minorHAnsi"/>
          <w:u w:val="single"/>
        </w:rPr>
        <w:t>not</w:t>
      </w:r>
      <w:r w:rsidR="00EA3E88" w:rsidRPr="00864EA5">
        <w:rPr>
          <w:rFonts w:eastAsia="Times New Roman" w:cstheme="minorHAnsi"/>
        </w:rPr>
        <w:t xml:space="preserve"> need to be </w:t>
      </w:r>
      <w:r w:rsidR="00504CDE">
        <w:rPr>
          <w:rFonts w:eastAsia="Times New Roman" w:cstheme="minorHAnsi"/>
        </w:rPr>
        <w:t>reported on to the Department</w:t>
      </w:r>
      <w:r w:rsidR="00EA3E88" w:rsidRPr="00864EA5">
        <w:rPr>
          <w:rFonts w:eastAsia="Times New Roman" w:cstheme="minorHAnsi"/>
        </w:rPr>
        <w:t>.</w:t>
      </w:r>
      <w:r w:rsidR="00504CDE">
        <w:rPr>
          <w:rFonts w:eastAsia="Times New Roman" w:cstheme="minorHAnsi"/>
        </w:rPr>
        <w:t xml:space="preserve"> We appreciate the Department’s position of wanting to ensure consumer awareness, while </w:t>
      </w:r>
      <w:r w:rsidR="009A10E7">
        <w:rPr>
          <w:rFonts w:eastAsia="Times New Roman" w:cstheme="minorHAnsi"/>
        </w:rPr>
        <w:t>avoiding additional</w:t>
      </w:r>
      <w:r w:rsidR="00504CDE">
        <w:rPr>
          <w:rFonts w:eastAsia="Times New Roman" w:cstheme="minorHAnsi"/>
        </w:rPr>
        <w:t xml:space="preserve"> regulatory burden</w:t>
      </w:r>
      <w:r w:rsidR="009A10E7">
        <w:rPr>
          <w:rFonts w:eastAsia="Times New Roman" w:cstheme="minorHAnsi"/>
        </w:rPr>
        <w:t xml:space="preserve"> for </w:t>
      </w:r>
      <w:r w:rsidR="00504CDE">
        <w:rPr>
          <w:rFonts w:eastAsia="Times New Roman" w:cstheme="minorHAnsi"/>
        </w:rPr>
        <w:t>manufacturers.</w:t>
      </w:r>
    </w:p>
    <w:p w14:paraId="7BBC7F18" w14:textId="77777777" w:rsidR="00864EA5" w:rsidRPr="00864EA5" w:rsidRDefault="00864EA5" w:rsidP="00B02A64">
      <w:pPr>
        <w:autoSpaceDE w:val="0"/>
        <w:autoSpaceDN w:val="0"/>
        <w:adjustRightInd w:val="0"/>
        <w:snapToGrid w:val="0"/>
        <w:spacing w:after="0"/>
        <w:jc w:val="both"/>
        <w:rPr>
          <w:rFonts w:eastAsia="Times New Roman" w:cstheme="minorHAnsi"/>
        </w:rPr>
      </w:pPr>
    </w:p>
    <w:p w14:paraId="27E86D19" w14:textId="77777777" w:rsidR="00864EA5" w:rsidRPr="00864EA5" w:rsidRDefault="00EA3E88" w:rsidP="00B02A64">
      <w:pPr>
        <w:autoSpaceDE w:val="0"/>
        <w:autoSpaceDN w:val="0"/>
        <w:adjustRightInd w:val="0"/>
        <w:snapToGrid w:val="0"/>
        <w:spacing w:after="0"/>
        <w:jc w:val="both"/>
        <w:rPr>
          <w:rFonts w:eastAsia="Times New Roman" w:cstheme="minorHAnsi"/>
          <w:lang w:val="x-none"/>
        </w:rPr>
      </w:pPr>
      <w:r w:rsidRPr="00864EA5">
        <w:rPr>
          <w:rFonts w:eastAsia="Times New Roman" w:cstheme="minorHAnsi"/>
          <w:u w:val="single"/>
          <w:lang w:val="x-none"/>
        </w:rPr>
        <w:t>WAC 173-443-100 Status update notification.</w:t>
      </w:r>
    </w:p>
    <w:p w14:paraId="7E8C94B8" w14:textId="1525B894" w:rsidR="00EA3E88" w:rsidRPr="00864EA5" w:rsidRDefault="00864EA5" w:rsidP="00B02A64">
      <w:pPr>
        <w:autoSpaceDE w:val="0"/>
        <w:autoSpaceDN w:val="0"/>
        <w:adjustRightInd w:val="0"/>
        <w:snapToGrid w:val="0"/>
        <w:spacing w:after="0"/>
        <w:jc w:val="both"/>
        <w:rPr>
          <w:rFonts w:eastAsia="Times New Roman" w:cstheme="minorHAnsi"/>
        </w:rPr>
      </w:pPr>
      <w:r w:rsidRPr="00864EA5">
        <w:rPr>
          <w:rFonts w:eastAsia="Times New Roman" w:cstheme="minorHAnsi"/>
        </w:rPr>
        <w:t xml:space="preserve">We </w:t>
      </w:r>
      <w:r w:rsidR="00EA3E88" w:rsidRPr="00864EA5">
        <w:rPr>
          <w:rFonts w:eastAsia="Times New Roman" w:cstheme="minorHAnsi"/>
        </w:rPr>
        <w:t xml:space="preserve">further agree with this section’s update notice requirements, particularly subsection 1(a) that allows a manufacturer to submit a single notification to </w:t>
      </w:r>
      <w:r w:rsidR="00504CDE">
        <w:rPr>
          <w:rFonts w:eastAsia="Times New Roman" w:cstheme="minorHAnsi"/>
        </w:rPr>
        <w:t>the Department</w:t>
      </w:r>
      <w:r w:rsidR="00504CDE" w:rsidRPr="00864EA5">
        <w:rPr>
          <w:rFonts w:eastAsia="Times New Roman" w:cstheme="minorHAnsi"/>
        </w:rPr>
        <w:t xml:space="preserve"> </w:t>
      </w:r>
      <w:r w:rsidR="00EA3E88" w:rsidRPr="00864EA5">
        <w:rPr>
          <w:rFonts w:eastAsia="Times New Roman" w:cstheme="minorHAnsi"/>
        </w:rPr>
        <w:t>once a previously reported product entered into commerce in the state no longer uses HFCs.</w:t>
      </w:r>
    </w:p>
    <w:p w14:paraId="723247D5" w14:textId="31E6F78E" w:rsidR="00EA3E88" w:rsidRPr="00864EA5" w:rsidRDefault="00EA3E88" w:rsidP="00B02A64">
      <w:pPr>
        <w:spacing w:after="0"/>
        <w:jc w:val="both"/>
        <w:rPr>
          <w:rFonts w:cstheme="minorHAnsi"/>
        </w:rPr>
      </w:pPr>
    </w:p>
    <w:bookmarkEnd w:id="0"/>
    <w:p w14:paraId="222F5758" w14:textId="1AB86D1A" w:rsidR="00B73990" w:rsidRDefault="00864EA5" w:rsidP="00B02A64">
      <w:pPr>
        <w:spacing w:after="0"/>
        <w:jc w:val="both"/>
        <w:rPr>
          <w:rFonts w:cstheme="minorHAnsi"/>
        </w:rPr>
      </w:pPr>
      <w:r w:rsidRPr="00864EA5">
        <w:rPr>
          <w:rFonts w:cstheme="minorHAnsi"/>
        </w:rPr>
        <w:t xml:space="preserve">Thank you again for the opportunity to provide comments to the draft regulations for </w:t>
      </w:r>
      <w:r w:rsidRPr="00864EA5">
        <w:rPr>
          <w:rFonts w:cstheme="minorHAnsi"/>
        </w:rPr>
        <w:t>Chapter 173-443 WAC, Hydrofluorocarbon</w:t>
      </w:r>
      <w:r w:rsidRPr="00864EA5">
        <w:rPr>
          <w:rFonts w:cstheme="minorHAnsi"/>
        </w:rPr>
        <w:t xml:space="preserve">s. </w:t>
      </w:r>
      <w:r w:rsidR="00504CDE">
        <w:rPr>
          <w:rFonts w:cstheme="minorHAnsi"/>
        </w:rPr>
        <w:t xml:space="preserve">We appreciate your regulatory aims, including efforts to align with other states to establish a more uniform regulatory construct for product compliance. </w:t>
      </w:r>
      <w:r w:rsidRPr="00864EA5">
        <w:rPr>
          <w:rFonts w:cstheme="minorHAnsi"/>
        </w:rPr>
        <w:t xml:space="preserve">Please do not hesitate to contact us as we can further support your efforts as </w:t>
      </w:r>
      <w:r w:rsidR="00504CDE">
        <w:rPr>
          <w:rFonts w:cstheme="minorHAnsi"/>
        </w:rPr>
        <w:t>your</w:t>
      </w:r>
      <w:r w:rsidRPr="00864EA5">
        <w:rPr>
          <w:rFonts w:cstheme="minorHAnsi"/>
        </w:rPr>
        <w:t xml:space="preserve"> process moves forward.</w:t>
      </w:r>
    </w:p>
    <w:p w14:paraId="78C0BC19" w14:textId="77777777" w:rsidR="00864EA5" w:rsidRPr="00864EA5" w:rsidRDefault="00864EA5" w:rsidP="00864EA5">
      <w:pPr>
        <w:spacing w:after="0"/>
        <w:rPr>
          <w:rFonts w:cstheme="minorHAnsi"/>
        </w:rPr>
      </w:pPr>
    </w:p>
    <w:p w14:paraId="0F06523C" w14:textId="14FCF0D6" w:rsidR="00864EA5" w:rsidRDefault="00864EA5" w:rsidP="00864EA5">
      <w:pPr>
        <w:spacing w:after="0"/>
        <w:rPr>
          <w:rFonts w:cstheme="minorHAnsi"/>
        </w:rPr>
      </w:pPr>
      <w:r w:rsidRPr="00864EA5">
        <w:rPr>
          <w:rFonts w:cstheme="minorHAnsi"/>
        </w:rPr>
        <w:t>Respectfully submitted,</w:t>
      </w:r>
    </w:p>
    <w:p w14:paraId="46B00EFE" w14:textId="77777777" w:rsidR="00864EA5" w:rsidRPr="00864EA5" w:rsidRDefault="00864EA5" w:rsidP="00864EA5">
      <w:pPr>
        <w:spacing w:after="0"/>
        <w:rPr>
          <w:rFonts w:cstheme="minorHAnsi"/>
        </w:rPr>
      </w:pPr>
    </w:p>
    <w:p w14:paraId="10CFD73E" w14:textId="10811BB3" w:rsidR="00864EA5" w:rsidRPr="00864EA5" w:rsidRDefault="00864EA5" w:rsidP="00864EA5">
      <w:pPr>
        <w:spacing w:after="0"/>
        <w:rPr>
          <w:rFonts w:cstheme="minorHAnsi"/>
        </w:rPr>
      </w:pPr>
    </w:p>
    <w:p w14:paraId="330BA695" w14:textId="42778927" w:rsidR="00864EA5" w:rsidRPr="00864EA5" w:rsidRDefault="00864EA5" w:rsidP="00864EA5">
      <w:pPr>
        <w:spacing w:after="0"/>
        <w:rPr>
          <w:rFonts w:cstheme="minorHAnsi"/>
        </w:rPr>
      </w:pPr>
      <w:r w:rsidRPr="00864EA5">
        <w:rPr>
          <w:rFonts w:cstheme="minorHAnsi"/>
        </w:rPr>
        <w:t>Kevin Washington</w:t>
      </w:r>
      <w:r w:rsidRPr="00864EA5">
        <w:rPr>
          <w:rFonts w:cstheme="minorHAnsi"/>
        </w:rPr>
        <w:br/>
        <w:t>Head of Government Affairs</w:t>
      </w:r>
    </w:p>
    <w:p w14:paraId="7ED568C4" w14:textId="30982858" w:rsidR="00864EA5" w:rsidRPr="00864EA5" w:rsidRDefault="00864EA5" w:rsidP="00864EA5">
      <w:pPr>
        <w:spacing w:after="0"/>
        <w:rPr>
          <w:rFonts w:cstheme="minorHAnsi"/>
        </w:rPr>
      </w:pPr>
      <w:r w:rsidRPr="00864EA5">
        <w:rPr>
          <w:rFonts w:cstheme="minorHAnsi"/>
        </w:rPr>
        <w:t>Illinois Tool Works Inc.</w:t>
      </w:r>
    </w:p>
    <w:sectPr w:rsidR="00864EA5" w:rsidRPr="00864E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35E75" w14:textId="77777777" w:rsidR="00C37D81" w:rsidRPr="00BF40CD" w:rsidRDefault="0071252A" w:rsidP="00C37D81">
    <w:pPr>
      <w:pBdr>
        <w:top w:val="single" w:sz="4" w:space="1" w:color="auto"/>
      </w:pBdr>
      <w:spacing w:after="0"/>
      <w:rPr>
        <w:sz w:val="20"/>
        <w:szCs w:val="20"/>
      </w:rPr>
    </w:pPr>
    <w:r w:rsidRPr="00BF40CD">
      <w:rPr>
        <w:sz w:val="20"/>
        <w:szCs w:val="20"/>
      </w:rPr>
      <w:t>Illinois Tool Works Inc. Government Affairs   1725 I Street, NW, Suite 300   Washington, D</w:t>
    </w:r>
    <w:r w:rsidRPr="00BF40CD">
      <w:rPr>
        <w:sz w:val="20"/>
        <w:szCs w:val="20"/>
      </w:rPr>
      <w:t>C 20006</w:t>
    </w:r>
    <w:r w:rsidRPr="00BF40CD">
      <w:rPr>
        <w:sz w:val="20"/>
        <w:szCs w:val="20"/>
      </w:rPr>
      <w:t xml:space="preserve"> </w:t>
    </w:r>
    <w:r>
      <w:rPr>
        <w:sz w:val="20"/>
        <w:szCs w:val="20"/>
      </w:rPr>
      <w:t xml:space="preserve">   </w:t>
    </w:r>
    <w:r w:rsidRPr="00BF40CD">
      <w:rPr>
        <w:sz w:val="20"/>
        <w:szCs w:val="20"/>
      </w:rPr>
      <w:t>(202) 261-3550</w:t>
    </w:r>
  </w:p>
  <w:p w14:paraId="67EB57CA" w14:textId="77777777" w:rsidR="00C37D81" w:rsidRPr="00C37D81" w:rsidRDefault="0071252A" w:rsidP="00C37D81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84C33"/>
    <w:multiLevelType w:val="hybridMultilevel"/>
    <w:tmpl w:val="F83012A8"/>
    <w:lvl w:ilvl="0" w:tplc="318885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10CE9"/>
    <w:multiLevelType w:val="hybridMultilevel"/>
    <w:tmpl w:val="06E6F066"/>
    <w:lvl w:ilvl="0" w:tplc="318885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AF6A42"/>
    <w:multiLevelType w:val="hybridMultilevel"/>
    <w:tmpl w:val="7A86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F4AAC"/>
    <w:multiLevelType w:val="hybridMultilevel"/>
    <w:tmpl w:val="D706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C7D79"/>
    <w:multiLevelType w:val="hybridMultilevel"/>
    <w:tmpl w:val="565E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43089"/>
    <w:multiLevelType w:val="hybridMultilevel"/>
    <w:tmpl w:val="77880892"/>
    <w:lvl w:ilvl="0" w:tplc="3188857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E0605"/>
    <w:multiLevelType w:val="hybridMultilevel"/>
    <w:tmpl w:val="5D34EF32"/>
    <w:lvl w:ilvl="0" w:tplc="3188857E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88"/>
    <w:rsid w:val="000174FB"/>
    <w:rsid w:val="00504CDE"/>
    <w:rsid w:val="00811669"/>
    <w:rsid w:val="0084270B"/>
    <w:rsid w:val="00864EA5"/>
    <w:rsid w:val="009A10E7"/>
    <w:rsid w:val="00A50B4E"/>
    <w:rsid w:val="00B02A64"/>
    <w:rsid w:val="00CD781F"/>
    <w:rsid w:val="00EA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3B78D"/>
  <w15:chartTrackingRefBased/>
  <w15:docId w15:val="{348E925E-EAC7-4226-A9AB-6C625C3E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3E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E88"/>
  </w:style>
  <w:style w:type="paragraph" w:styleId="ListParagraph">
    <w:name w:val="List Paragraph"/>
    <w:basedOn w:val="Normal"/>
    <w:uiPriority w:val="34"/>
    <w:qFormat/>
    <w:rsid w:val="00EA3E8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EA3E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A3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c.ecology.commentinput.com/?id=Ypx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Kevin</dc:creator>
  <cp:keywords/>
  <dc:description/>
  <cp:lastModifiedBy>Washington, Kevin</cp:lastModifiedBy>
  <cp:revision>3</cp:revision>
  <dcterms:created xsi:type="dcterms:W3CDTF">2020-03-25T19:56:00Z</dcterms:created>
  <dcterms:modified xsi:type="dcterms:W3CDTF">2020-03-26T14:50:00Z</dcterms:modified>
</cp:coreProperties>
</file>