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D8BC2" w14:textId="64600CB4" w:rsidR="003B6D0F" w:rsidRPr="00EE03DB" w:rsidRDefault="007F3B2A" w:rsidP="00EE03DB">
      <w:pPr>
        <w:spacing w:line="276" w:lineRule="auto"/>
        <w:rPr>
          <w:rFonts w:cstheme="minorHAnsi"/>
        </w:rPr>
      </w:pPr>
      <w:r w:rsidRPr="00EE03DB">
        <w:rPr>
          <w:rFonts w:cstheme="minorHAnsi"/>
        </w:rPr>
        <w:t>May 2</w:t>
      </w:r>
      <w:r w:rsidR="00EE03DB">
        <w:rPr>
          <w:rFonts w:cstheme="minorHAnsi"/>
        </w:rPr>
        <w:t>5</w:t>
      </w:r>
      <w:r w:rsidRPr="00EE03DB">
        <w:rPr>
          <w:rFonts w:cstheme="minorHAnsi"/>
        </w:rPr>
        <w:t>, 2020</w:t>
      </w:r>
    </w:p>
    <w:p w14:paraId="60CF1AE7" w14:textId="0448064F" w:rsidR="007F3B2A" w:rsidRPr="00EE03DB" w:rsidRDefault="007F3B2A" w:rsidP="00EE03DB">
      <w:pPr>
        <w:spacing w:line="276" w:lineRule="auto"/>
        <w:rPr>
          <w:rFonts w:cstheme="minorHAnsi"/>
        </w:rPr>
      </w:pPr>
    </w:p>
    <w:p w14:paraId="66F0012A" w14:textId="77777777" w:rsidR="007F3B2A" w:rsidRPr="00EE03DB" w:rsidRDefault="007F3B2A" w:rsidP="00EE03DB">
      <w:pPr>
        <w:spacing w:after="0" w:line="276" w:lineRule="auto"/>
        <w:contextualSpacing/>
        <w:rPr>
          <w:rFonts w:cstheme="minorHAnsi"/>
        </w:rPr>
      </w:pPr>
      <w:r w:rsidRPr="00EE03DB">
        <w:rPr>
          <w:rFonts w:cstheme="minorHAnsi"/>
        </w:rPr>
        <w:t>Bill Drumheller</w:t>
      </w:r>
    </w:p>
    <w:p w14:paraId="003C0AC2" w14:textId="77777777" w:rsidR="007F3B2A" w:rsidRPr="00EE03DB" w:rsidRDefault="007F3B2A" w:rsidP="00EE03DB">
      <w:pPr>
        <w:spacing w:after="0" w:line="276" w:lineRule="auto"/>
        <w:contextualSpacing/>
        <w:rPr>
          <w:rFonts w:cstheme="minorHAnsi"/>
        </w:rPr>
      </w:pPr>
      <w:r w:rsidRPr="00EE03DB">
        <w:rPr>
          <w:rFonts w:cstheme="minorHAnsi"/>
        </w:rPr>
        <w:t xml:space="preserve">Air Quality Program, </w:t>
      </w:r>
    </w:p>
    <w:p w14:paraId="20699176" w14:textId="709787A7" w:rsidR="007F3B2A" w:rsidRPr="00EE03DB" w:rsidRDefault="007F3B2A" w:rsidP="00EE03DB">
      <w:pPr>
        <w:spacing w:after="0" w:line="276" w:lineRule="auto"/>
        <w:contextualSpacing/>
        <w:rPr>
          <w:rFonts w:cstheme="minorHAnsi"/>
        </w:rPr>
      </w:pPr>
      <w:r w:rsidRPr="00EE03DB">
        <w:rPr>
          <w:rFonts w:cstheme="minorHAnsi"/>
        </w:rPr>
        <w:t>Department of Ecology</w:t>
      </w:r>
    </w:p>
    <w:p w14:paraId="0CFE103F" w14:textId="77777777" w:rsidR="007F3B2A" w:rsidRPr="00EE03DB" w:rsidRDefault="007F3B2A" w:rsidP="00EE03DB">
      <w:pPr>
        <w:spacing w:after="0" w:line="276" w:lineRule="auto"/>
        <w:contextualSpacing/>
        <w:rPr>
          <w:rFonts w:cstheme="minorHAnsi"/>
        </w:rPr>
      </w:pPr>
      <w:r w:rsidRPr="00EE03DB">
        <w:rPr>
          <w:rFonts w:cstheme="minorHAnsi"/>
        </w:rPr>
        <w:t>300 Desmond Dr SE</w:t>
      </w:r>
    </w:p>
    <w:p w14:paraId="09C1F318" w14:textId="77777777" w:rsidR="007F3B2A" w:rsidRPr="00EE03DB" w:rsidRDefault="007F3B2A" w:rsidP="00EE03DB">
      <w:pPr>
        <w:spacing w:after="0" w:line="276" w:lineRule="auto"/>
        <w:contextualSpacing/>
        <w:rPr>
          <w:rFonts w:cstheme="minorHAnsi"/>
        </w:rPr>
      </w:pPr>
      <w:r w:rsidRPr="00EE03DB">
        <w:rPr>
          <w:rFonts w:cstheme="minorHAnsi"/>
        </w:rPr>
        <w:t>Lacey, WA 98503</w:t>
      </w:r>
    </w:p>
    <w:p w14:paraId="5A90C0E8" w14:textId="7E318950" w:rsidR="007F3B2A" w:rsidRPr="00EE03DB" w:rsidRDefault="007F3B2A" w:rsidP="00EE03DB">
      <w:pPr>
        <w:spacing w:line="276" w:lineRule="auto"/>
        <w:rPr>
          <w:rFonts w:cstheme="minorHAnsi"/>
        </w:rPr>
      </w:pPr>
    </w:p>
    <w:p w14:paraId="4D6DC76F" w14:textId="692CBF40" w:rsidR="00CA1C66" w:rsidRPr="00EE03DB" w:rsidRDefault="00CA1C66" w:rsidP="00EE03DB">
      <w:pPr>
        <w:spacing w:line="276" w:lineRule="auto"/>
        <w:rPr>
          <w:rFonts w:cstheme="minorHAnsi"/>
          <w:b/>
          <w:bCs/>
        </w:rPr>
      </w:pPr>
      <w:r w:rsidRPr="00EE03DB">
        <w:rPr>
          <w:rFonts w:cstheme="minorHAnsi"/>
          <w:b/>
          <w:bCs/>
        </w:rPr>
        <w:t xml:space="preserve">Re: Comments </w:t>
      </w:r>
      <w:r w:rsidR="00C23463" w:rsidRPr="00EE03DB">
        <w:rPr>
          <w:rFonts w:cstheme="minorHAnsi"/>
          <w:b/>
          <w:bCs/>
        </w:rPr>
        <w:t>to the Dept of Ecology’s</w:t>
      </w:r>
      <w:r w:rsidRPr="00EE03DB">
        <w:rPr>
          <w:rFonts w:cstheme="minorHAnsi"/>
          <w:b/>
          <w:bCs/>
        </w:rPr>
        <w:t xml:space="preserve"> Draft WAC 173-444 </w:t>
      </w:r>
      <w:r w:rsidR="00C23463" w:rsidRPr="00EE03DB">
        <w:rPr>
          <w:rFonts w:cstheme="minorHAnsi"/>
          <w:b/>
          <w:bCs/>
        </w:rPr>
        <w:t xml:space="preserve">rules to implement provisions of the Clean Energy Transformation Act (CETA) addressing Energy Transformation Projects, on </w:t>
      </w:r>
      <w:r w:rsidRPr="00EE03DB">
        <w:rPr>
          <w:rFonts w:cstheme="minorHAnsi"/>
          <w:b/>
          <w:bCs/>
        </w:rPr>
        <w:t xml:space="preserve">behalf of Douglas Public Utility District, Klickitat Public Utility District and The Renewable Hydrogen Alliance </w:t>
      </w:r>
    </w:p>
    <w:p w14:paraId="5C5C13D9" w14:textId="77777777" w:rsidR="00EE03DB" w:rsidRDefault="00EE03DB" w:rsidP="00EE03DB">
      <w:pPr>
        <w:spacing w:line="276" w:lineRule="auto"/>
        <w:rPr>
          <w:rFonts w:cstheme="minorHAnsi"/>
        </w:rPr>
      </w:pPr>
    </w:p>
    <w:p w14:paraId="445855B4" w14:textId="723AFF2B" w:rsidR="00CA1C66" w:rsidRPr="00EE03DB" w:rsidRDefault="00CA1C66" w:rsidP="00EE03DB">
      <w:pPr>
        <w:spacing w:line="276" w:lineRule="auto"/>
        <w:rPr>
          <w:rFonts w:cstheme="minorHAnsi"/>
        </w:rPr>
      </w:pPr>
      <w:r w:rsidRPr="00EE03DB">
        <w:rPr>
          <w:rFonts w:cstheme="minorHAnsi"/>
        </w:rPr>
        <w:t>Mr</w:t>
      </w:r>
      <w:r w:rsidR="00913718" w:rsidRPr="00EE03DB">
        <w:rPr>
          <w:rFonts w:cstheme="minorHAnsi"/>
        </w:rPr>
        <w:t>.</w:t>
      </w:r>
      <w:r w:rsidRPr="00EE03DB">
        <w:rPr>
          <w:rFonts w:cstheme="minorHAnsi"/>
        </w:rPr>
        <w:t xml:space="preserve"> Drumheller,</w:t>
      </w:r>
    </w:p>
    <w:p w14:paraId="6C72A704" w14:textId="53D43CDE" w:rsidR="00F516C3" w:rsidRPr="00EE03DB" w:rsidRDefault="007D4E89" w:rsidP="00EE03DB">
      <w:pPr>
        <w:spacing w:after="120" w:line="276" w:lineRule="auto"/>
        <w:rPr>
          <w:rFonts w:cstheme="minorHAnsi"/>
        </w:rPr>
      </w:pPr>
      <w:r w:rsidRPr="00EE03DB">
        <w:rPr>
          <w:rFonts w:cstheme="minorHAnsi"/>
        </w:rPr>
        <w:t>On behalf of Douglas County PUD, Klickitat County PUD and the Renewable Hydrogen Alliance, w</w:t>
      </w:r>
      <w:r w:rsidR="00CA1C66" w:rsidRPr="00EE03DB">
        <w:rPr>
          <w:rFonts w:cstheme="minorHAnsi"/>
        </w:rPr>
        <w:t xml:space="preserve">e appreciate the opportunity to comment on the Department of Ecology’s (Ecology) Draft Energy Transformation Project Rule Outline (Outline) for the Energy Transformation Project (ETP) Rule as presented in the March 16 teleconference. </w:t>
      </w:r>
      <w:r w:rsidR="00C12BF2" w:rsidRPr="00EE03DB">
        <w:rPr>
          <w:rFonts w:cstheme="minorHAnsi"/>
        </w:rPr>
        <w:t xml:space="preserve">Douglas PUD, headquartered in East Wenatchee, WA, owns and operates the 840 MW Wells Hydroelectric Project on behalf of its electric customers, is actively pursuing renewable hydrogen production and distribution facilities. Klickitat PUD is headquartered in Goldendale, WA, owns and operates multiple renewable energy projects, including one of the largest renewable natural gas (RNG) production facilities in the country, and wind and hydroelectric generation facilities. </w:t>
      </w:r>
      <w:r w:rsidR="00B35C4C" w:rsidRPr="00EE03DB">
        <w:rPr>
          <w:rFonts w:cstheme="minorHAnsi"/>
        </w:rPr>
        <w:t xml:space="preserve">Klickitat PUD has been approached </w:t>
      </w:r>
      <w:r w:rsidR="00C82A19" w:rsidRPr="00EE03DB">
        <w:rPr>
          <w:rFonts w:cstheme="minorHAnsi"/>
        </w:rPr>
        <w:t xml:space="preserve">recently </w:t>
      </w:r>
      <w:r w:rsidR="00B35C4C" w:rsidRPr="00EE03DB">
        <w:rPr>
          <w:rFonts w:cstheme="minorHAnsi"/>
        </w:rPr>
        <w:t xml:space="preserve">by several parties seeking to utilize </w:t>
      </w:r>
      <w:r w:rsidR="00C82A19" w:rsidRPr="00EE03DB">
        <w:rPr>
          <w:rFonts w:cstheme="minorHAnsi"/>
        </w:rPr>
        <w:t>the PUD’s</w:t>
      </w:r>
      <w:r w:rsidR="00C82A19" w:rsidRPr="00EE03DB">
        <w:rPr>
          <w:rFonts w:cstheme="minorHAnsi"/>
        </w:rPr>
        <w:t xml:space="preserve"> </w:t>
      </w:r>
      <w:r w:rsidR="00B35C4C" w:rsidRPr="00EE03DB">
        <w:rPr>
          <w:rFonts w:cstheme="minorHAnsi"/>
        </w:rPr>
        <w:t xml:space="preserve">expertise in developing RNG production facilities. </w:t>
      </w:r>
      <w:r w:rsidR="00C12BF2" w:rsidRPr="00EE03DB">
        <w:rPr>
          <w:rFonts w:cstheme="minorHAnsi"/>
        </w:rPr>
        <w:t xml:space="preserve">The Renewable Hydrogen Alliance </w:t>
      </w:r>
      <w:r w:rsidRPr="00EE03DB">
        <w:rPr>
          <w:rFonts w:cstheme="minorHAnsi"/>
        </w:rPr>
        <w:t xml:space="preserve">(RHA) </w:t>
      </w:r>
      <w:r w:rsidR="00C12BF2" w:rsidRPr="00EE03DB">
        <w:rPr>
          <w:rFonts w:cstheme="minorHAnsi"/>
        </w:rPr>
        <w:t xml:space="preserve">is a Portland based trade association, with more than 60 electric and natural gas utility, </w:t>
      </w:r>
      <w:r w:rsidR="00AE2C7E" w:rsidRPr="00EE03DB">
        <w:rPr>
          <w:rFonts w:cstheme="minorHAnsi"/>
        </w:rPr>
        <w:t xml:space="preserve">electrolyzer, </w:t>
      </w:r>
      <w:r w:rsidR="00C12BF2" w:rsidRPr="00EE03DB">
        <w:rPr>
          <w:rFonts w:cstheme="minorHAnsi"/>
        </w:rPr>
        <w:t>fuel cell and automotive manufacturing, and NGO members</w:t>
      </w:r>
      <w:r w:rsidRPr="00EE03DB">
        <w:rPr>
          <w:rFonts w:cstheme="minorHAnsi"/>
        </w:rPr>
        <w:t>.</w:t>
      </w:r>
      <w:r w:rsidR="00C12BF2" w:rsidRPr="00EE03DB">
        <w:rPr>
          <w:rFonts w:cstheme="minorHAnsi"/>
        </w:rPr>
        <w:t xml:space="preserve"> </w:t>
      </w:r>
      <w:r w:rsidRPr="00EE03DB">
        <w:rPr>
          <w:rFonts w:cstheme="minorHAnsi"/>
        </w:rPr>
        <w:t xml:space="preserve">RHA </w:t>
      </w:r>
      <w:r w:rsidR="00C12BF2" w:rsidRPr="00EE03DB">
        <w:rPr>
          <w:rFonts w:cstheme="minorHAnsi"/>
        </w:rPr>
        <w:t>advocat</w:t>
      </w:r>
      <w:r w:rsidRPr="00EE03DB">
        <w:rPr>
          <w:rFonts w:cstheme="minorHAnsi"/>
        </w:rPr>
        <w:t>es</w:t>
      </w:r>
      <w:r w:rsidR="00C12BF2" w:rsidRPr="00EE03DB">
        <w:rPr>
          <w:rFonts w:cstheme="minorHAnsi"/>
        </w:rPr>
        <w:t xml:space="preserve"> for inclusion of the production, distribution</w:t>
      </w:r>
      <w:r w:rsidR="00EE03DB">
        <w:rPr>
          <w:rFonts w:cstheme="minorHAnsi"/>
        </w:rPr>
        <w:t>,</w:t>
      </w:r>
      <w:r w:rsidR="00C12BF2" w:rsidRPr="00EE03DB">
        <w:rPr>
          <w:rFonts w:cstheme="minorHAnsi"/>
        </w:rPr>
        <w:t xml:space="preserve"> and end use of renewable hydrogen (RH) into renewable energy policies throughout the Pacific Northwest. </w:t>
      </w:r>
    </w:p>
    <w:p w14:paraId="3F366390" w14:textId="5F1883D4" w:rsidR="00CA1C66" w:rsidRPr="00EE03DB" w:rsidRDefault="00C12BF2" w:rsidP="00EE03DB">
      <w:pPr>
        <w:spacing w:after="120" w:line="276" w:lineRule="auto"/>
        <w:rPr>
          <w:rFonts w:cstheme="minorHAnsi"/>
        </w:rPr>
      </w:pPr>
      <w:r w:rsidRPr="00EE03DB">
        <w:rPr>
          <w:rFonts w:cstheme="minorHAnsi"/>
        </w:rPr>
        <w:t xml:space="preserve">All three of these entities directly </w:t>
      </w:r>
      <w:r w:rsidR="00F516C3" w:rsidRPr="00EE03DB">
        <w:rPr>
          <w:rFonts w:cstheme="minorHAnsi"/>
        </w:rPr>
        <w:t xml:space="preserve">supported and </w:t>
      </w:r>
      <w:r w:rsidRPr="00EE03DB">
        <w:rPr>
          <w:rFonts w:cstheme="minorHAnsi"/>
        </w:rPr>
        <w:t xml:space="preserve">advocated for inclusion of </w:t>
      </w:r>
      <w:r w:rsidR="00F516C3" w:rsidRPr="00EE03DB">
        <w:rPr>
          <w:rFonts w:cstheme="minorHAnsi"/>
        </w:rPr>
        <w:t xml:space="preserve">utility investments in </w:t>
      </w:r>
      <w:r w:rsidRPr="00EE03DB">
        <w:rPr>
          <w:rFonts w:cstheme="minorHAnsi"/>
        </w:rPr>
        <w:t>RH and RNG production, distribution and end uses</w:t>
      </w:r>
      <w:r w:rsidR="00F516C3" w:rsidRPr="00EE03DB">
        <w:rPr>
          <w:rFonts w:cstheme="minorHAnsi"/>
        </w:rPr>
        <w:t xml:space="preserve"> as energy transformation projects (ETPs)</w:t>
      </w:r>
      <w:r w:rsidR="00C82A19" w:rsidRPr="00EE03DB">
        <w:rPr>
          <w:rFonts w:cstheme="minorHAnsi"/>
        </w:rPr>
        <w:t xml:space="preserve"> for</w:t>
      </w:r>
      <w:r w:rsidR="007D4E89" w:rsidRPr="00EE03DB">
        <w:rPr>
          <w:rFonts w:cstheme="minorHAnsi"/>
        </w:rPr>
        <w:t xml:space="preserve"> use by utilities to use for </w:t>
      </w:r>
      <w:r w:rsidR="00F516C3" w:rsidRPr="00EE03DB">
        <w:rPr>
          <w:rFonts w:cstheme="minorHAnsi"/>
        </w:rPr>
        <w:t>alternative compliance options to reach carbon neutrality by 2030 pursuant to RCW 19.405.040.</w:t>
      </w:r>
    </w:p>
    <w:p w14:paraId="493AEF53" w14:textId="1A2E9FD6" w:rsidR="00F516C3" w:rsidRPr="00EE03DB" w:rsidRDefault="007D4E89" w:rsidP="00EE03DB">
      <w:pPr>
        <w:spacing w:after="120" w:line="276" w:lineRule="auto"/>
        <w:rPr>
          <w:rFonts w:cstheme="minorHAnsi"/>
        </w:rPr>
      </w:pPr>
      <w:r w:rsidRPr="00EE03DB">
        <w:rPr>
          <w:rFonts w:cstheme="minorHAnsi"/>
        </w:rPr>
        <w:t>W</w:t>
      </w:r>
      <w:r w:rsidR="00AE2C7E" w:rsidRPr="00EE03DB">
        <w:rPr>
          <w:rFonts w:cstheme="minorHAnsi"/>
        </w:rPr>
        <w:t>e</w:t>
      </w:r>
      <w:r w:rsidR="00F516C3" w:rsidRPr="00EE03DB">
        <w:rPr>
          <w:rFonts w:cstheme="minorHAnsi"/>
        </w:rPr>
        <w:t xml:space="preserve"> note the context that ETPs appear in CETA</w:t>
      </w:r>
      <w:r w:rsidR="00AE2C7E" w:rsidRPr="00EE03DB">
        <w:rPr>
          <w:rFonts w:cstheme="minorHAnsi"/>
        </w:rPr>
        <w:t xml:space="preserve"> (bold and underline added)</w:t>
      </w:r>
      <w:r w:rsidR="00F516C3" w:rsidRPr="00EE03DB">
        <w:rPr>
          <w:rFonts w:cstheme="minorHAnsi"/>
        </w:rPr>
        <w:t xml:space="preserve">. </w:t>
      </w:r>
    </w:p>
    <w:p w14:paraId="15DC7CBA" w14:textId="77777777" w:rsidR="00AE2C7E" w:rsidRPr="00EE03DB" w:rsidRDefault="00AE2C7E" w:rsidP="00EE03DB">
      <w:pPr>
        <w:spacing w:line="276" w:lineRule="auto"/>
        <w:ind w:left="720"/>
        <w:rPr>
          <w:rFonts w:cstheme="minorHAnsi"/>
          <w:i/>
          <w:iCs/>
        </w:rPr>
      </w:pPr>
      <w:r w:rsidRPr="00EE03DB">
        <w:rPr>
          <w:rFonts w:cstheme="minorHAnsi"/>
          <w:i/>
          <w:iCs/>
        </w:rPr>
        <w:t>The Legislature finds</w:t>
      </w:r>
      <w:r w:rsidRPr="00EE03DB">
        <w:rPr>
          <w:rFonts w:cstheme="minorHAnsi"/>
          <w:i/>
          <w:iCs/>
          <w:u w:val="single"/>
        </w:rPr>
        <w:t xml:space="preserve">: </w:t>
      </w:r>
      <w:r w:rsidRPr="00EE03DB">
        <w:rPr>
          <w:rFonts w:cstheme="minorHAnsi"/>
          <w:b/>
          <w:bCs/>
          <w:i/>
          <w:iCs/>
          <w:u w:val="single"/>
        </w:rPr>
        <w:t>Absent significant and swift reductions in greenhouse gas emissions, climate change poses immediate significant threats to our economy, health, safety, and national security</w:t>
      </w:r>
      <w:r w:rsidRPr="00EE03DB">
        <w:rPr>
          <w:rFonts w:cstheme="minorHAnsi"/>
          <w:b/>
          <w:bCs/>
          <w:i/>
          <w:iCs/>
        </w:rPr>
        <w:t>.</w:t>
      </w:r>
      <w:r w:rsidRPr="00EE03DB">
        <w:rPr>
          <w:rStyle w:val="FootnoteReference"/>
          <w:rFonts w:cstheme="minorHAnsi"/>
          <w:i/>
          <w:iCs/>
        </w:rPr>
        <w:footnoteReference w:id="1"/>
      </w:r>
    </w:p>
    <w:p w14:paraId="46A9960E" w14:textId="77777777" w:rsidR="00AE2C7E" w:rsidRPr="00EE03DB" w:rsidRDefault="00AE2C7E" w:rsidP="00EE03DB">
      <w:pPr>
        <w:spacing w:line="276" w:lineRule="auto"/>
        <w:ind w:left="720"/>
        <w:rPr>
          <w:rFonts w:cstheme="minorHAnsi"/>
          <w:i/>
          <w:iCs/>
        </w:rPr>
      </w:pPr>
      <w:r w:rsidRPr="00EE03DB">
        <w:rPr>
          <w:rFonts w:cstheme="minorHAnsi"/>
          <w:i/>
          <w:iCs/>
        </w:rPr>
        <w:lastRenderedPageBreak/>
        <w:t xml:space="preserve">"Energy transformation project" means a project or program that: Provides energy-related goods or services, other than the generation of electricity; </w:t>
      </w:r>
      <w:r w:rsidRPr="00EE03DB">
        <w:rPr>
          <w:rFonts w:cstheme="minorHAnsi"/>
          <w:b/>
          <w:bCs/>
          <w:i/>
          <w:iCs/>
        </w:rPr>
        <w:t>results in a reduction of fossil fuel consumption and in</w:t>
      </w:r>
      <w:r w:rsidRPr="00EE03DB">
        <w:rPr>
          <w:rFonts w:cstheme="minorHAnsi"/>
          <w:i/>
          <w:iCs/>
        </w:rPr>
        <w:t xml:space="preserve"> </w:t>
      </w:r>
      <w:r w:rsidRPr="00EE03DB">
        <w:rPr>
          <w:rFonts w:cstheme="minorHAnsi"/>
          <w:b/>
          <w:bCs/>
          <w:i/>
          <w:iCs/>
        </w:rPr>
        <w:t xml:space="preserve">a </w:t>
      </w:r>
      <w:r w:rsidRPr="00EE03DB">
        <w:rPr>
          <w:rFonts w:cstheme="minorHAnsi"/>
          <w:b/>
          <w:bCs/>
          <w:i/>
          <w:iCs/>
          <w:u w:val="single"/>
        </w:rPr>
        <w:t>reduction of the emission of greenhouse gases attributable to that consumption</w:t>
      </w:r>
      <w:r w:rsidRPr="00EE03DB">
        <w:rPr>
          <w:rFonts w:cstheme="minorHAnsi"/>
          <w:i/>
          <w:iCs/>
        </w:rPr>
        <w:t>; and provides benefits to the customers of an electric utility.</w:t>
      </w:r>
      <w:r w:rsidRPr="00EE03DB">
        <w:rPr>
          <w:rStyle w:val="FootnoteReference"/>
          <w:rFonts w:cstheme="minorHAnsi"/>
          <w:i/>
          <w:iCs/>
        </w:rPr>
        <w:footnoteReference w:id="2"/>
      </w:r>
    </w:p>
    <w:p w14:paraId="065E748B" w14:textId="09B6951C" w:rsidR="00F516C3" w:rsidRPr="00EE03DB" w:rsidRDefault="00AE2C7E" w:rsidP="00EE03DB">
      <w:pPr>
        <w:spacing w:after="120" w:line="276" w:lineRule="auto"/>
        <w:rPr>
          <w:rFonts w:cstheme="minorHAnsi"/>
        </w:rPr>
      </w:pPr>
      <w:r w:rsidRPr="00EE03DB">
        <w:rPr>
          <w:rFonts w:cstheme="minorHAnsi"/>
        </w:rPr>
        <w:t xml:space="preserve">To reach the standard of greenhouse gas neutrality </w:t>
      </w:r>
      <w:r w:rsidR="00766CB8" w:rsidRPr="00EE03DB">
        <w:rPr>
          <w:rFonts w:cstheme="minorHAnsi"/>
        </w:rPr>
        <w:t>from</w:t>
      </w:r>
      <w:r w:rsidRPr="00EE03DB">
        <w:rPr>
          <w:rFonts w:cstheme="minorHAnsi"/>
        </w:rPr>
        <w:t xml:space="preserve"> 2030 through 2045</w:t>
      </w:r>
      <w:r w:rsidR="00766CB8" w:rsidRPr="00EE03DB">
        <w:rPr>
          <w:rFonts w:cstheme="minorHAnsi"/>
        </w:rPr>
        <w:t>,</w:t>
      </w:r>
      <w:r w:rsidRPr="00EE03DB">
        <w:rPr>
          <w:rFonts w:cstheme="minorHAnsi"/>
        </w:rPr>
        <w:t xml:space="preserve"> CETA </w:t>
      </w:r>
      <w:r w:rsidR="00766CB8" w:rsidRPr="00EE03DB">
        <w:rPr>
          <w:rFonts w:cstheme="minorHAnsi"/>
        </w:rPr>
        <w:t xml:space="preserve">allows up to 20% of its compliance obligation </w:t>
      </w:r>
      <w:r w:rsidR="00C82A19" w:rsidRPr="00EE03DB">
        <w:rPr>
          <w:rFonts w:cstheme="minorHAnsi"/>
        </w:rPr>
        <w:t>to</w:t>
      </w:r>
      <w:r w:rsidR="00C82A19" w:rsidRPr="00EE03DB">
        <w:rPr>
          <w:rFonts w:cstheme="minorHAnsi"/>
        </w:rPr>
        <w:t xml:space="preserve"> </w:t>
      </w:r>
      <w:r w:rsidR="00766CB8" w:rsidRPr="00EE03DB">
        <w:rPr>
          <w:rFonts w:cstheme="minorHAnsi"/>
        </w:rPr>
        <w:t>be satisfied with a selection of alternative compliance options</w:t>
      </w:r>
      <w:r w:rsidR="00766CB8" w:rsidRPr="00EE03DB">
        <w:rPr>
          <w:rStyle w:val="FootnoteReference"/>
          <w:rFonts w:cstheme="minorHAnsi"/>
        </w:rPr>
        <w:footnoteReference w:id="3"/>
      </w:r>
      <w:r w:rsidR="00766CB8" w:rsidRPr="00EE03DB">
        <w:rPr>
          <w:rFonts w:cstheme="minorHAnsi"/>
        </w:rPr>
        <w:t>:</w:t>
      </w:r>
    </w:p>
    <w:p w14:paraId="7BE46958" w14:textId="09E7BA83" w:rsidR="00766CB8" w:rsidRPr="00EE03DB" w:rsidRDefault="00766CB8" w:rsidP="00EE03DB">
      <w:pPr>
        <w:pStyle w:val="ListParagraph"/>
        <w:numPr>
          <w:ilvl w:val="0"/>
          <w:numId w:val="1"/>
        </w:numPr>
        <w:spacing w:after="120" w:line="276" w:lineRule="auto"/>
        <w:rPr>
          <w:rFonts w:cstheme="minorHAnsi"/>
        </w:rPr>
      </w:pPr>
      <w:r w:rsidRPr="00EE03DB">
        <w:rPr>
          <w:rFonts w:cstheme="minorHAnsi"/>
        </w:rPr>
        <w:t>An alternative compliance payment equal to the $100/MWh, adjusted for inflation beginning 2027, times the listed multiplier for various fossil generated electricity</w:t>
      </w:r>
      <w:r w:rsidRPr="00EE03DB">
        <w:rPr>
          <w:rStyle w:val="FootnoteReference"/>
          <w:rFonts w:cstheme="minorHAnsi"/>
        </w:rPr>
        <w:footnoteReference w:id="4"/>
      </w:r>
      <w:r w:rsidRPr="00EE03DB">
        <w:rPr>
          <w:rFonts w:cstheme="minorHAnsi"/>
        </w:rPr>
        <w:t xml:space="preserve"> (though it is not clear what multiplier this alternative compliance payment would be subject to)</w:t>
      </w:r>
    </w:p>
    <w:p w14:paraId="19EADEFA" w14:textId="5E01BBE5" w:rsidR="00766CB8" w:rsidRPr="00EE03DB" w:rsidRDefault="00766CB8" w:rsidP="00EE03DB">
      <w:pPr>
        <w:pStyle w:val="ListParagraph"/>
        <w:numPr>
          <w:ilvl w:val="0"/>
          <w:numId w:val="1"/>
        </w:numPr>
        <w:spacing w:after="120" w:line="276" w:lineRule="auto"/>
        <w:rPr>
          <w:rFonts w:cstheme="minorHAnsi"/>
        </w:rPr>
      </w:pPr>
      <w:r w:rsidRPr="00EE03DB">
        <w:rPr>
          <w:rFonts w:cstheme="minorHAnsi"/>
        </w:rPr>
        <w:t>Unbundled renewable energy credits (RECs)</w:t>
      </w:r>
    </w:p>
    <w:p w14:paraId="039237DB" w14:textId="538D8020" w:rsidR="00766CB8" w:rsidRPr="00EE03DB" w:rsidRDefault="00766CB8" w:rsidP="00EE03DB">
      <w:pPr>
        <w:pStyle w:val="ListParagraph"/>
        <w:numPr>
          <w:ilvl w:val="0"/>
          <w:numId w:val="1"/>
        </w:numPr>
        <w:spacing w:after="120" w:line="276" w:lineRule="auto"/>
        <w:rPr>
          <w:rFonts w:cstheme="minorHAnsi"/>
        </w:rPr>
      </w:pPr>
      <w:r w:rsidRPr="00EE03DB">
        <w:rPr>
          <w:rFonts w:cstheme="minorHAnsi"/>
        </w:rPr>
        <w:t>Investments in energy transformation projects (ETPs)</w:t>
      </w:r>
    </w:p>
    <w:p w14:paraId="69E1955D" w14:textId="045CF049" w:rsidR="00F516C3" w:rsidRPr="00EE03DB" w:rsidRDefault="00280AAF" w:rsidP="00EE03DB">
      <w:pPr>
        <w:spacing w:after="120" w:line="276" w:lineRule="auto"/>
        <w:rPr>
          <w:rFonts w:cstheme="minorHAnsi"/>
        </w:rPr>
      </w:pPr>
      <w:r w:rsidRPr="00EE03DB">
        <w:rPr>
          <w:rFonts w:cstheme="minorHAnsi"/>
        </w:rPr>
        <w:t>It is important to keep in mind th</w:t>
      </w:r>
      <w:r w:rsidR="00756B5D" w:rsidRPr="00EE03DB">
        <w:rPr>
          <w:rFonts w:cstheme="minorHAnsi"/>
        </w:rPr>
        <w:t xml:space="preserve">at the </w:t>
      </w:r>
      <w:r w:rsidR="00B36E54" w:rsidRPr="00EE03DB">
        <w:rPr>
          <w:rFonts w:cstheme="minorHAnsi"/>
        </w:rPr>
        <w:t xml:space="preserve">other </w:t>
      </w:r>
      <w:r w:rsidR="00756B5D" w:rsidRPr="00EE03DB">
        <w:rPr>
          <w:rFonts w:cstheme="minorHAnsi"/>
        </w:rPr>
        <w:t xml:space="preserve">alternative compliance options </w:t>
      </w:r>
      <w:r w:rsidR="00B36E54" w:rsidRPr="00EE03DB">
        <w:rPr>
          <w:rFonts w:cstheme="minorHAnsi"/>
        </w:rPr>
        <w:t xml:space="preserve">(ACOs) </w:t>
      </w:r>
      <w:r w:rsidR="00756B5D" w:rsidRPr="00EE03DB">
        <w:rPr>
          <w:rFonts w:cstheme="minorHAnsi"/>
        </w:rPr>
        <w:t>that</w:t>
      </w:r>
      <w:r w:rsidRPr="00EE03DB">
        <w:rPr>
          <w:rFonts w:cstheme="minorHAnsi"/>
        </w:rPr>
        <w:t xml:space="preserve"> ETPs will be competing with</w:t>
      </w:r>
      <w:r w:rsidR="00B35C4C" w:rsidRPr="00EE03DB">
        <w:rPr>
          <w:rFonts w:cstheme="minorHAnsi"/>
        </w:rPr>
        <w:t xml:space="preserve"> both have a set and known cost (at th</w:t>
      </w:r>
      <w:r w:rsidR="00B36E54" w:rsidRPr="00EE03DB">
        <w:rPr>
          <w:rFonts w:cstheme="minorHAnsi"/>
        </w:rPr>
        <w:t>e</w:t>
      </w:r>
      <w:r w:rsidR="00B35C4C" w:rsidRPr="00EE03DB">
        <w:rPr>
          <w:rFonts w:cstheme="minorHAnsi"/>
        </w:rPr>
        <w:t xml:space="preserve"> time</w:t>
      </w:r>
      <w:r w:rsidR="00B36E54" w:rsidRPr="00EE03DB">
        <w:rPr>
          <w:rFonts w:cstheme="minorHAnsi"/>
        </w:rPr>
        <w:t xml:space="preserve"> of planning for and acquisition of the ACO</w:t>
      </w:r>
      <w:r w:rsidR="00B35C4C" w:rsidRPr="00EE03DB">
        <w:rPr>
          <w:rFonts w:cstheme="minorHAnsi"/>
        </w:rPr>
        <w:t xml:space="preserve">), with quantifiable, if very little risk – one quite expensive (administrative penalty equivalent), and one quite inexpensive (REC purchases). </w:t>
      </w:r>
      <w:r w:rsidR="00756B5D" w:rsidRPr="00EE03DB">
        <w:rPr>
          <w:rFonts w:cstheme="minorHAnsi"/>
        </w:rPr>
        <w:t>B</w:t>
      </w:r>
      <w:r w:rsidRPr="00EE03DB">
        <w:rPr>
          <w:rFonts w:cstheme="minorHAnsi"/>
        </w:rPr>
        <w:t xml:space="preserve">oth alternatives, however, </w:t>
      </w:r>
      <w:r w:rsidR="00756B5D" w:rsidRPr="00EE03DB">
        <w:rPr>
          <w:rFonts w:cstheme="minorHAnsi"/>
        </w:rPr>
        <w:t xml:space="preserve">are relatively certain, </w:t>
      </w:r>
      <w:r w:rsidRPr="00EE03DB">
        <w:rPr>
          <w:rFonts w:cstheme="minorHAnsi"/>
        </w:rPr>
        <w:t>pose little or no risk to the utility</w:t>
      </w:r>
      <w:r w:rsidR="00756B5D" w:rsidRPr="00EE03DB">
        <w:rPr>
          <w:rFonts w:cstheme="minorHAnsi"/>
        </w:rPr>
        <w:t xml:space="preserve"> (should their </w:t>
      </w:r>
      <w:r w:rsidR="00B36E54" w:rsidRPr="00EE03DB">
        <w:rPr>
          <w:rFonts w:cstheme="minorHAnsi"/>
        </w:rPr>
        <w:t>“approving body”</w:t>
      </w:r>
      <w:r w:rsidR="00B36E54" w:rsidRPr="00EE03DB">
        <w:rPr>
          <w:rFonts w:cstheme="minorHAnsi"/>
        </w:rPr>
        <w:t xml:space="preserve"> </w:t>
      </w:r>
      <w:r w:rsidR="00756B5D" w:rsidRPr="00EE03DB">
        <w:rPr>
          <w:rFonts w:cstheme="minorHAnsi"/>
        </w:rPr>
        <w:t>approve</w:t>
      </w:r>
      <w:r w:rsidR="00B36E54" w:rsidRPr="00EE03DB">
        <w:rPr>
          <w:rFonts w:cstheme="minorHAnsi"/>
        </w:rPr>
        <w:t xml:space="preserve"> of the choice</w:t>
      </w:r>
      <w:r w:rsidR="004B775F" w:rsidRPr="00EE03DB">
        <w:rPr>
          <w:rFonts w:cstheme="minorHAnsi"/>
        </w:rPr>
        <w:t xml:space="preserve"> of ACO</w:t>
      </w:r>
      <w:r w:rsidR="00756B5D" w:rsidRPr="00EE03DB">
        <w:rPr>
          <w:rFonts w:cstheme="minorHAnsi"/>
        </w:rPr>
        <w:t>)</w:t>
      </w:r>
      <w:r w:rsidRPr="00EE03DB">
        <w:rPr>
          <w:rFonts w:cstheme="minorHAnsi"/>
        </w:rPr>
        <w:t xml:space="preserve">, and </w:t>
      </w:r>
      <w:r w:rsidR="00B36E54" w:rsidRPr="00EE03DB">
        <w:rPr>
          <w:rFonts w:cstheme="minorHAnsi"/>
        </w:rPr>
        <w:t>potentially</w:t>
      </w:r>
      <w:r w:rsidRPr="00EE03DB">
        <w:rPr>
          <w:rFonts w:cstheme="minorHAnsi"/>
        </w:rPr>
        <w:t xml:space="preserve"> </w:t>
      </w:r>
      <w:r w:rsidR="00E41FD7" w:rsidRPr="00EE03DB">
        <w:rPr>
          <w:rFonts w:cstheme="minorHAnsi"/>
        </w:rPr>
        <w:t>provid</w:t>
      </w:r>
      <w:r w:rsidR="00B36E54" w:rsidRPr="00EE03DB">
        <w:rPr>
          <w:rFonts w:cstheme="minorHAnsi"/>
        </w:rPr>
        <w:t>ing</w:t>
      </w:r>
      <w:r w:rsidR="00E41FD7" w:rsidRPr="00EE03DB">
        <w:rPr>
          <w:rFonts w:cstheme="minorHAnsi"/>
        </w:rPr>
        <w:t xml:space="preserve"> </w:t>
      </w:r>
      <w:r w:rsidRPr="00EE03DB">
        <w:rPr>
          <w:rFonts w:cstheme="minorHAnsi"/>
        </w:rPr>
        <w:t xml:space="preserve">substantially less greenhouse gas emissions </w:t>
      </w:r>
      <w:r w:rsidR="00756B5D" w:rsidRPr="00EE03DB">
        <w:rPr>
          <w:rFonts w:cstheme="minorHAnsi"/>
        </w:rPr>
        <w:t xml:space="preserve">reduction </w:t>
      </w:r>
      <w:r w:rsidRPr="00EE03DB">
        <w:rPr>
          <w:rFonts w:cstheme="minorHAnsi"/>
        </w:rPr>
        <w:t>potential for either investment</w:t>
      </w:r>
      <w:r w:rsidRPr="00EE03DB">
        <w:rPr>
          <w:rStyle w:val="FootnoteReference"/>
          <w:rFonts w:cstheme="minorHAnsi"/>
        </w:rPr>
        <w:footnoteReference w:id="5"/>
      </w:r>
      <w:r w:rsidR="00B35C4C" w:rsidRPr="00EE03DB">
        <w:rPr>
          <w:rFonts w:cstheme="minorHAnsi"/>
        </w:rPr>
        <w:t xml:space="preserve"> </w:t>
      </w:r>
      <w:r w:rsidR="00756B5D" w:rsidRPr="00EE03DB">
        <w:rPr>
          <w:rFonts w:cstheme="minorHAnsi"/>
        </w:rPr>
        <w:t>over ETPs</w:t>
      </w:r>
      <w:r w:rsidRPr="00EE03DB">
        <w:rPr>
          <w:rFonts w:cstheme="minorHAnsi"/>
        </w:rPr>
        <w:t>.</w:t>
      </w:r>
    </w:p>
    <w:p w14:paraId="052D40E1" w14:textId="7F328F4D" w:rsidR="00280AAF" w:rsidRPr="00EE03DB" w:rsidRDefault="00756B5D" w:rsidP="00EE03DB">
      <w:pPr>
        <w:spacing w:after="120" w:line="276" w:lineRule="auto"/>
        <w:rPr>
          <w:rFonts w:cstheme="minorHAnsi"/>
        </w:rPr>
      </w:pPr>
      <w:r w:rsidRPr="00EE03DB">
        <w:rPr>
          <w:rFonts w:cstheme="minorHAnsi"/>
        </w:rPr>
        <w:t xml:space="preserve">It is with this in mind that we </w:t>
      </w:r>
      <w:r w:rsidR="004B775F" w:rsidRPr="00EE03DB">
        <w:rPr>
          <w:rFonts w:cstheme="minorHAnsi"/>
        </w:rPr>
        <w:t>take the position</w:t>
      </w:r>
      <w:r w:rsidR="00C82A19" w:rsidRPr="00EE03DB">
        <w:rPr>
          <w:rFonts w:cstheme="minorHAnsi"/>
        </w:rPr>
        <w:t xml:space="preserve"> </w:t>
      </w:r>
      <w:r w:rsidRPr="00EE03DB">
        <w:rPr>
          <w:rFonts w:cstheme="minorHAnsi"/>
        </w:rPr>
        <w:t xml:space="preserve">that the proposed rules for ETPs as presented in this draft </w:t>
      </w:r>
      <w:r w:rsidR="00B36E54" w:rsidRPr="00EE03DB">
        <w:rPr>
          <w:rFonts w:cstheme="minorHAnsi"/>
        </w:rPr>
        <w:t xml:space="preserve">rule </w:t>
      </w:r>
      <w:r w:rsidRPr="00EE03DB">
        <w:rPr>
          <w:rFonts w:cstheme="minorHAnsi"/>
        </w:rPr>
        <w:t>are unnecessary</w:t>
      </w:r>
      <w:r w:rsidR="00C82A19" w:rsidRPr="00EE03DB">
        <w:rPr>
          <w:rFonts w:cstheme="minorHAnsi"/>
        </w:rPr>
        <w:t>,</w:t>
      </w:r>
      <w:r w:rsidRPr="00EE03DB">
        <w:rPr>
          <w:rFonts w:cstheme="minorHAnsi"/>
        </w:rPr>
        <w:t xml:space="preserve"> burdensome</w:t>
      </w:r>
      <w:r w:rsidR="00C82A19" w:rsidRPr="00EE03DB">
        <w:rPr>
          <w:rFonts w:cstheme="minorHAnsi"/>
        </w:rPr>
        <w:t>,</w:t>
      </w:r>
      <w:r w:rsidRPr="00EE03DB">
        <w:rPr>
          <w:rFonts w:cstheme="minorHAnsi"/>
        </w:rPr>
        <w:t xml:space="preserve"> costly</w:t>
      </w:r>
      <w:r w:rsidR="00B36E54" w:rsidRPr="00EE03DB">
        <w:rPr>
          <w:rFonts w:cstheme="minorHAnsi"/>
        </w:rPr>
        <w:t>,</w:t>
      </w:r>
      <w:r w:rsidRPr="00EE03DB">
        <w:rPr>
          <w:rFonts w:cstheme="minorHAnsi"/>
        </w:rPr>
        <w:t xml:space="preserve"> and will result, in </w:t>
      </w:r>
      <w:r w:rsidR="00C82A19" w:rsidRPr="00EE03DB">
        <w:rPr>
          <w:rFonts w:cstheme="minorHAnsi"/>
        </w:rPr>
        <w:t xml:space="preserve">a </w:t>
      </w:r>
      <w:r w:rsidRPr="00EE03DB">
        <w:rPr>
          <w:rFonts w:cstheme="minorHAnsi"/>
        </w:rPr>
        <w:t xml:space="preserve">substantially unviable compliance alternative for utilities, contrary to </w:t>
      </w:r>
      <w:r w:rsidR="004B775F" w:rsidRPr="00EE03DB">
        <w:rPr>
          <w:rFonts w:cstheme="minorHAnsi"/>
        </w:rPr>
        <w:t xml:space="preserve">the </w:t>
      </w:r>
      <w:r w:rsidRPr="00EE03DB">
        <w:rPr>
          <w:rFonts w:cstheme="minorHAnsi"/>
        </w:rPr>
        <w:t xml:space="preserve">legislative intent to encourage </w:t>
      </w:r>
      <w:r w:rsidRPr="00EE03DB">
        <w:rPr>
          <w:rFonts w:cstheme="minorHAnsi"/>
          <w:i/>
          <w:iCs/>
        </w:rPr>
        <w:t>“significant and swift reductions in greenhouse gas emissions”</w:t>
      </w:r>
      <w:r w:rsidRPr="00EE03DB">
        <w:rPr>
          <w:rFonts w:cstheme="minorHAnsi"/>
        </w:rPr>
        <w:t xml:space="preserve"> and </w:t>
      </w:r>
      <w:r w:rsidRPr="00EE03DB">
        <w:rPr>
          <w:rFonts w:cstheme="minorHAnsi"/>
          <w:i/>
          <w:iCs/>
        </w:rPr>
        <w:t>“spur transformational change in the utility industry.”</w:t>
      </w:r>
      <w:r w:rsidR="00432FD7" w:rsidRPr="00EE03DB">
        <w:rPr>
          <w:rStyle w:val="FootnoteReference"/>
          <w:rFonts w:cstheme="minorHAnsi"/>
          <w:i/>
          <w:iCs/>
        </w:rPr>
        <w:footnoteReference w:id="6"/>
      </w:r>
    </w:p>
    <w:p w14:paraId="4399ECEC" w14:textId="710A6AD0" w:rsidR="004B775F" w:rsidRPr="00EE03DB" w:rsidRDefault="00570252" w:rsidP="00EE03DB">
      <w:pPr>
        <w:spacing w:after="120" w:line="276" w:lineRule="auto"/>
        <w:rPr>
          <w:rFonts w:cstheme="minorHAnsi"/>
        </w:rPr>
      </w:pPr>
      <w:r w:rsidRPr="00EE03DB">
        <w:rPr>
          <w:rFonts w:cstheme="minorHAnsi"/>
        </w:rPr>
        <w:t>Accordingly</w:t>
      </w:r>
      <w:r w:rsidR="00B111A3" w:rsidRPr="00EE03DB">
        <w:rPr>
          <w:rFonts w:cstheme="minorHAnsi"/>
        </w:rPr>
        <w:t xml:space="preserve">, we respectively request Ecology consider the Washington PUD Association’s (WPUDA) comments requesting that Ecology form the equivalent of the Northwest Power and Conservation Council’s Regional Technical Forum </w:t>
      </w:r>
      <w:r w:rsidR="004B775F" w:rsidRPr="00EE03DB">
        <w:rPr>
          <w:rFonts w:cstheme="minorHAnsi"/>
        </w:rPr>
        <w:t xml:space="preserve">(the Energy Transformation Project Forum – ETPF?) </w:t>
      </w:r>
      <w:r w:rsidR="00B111A3" w:rsidRPr="00EE03DB">
        <w:rPr>
          <w:rFonts w:cstheme="minorHAnsi"/>
        </w:rPr>
        <w:t xml:space="preserve">for developing the metrics that are suitable for standard calculations to meet the charge to Ecology for these rules to determine the </w:t>
      </w:r>
    </w:p>
    <w:p w14:paraId="54B61967" w14:textId="4A3A8F58" w:rsidR="00756B5D" w:rsidRPr="00EE03DB" w:rsidRDefault="00B111A3" w:rsidP="00EE03DB">
      <w:pPr>
        <w:spacing w:after="120" w:line="276" w:lineRule="auto"/>
        <w:ind w:left="720"/>
        <w:rPr>
          <w:rFonts w:eastAsia="Times New Roman" w:cstheme="minorHAnsi"/>
        </w:rPr>
      </w:pPr>
      <w:r w:rsidRPr="00EE03DB">
        <w:rPr>
          <w:rFonts w:cstheme="minorHAnsi"/>
          <w:i/>
          <w:iCs/>
        </w:rPr>
        <w:t xml:space="preserve">“conversion factor </w:t>
      </w:r>
      <w:bookmarkStart w:id="0" w:name="_Hlk41128116"/>
      <w:r w:rsidRPr="00EE03DB">
        <w:rPr>
          <w:rFonts w:cstheme="minorHAnsi"/>
          <w:i/>
          <w:iCs/>
        </w:rPr>
        <w:t>of emissions reduction</w:t>
      </w:r>
      <w:r w:rsidRPr="00EE03DB">
        <w:rPr>
          <w:rFonts w:eastAsia="Times New Roman" w:cstheme="minorHAnsi"/>
          <w:i/>
          <w:iCs/>
        </w:rPr>
        <w:t xml:space="preserve"> resulting from energy transformation projects to megawatt-hours of electricity from </w:t>
      </w:r>
      <w:proofErr w:type="spellStart"/>
      <w:r w:rsidRPr="00EE03DB">
        <w:rPr>
          <w:rFonts w:eastAsia="Times New Roman" w:cstheme="minorHAnsi"/>
          <w:i/>
          <w:iCs/>
        </w:rPr>
        <w:t>nonemitting</w:t>
      </w:r>
      <w:proofErr w:type="spellEnd"/>
      <w:r w:rsidRPr="00EE03DB">
        <w:rPr>
          <w:rFonts w:eastAsia="Times New Roman" w:cstheme="minorHAnsi"/>
          <w:i/>
          <w:iCs/>
        </w:rPr>
        <w:t xml:space="preserve"> electric generation</w:t>
      </w:r>
      <w:bookmarkEnd w:id="0"/>
      <w:r w:rsidRPr="00EE03DB">
        <w:rPr>
          <w:rFonts w:eastAsia="Times New Roman" w:cstheme="minorHAnsi"/>
          <w:i/>
          <w:iCs/>
        </w:rPr>
        <w:t xml:space="preserve">”… or for energy </w:t>
      </w:r>
      <w:r w:rsidRPr="00EE03DB">
        <w:rPr>
          <w:rFonts w:eastAsia="Times New Roman" w:cstheme="minorHAnsi"/>
          <w:i/>
          <w:iCs/>
        </w:rPr>
        <w:lastRenderedPageBreak/>
        <w:t>transformation projects in the transportation sector, consistent with default emissions or conversion factors established by other jurisdictions for clean alternative fuels</w:t>
      </w:r>
      <w:r w:rsidRPr="00EE03DB">
        <w:rPr>
          <w:rFonts w:eastAsia="Times New Roman" w:cstheme="minorHAnsi"/>
        </w:rPr>
        <w:t>.</w:t>
      </w:r>
      <w:r w:rsidRPr="00EE03DB">
        <w:rPr>
          <w:rStyle w:val="FootnoteReference"/>
          <w:rFonts w:eastAsia="Times New Roman" w:cstheme="minorHAnsi"/>
        </w:rPr>
        <w:footnoteReference w:id="7"/>
      </w:r>
      <w:r w:rsidR="00E41FD7" w:rsidRPr="00EE03DB">
        <w:rPr>
          <w:rFonts w:eastAsia="Times New Roman" w:cstheme="minorHAnsi"/>
          <w:vertAlign w:val="superscript"/>
        </w:rPr>
        <w:t>,</w:t>
      </w:r>
      <w:r w:rsidR="0022218A" w:rsidRPr="00EE03DB">
        <w:rPr>
          <w:rStyle w:val="FootnoteReference"/>
          <w:rFonts w:eastAsia="Times New Roman" w:cstheme="minorHAnsi"/>
        </w:rPr>
        <w:footnoteReference w:id="8"/>
      </w:r>
    </w:p>
    <w:p w14:paraId="4800511C" w14:textId="7996FEB5" w:rsidR="00570252" w:rsidRPr="00EE03DB" w:rsidRDefault="00570252" w:rsidP="00EE03DB">
      <w:pPr>
        <w:spacing w:after="120" w:line="276" w:lineRule="auto"/>
        <w:rPr>
          <w:rFonts w:eastAsia="Times New Roman" w:cstheme="minorHAnsi"/>
        </w:rPr>
      </w:pPr>
      <w:r w:rsidRPr="00EE03DB">
        <w:rPr>
          <w:rFonts w:eastAsia="Times New Roman" w:cstheme="minorHAnsi"/>
        </w:rPr>
        <w:t xml:space="preserve">Certainly, the categories identified in the draft rule </w:t>
      </w:r>
      <w:r w:rsidR="00C82A19" w:rsidRPr="00EE03DB">
        <w:rPr>
          <w:rFonts w:eastAsia="Times New Roman" w:cstheme="minorHAnsi"/>
        </w:rPr>
        <w:t>are</w:t>
      </w:r>
      <w:r w:rsidRPr="00EE03DB">
        <w:rPr>
          <w:rFonts w:eastAsia="Times New Roman" w:cstheme="minorHAnsi"/>
        </w:rPr>
        <w:t xml:space="preserve"> a good starting</w:t>
      </w:r>
      <w:r w:rsidR="00C82A19" w:rsidRPr="00EE03DB">
        <w:rPr>
          <w:rFonts w:eastAsia="Times New Roman" w:cstheme="minorHAnsi"/>
        </w:rPr>
        <w:t xml:space="preserve"> point</w:t>
      </w:r>
      <w:r w:rsidRPr="00EE03DB">
        <w:rPr>
          <w:rFonts w:eastAsia="Times New Roman" w:cstheme="minorHAnsi"/>
        </w:rPr>
        <w:t xml:space="preserve"> (we will be requesting additional categories to this list </w:t>
      </w:r>
      <w:r w:rsidR="00566A3A" w:rsidRPr="00EE03DB">
        <w:rPr>
          <w:rFonts w:eastAsia="Times New Roman" w:cstheme="minorHAnsi"/>
        </w:rPr>
        <w:t>la</w:t>
      </w:r>
      <w:r w:rsidRPr="00EE03DB">
        <w:rPr>
          <w:rFonts w:eastAsia="Times New Roman" w:cstheme="minorHAnsi"/>
        </w:rPr>
        <w:t>ter in our comments)</w:t>
      </w:r>
      <w:r w:rsidR="00E41FD7" w:rsidRPr="00EE03DB">
        <w:rPr>
          <w:rFonts w:eastAsia="Times New Roman" w:cstheme="minorHAnsi"/>
        </w:rPr>
        <w:t xml:space="preserve"> for that Forum</w:t>
      </w:r>
      <w:r w:rsidRPr="00EE03DB">
        <w:rPr>
          <w:rFonts w:eastAsia="Times New Roman" w:cstheme="minorHAnsi"/>
        </w:rPr>
        <w:t>.</w:t>
      </w:r>
    </w:p>
    <w:p w14:paraId="12720D4B" w14:textId="354F2944" w:rsidR="00566A3A" w:rsidRPr="00EE03DB" w:rsidRDefault="00566A3A" w:rsidP="00EE03DB">
      <w:pPr>
        <w:spacing w:after="0" w:line="276" w:lineRule="auto"/>
        <w:rPr>
          <w:rFonts w:eastAsia="Times New Roman" w:cstheme="minorHAnsi"/>
        </w:rPr>
      </w:pPr>
    </w:p>
    <w:p w14:paraId="0D5CB33F" w14:textId="30B64DE8" w:rsidR="00570252" w:rsidRPr="00EE03DB" w:rsidRDefault="00570252" w:rsidP="00EE03DB">
      <w:pPr>
        <w:spacing w:after="0" w:line="276" w:lineRule="auto"/>
        <w:rPr>
          <w:rFonts w:eastAsia="Times New Roman" w:cstheme="minorHAnsi"/>
        </w:rPr>
      </w:pPr>
      <w:r w:rsidRPr="00EE03DB">
        <w:rPr>
          <w:rFonts w:eastAsia="Times New Roman" w:cstheme="minorHAnsi"/>
        </w:rPr>
        <w:t xml:space="preserve">For </w:t>
      </w:r>
      <w:r w:rsidR="00566A3A" w:rsidRPr="00EE03DB">
        <w:rPr>
          <w:rFonts w:eastAsia="Times New Roman" w:cstheme="minorHAnsi"/>
        </w:rPr>
        <w:t>instance,</w:t>
      </w:r>
      <w:r w:rsidRPr="00EE03DB">
        <w:rPr>
          <w:rFonts w:eastAsia="Times New Roman" w:cstheme="minorHAnsi"/>
        </w:rPr>
        <w:t xml:space="preserve"> </w:t>
      </w:r>
      <w:r w:rsidR="00901E21" w:rsidRPr="00EE03DB">
        <w:rPr>
          <w:rFonts w:eastAsia="Times New Roman" w:cstheme="minorHAnsi"/>
        </w:rPr>
        <w:t>B</w:t>
      </w:r>
      <w:r w:rsidRPr="00EE03DB">
        <w:rPr>
          <w:rFonts w:eastAsia="Times New Roman" w:cstheme="minorHAnsi"/>
        </w:rPr>
        <w:t>EV charging infrastructure</w:t>
      </w:r>
      <w:r w:rsidR="005150C9" w:rsidRPr="00EE03DB">
        <w:rPr>
          <w:rStyle w:val="FootnoteReference"/>
          <w:rFonts w:eastAsia="Times New Roman" w:cstheme="minorHAnsi"/>
        </w:rPr>
        <w:footnoteReference w:id="9"/>
      </w:r>
      <w:r w:rsidRPr="00EE03DB">
        <w:rPr>
          <w:rFonts w:eastAsia="Times New Roman" w:cstheme="minorHAnsi"/>
        </w:rPr>
        <w:t xml:space="preserve"> </w:t>
      </w:r>
      <w:r w:rsidR="004B775F" w:rsidRPr="00EE03DB">
        <w:rPr>
          <w:rFonts w:eastAsia="Times New Roman" w:cstheme="minorHAnsi"/>
        </w:rPr>
        <w:t xml:space="preserve"> c</w:t>
      </w:r>
      <w:r w:rsidRPr="00EE03DB">
        <w:rPr>
          <w:rFonts w:eastAsia="Times New Roman" w:cstheme="minorHAnsi"/>
        </w:rPr>
        <w:t xml:space="preserve">ould </w:t>
      </w:r>
      <w:r w:rsidR="00901E21" w:rsidRPr="00EE03DB">
        <w:rPr>
          <w:rFonts w:eastAsia="Times New Roman" w:cstheme="minorHAnsi"/>
        </w:rPr>
        <w:t xml:space="preserve">use </w:t>
      </w:r>
      <w:r w:rsidRPr="00EE03DB">
        <w:rPr>
          <w:rFonts w:eastAsia="Times New Roman" w:cstheme="minorHAnsi"/>
        </w:rPr>
        <w:t>either conversion factors already established in other jurisdictions, or something as simple as</w:t>
      </w:r>
      <w:r w:rsidR="004B775F" w:rsidRPr="00EE03DB">
        <w:rPr>
          <w:rFonts w:eastAsia="Times New Roman" w:cstheme="minorHAnsi"/>
        </w:rPr>
        <w:t xml:space="preserve"> (and certainly these example equations bear review)</w:t>
      </w:r>
      <w:r w:rsidRPr="00EE03DB">
        <w:rPr>
          <w:rFonts w:eastAsia="Times New Roman" w:cstheme="minorHAnsi"/>
        </w:rPr>
        <w:t xml:space="preserve">: </w:t>
      </w:r>
    </w:p>
    <w:p w14:paraId="325E11F5" w14:textId="77777777" w:rsidR="00901E21" w:rsidRPr="00EE03DB" w:rsidRDefault="00901E21" w:rsidP="00EE03DB">
      <w:pPr>
        <w:spacing w:after="0" w:line="276" w:lineRule="auto"/>
        <w:rPr>
          <w:rFonts w:eastAsia="Times New Roman" w:cstheme="minorHAnsi"/>
        </w:rPr>
      </w:pPr>
    </w:p>
    <w:p w14:paraId="514A76DA" w14:textId="304DB1AD" w:rsidR="00570252" w:rsidRPr="00EE03DB" w:rsidRDefault="00570252" w:rsidP="00EE03DB">
      <w:pPr>
        <w:spacing w:after="0" w:line="276" w:lineRule="auto"/>
        <w:ind w:left="720"/>
        <w:rPr>
          <w:rFonts w:eastAsia="Times New Roman" w:cstheme="minorHAnsi"/>
        </w:rPr>
      </w:pPr>
      <w:r w:rsidRPr="00EE03DB">
        <w:rPr>
          <w:rFonts w:eastAsia="Times New Roman" w:cstheme="minorHAnsi"/>
        </w:rPr>
        <w:t>(</w:t>
      </w:r>
      <w:proofErr w:type="spellStart"/>
      <w:r w:rsidRPr="00EE03DB">
        <w:rPr>
          <w:rFonts w:eastAsia="Times New Roman" w:cstheme="minorHAnsi"/>
        </w:rPr>
        <w:t>Kwhs</w:t>
      </w:r>
      <w:proofErr w:type="spellEnd"/>
      <w:r w:rsidRPr="00EE03DB">
        <w:rPr>
          <w:rFonts w:eastAsia="Times New Roman" w:cstheme="minorHAnsi"/>
        </w:rPr>
        <w:t xml:space="preserve"> sold) x (kWh</w:t>
      </w:r>
      <w:r w:rsidR="005C5E19" w:rsidRPr="00EE03DB">
        <w:rPr>
          <w:rFonts w:eastAsia="Times New Roman" w:cstheme="minorHAnsi"/>
        </w:rPr>
        <w:t>/mi</w:t>
      </w:r>
      <w:r w:rsidRPr="00EE03DB">
        <w:rPr>
          <w:rFonts w:eastAsia="Times New Roman" w:cstheme="minorHAnsi"/>
        </w:rPr>
        <w:t xml:space="preserve"> </w:t>
      </w:r>
      <w:r w:rsidR="005C5E19" w:rsidRPr="00EE03DB">
        <w:rPr>
          <w:rFonts w:eastAsia="Times New Roman" w:cstheme="minorHAnsi"/>
        </w:rPr>
        <w:t xml:space="preserve">avg </w:t>
      </w:r>
      <w:r w:rsidRPr="00EE03DB">
        <w:rPr>
          <w:rFonts w:eastAsia="Times New Roman" w:cstheme="minorHAnsi"/>
        </w:rPr>
        <w:t>across the BEV fleet) x (20</w:t>
      </w:r>
      <w:r w:rsidR="005C5E19" w:rsidRPr="00EE03DB">
        <w:rPr>
          <w:rFonts w:eastAsia="Times New Roman" w:cstheme="minorHAnsi"/>
        </w:rPr>
        <w:t>#</w:t>
      </w:r>
      <w:r w:rsidRPr="00EE03DB">
        <w:rPr>
          <w:rFonts w:eastAsia="Times New Roman" w:cstheme="minorHAnsi"/>
        </w:rPr>
        <w:t xml:space="preserve"> of CO</w:t>
      </w:r>
      <w:r w:rsidRPr="00EE03DB">
        <w:rPr>
          <w:rFonts w:eastAsia="Times New Roman" w:cstheme="minorHAnsi"/>
          <w:vertAlign w:val="subscript"/>
        </w:rPr>
        <w:t>2</w:t>
      </w:r>
      <w:r w:rsidRPr="00EE03DB">
        <w:rPr>
          <w:rFonts w:eastAsia="Times New Roman" w:cstheme="minorHAnsi"/>
        </w:rPr>
        <w:t xml:space="preserve"> avoided/mile) </w:t>
      </w:r>
      <w:r w:rsidR="005C5E19" w:rsidRPr="00EE03DB">
        <w:rPr>
          <w:rFonts w:eastAsia="Times New Roman" w:cstheme="minorHAnsi"/>
        </w:rPr>
        <w:t>–(utility’s #CO</w:t>
      </w:r>
      <w:r w:rsidR="005C5E19" w:rsidRPr="00EE03DB">
        <w:rPr>
          <w:rFonts w:eastAsia="Times New Roman" w:cstheme="minorHAnsi"/>
          <w:vertAlign w:val="subscript"/>
        </w:rPr>
        <w:t>2</w:t>
      </w:r>
      <w:r w:rsidR="005C5E19" w:rsidRPr="00EE03DB">
        <w:rPr>
          <w:rFonts w:eastAsia="Times New Roman" w:cstheme="minorHAnsi"/>
        </w:rPr>
        <w:t xml:space="preserve">/kWh from fuel mix disclosure x </w:t>
      </w:r>
      <w:proofErr w:type="spellStart"/>
      <w:r w:rsidR="005C5E19" w:rsidRPr="00EE03DB">
        <w:rPr>
          <w:rFonts w:eastAsia="Times New Roman" w:cstheme="minorHAnsi"/>
        </w:rPr>
        <w:t>Kwhs</w:t>
      </w:r>
      <w:proofErr w:type="spellEnd"/>
      <w:r w:rsidR="005C5E19" w:rsidRPr="00EE03DB">
        <w:rPr>
          <w:rFonts w:eastAsia="Times New Roman" w:cstheme="minorHAnsi"/>
        </w:rPr>
        <w:t xml:space="preserve"> sold)</w:t>
      </w:r>
      <w:r w:rsidRPr="00EE03DB">
        <w:rPr>
          <w:rFonts w:eastAsia="Times New Roman" w:cstheme="minorHAnsi"/>
        </w:rPr>
        <w:t xml:space="preserve">. </w:t>
      </w:r>
    </w:p>
    <w:p w14:paraId="1320BF7D" w14:textId="77777777" w:rsidR="00570252" w:rsidRPr="00EE03DB" w:rsidRDefault="00570252" w:rsidP="00EE03DB">
      <w:pPr>
        <w:spacing w:after="0" w:line="276" w:lineRule="auto"/>
        <w:ind w:firstLine="720"/>
        <w:rPr>
          <w:rFonts w:eastAsia="Times New Roman" w:cstheme="minorHAnsi"/>
        </w:rPr>
      </w:pPr>
    </w:p>
    <w:p w14:paraId="7C484DD3" w14:textId="401F76C7" w:rsidR="00570252" w:rsidRPr="00EE03DB" w:rsidRDefault="00570252" w:rsidP="00EE03DB">
      <w:pPr>
        <w:spacing w:after="0" w:line="276" w:lineRule="auto"/>
        <w:rPr>
          <w:rFonts w:eastAsia="Times New Roman" w:cstheme="minorHAnsi"/>
        </w:rPr>
      </w:pPr>
      <w:proofErr w:type="gramStart"/>
      <w:r w:rsidRPr="00EE03DB">
        <w:rPr>
          <w:rFonts w:eastAsia="Times New Roman" w:cstheme="minorHAnsi"/>
        </w:rPr>
        <w:t>Similarly</w:t>
      </w:r>
      <w:proofErr w:type="gramEnd"/>
      <w:r w:rsidRPr="00EE03DB">
        <w:rPr>
          <w:rFonts w:eastAsia="Times New Roman" w:cstheme="minorHAnsi"/>
        </w:rPr>
        <w:t xml:space="preserve"> for </w:t>
      </w:r>
      <w:r w:rsidRPr="00EE03DB">
        <w:rPr>
          <w:rFonts w:eastAsia="Times New Roman" w:cstheme="minorHAnsi"/>
          <w:i/>
          <w:iCs/>
        </w:rPr>
        <w:t>“Incentives for the electrification of vehicle fleets utilizing a battery or fuel cell for electric supply;</w:t>
      </w:r>
      <w:r w:rsidRPr="00EE03DB">
        <w:rPr>
          <w:rStyle w:val="FootnoteReference"/>
          <w:rFonts w:eastAsia="Times New Roman" w:cstheme="minorHAnsi"/>
          <w:i/>
          <w:iCs/>
        </w:rPr>
        <w:footnoteReference w:id="10"/>
      </w:r>
    </w:p>
    <w:p w14:paraId="2CF3FE22" w14:textId="77777777" w:rsidR="00901E21" w:rsidRPr="00EE03DB" w:rsidRDefault="00901E21" w:rsidP="00EE03DB">
      <w:pPr>
        <w:spacing w:after="0" w:line="276" w:lineRule="auto"/>
        <w:ind w:firstLine="720"/>
        <w:rPr>
          <w:rFonts w:eastAsia="Times New Roman" w:cstheme="minorHAnsi"/>
        </w:rPr>
      </w:pPr>
    </w:p>
    <w:p w14:paraId="121C7E99" w14:textId="0BF6E9EF" w:rsidR="00570252" w:rsidRPr="00EE03DB" w:rsidRDefault="00570252" w:rsidP="00EE03DB">
      <w:pPr>
        <w:spacing w:after="0" w:line="276" w:lineRule="auto"/>
        <w:ind w:left="720"/>
        <w:rPr>
          <w:rFonts w:eastAsia="Times New Roman" w:cstheme="minorHAnsi"/>
        </w:rPr>
      </w:pPr>
      <w:r w:rsidRPr="00EE03DB">
        <w:rPr>
          <w:rFonts w:eastAsia="Times New Roman" w:cstheme="minorHAnsi"/>
        </w:rPr>
        <w:t>(</w:t>
      </w:r>
      <w:r w:rsidR="00901E21" w:rsidRPr="00EE03DB">
        <w:rPr>
          <w:rFonts w:eastAsia="Times New Roman" w:cstheme="minorHAnsi"/>
        </w:rPr>
        <w:t>[</w:t>
      </w:r>
      <w:r w:rsidR="00454654" w:rsidRPr="00EE03DB">
        <w:rPr>
          <w:rFonts w:eastAsia="Times New Roman" w:cstheme="minorHAnsi"/>
        </w:rPr>
        <w:t>ETP</w:t>
      </w:r>
      <w:r w:rsidRPr="00EE03DB">
        <w:rPr>
          <w:rFonts w:eastAsia="Times New Roman" w:cstheme="minorHAnsi"/>
        </w:rPr>
        <w:t>$ of rebate] / [</w:t>
      </w:r>
      <w:r w:rsidR="00901E21" w:rsidRPr="00EE03DB">
        <w:rPr>
          <w:rFonts w:eastAsia="Times New Roman" w:cstheme="minorHAnsi"/>
        </w:rPr>
        <w:t>MSRP o</w:t>
      </w:r>
      <w:r w:rsidR="005C5E19" w:rsidRPr="00EE03DB">
        <w:rPr>
          <w:rFonts w:eastAsia="Times New Roman" w:cstheme="minorHAnsi"/>
        </w:rPr>
        <w:t>r</w:t>
      </w:r>
      <w:r w:rsidR="00901E21" w:rsidRPr="00EE03DB">
        <w:rPr>
          <w:rFonts w:eastAsia="Times New Roman" w:cstheme="minorHAnsi"/>
        </w:rPr>
        <w:t xml:space="preserve"> KBB $</w:t>
      </w:r>
      <w:r w:rsidRPr="00EE03DB">
        <w:rPr>
          <w:rFonts w:eastAsia="Times New Roman" w:cstheme="minorHAnsi"/>
        </w:rPr>
        <w:t xml:space="preserve"> of vehicle])</w:t>
      </w:r>
      <w:r w:rsidR="00901E21" w:rsidRPr="00EE03DB">
        <w:rPr>
          <w:rFonts w:eastAsia="Times New Roman" w:cstheme="minorHAnsi"/>
        </w:rPr>
        <w:t xml:space="preserve"> x </w:t>
      </w:r>
      <w:bookmarkStart w:id="1" w:name="_Hlk41047293"/>
      <w:r w:rsidR="00901E21" w:rsidRPr="00EE03DB">
        <w:rPr>
          <w:rFonts w:eastAsia="Times New Roman" w:cstheme="minorHAnsi"/>
        </w:rPr>
        <w:t xml:space="preserve">(avg mpg of vehicle type) x </w:t>
      </w:r>
      <w:proofErr w:type="spellStart"/>
      <w:r w:rsidR="00901E21" w:rsidRPr="00EE03DB">
        <w:rPr>
          <w:rFonts w:eastAsia="Times New Roman" w:cstheme="minorHAnsi"/>
        </w:rPr>
        <w:t>x</w:t>
      </w:r>
      <w:proofErr w:type="spellEnd"/>
      <w:r w:rsidR="00901E21" w:rsidRPr="00EE03DB">
        <w:rPr>
          <w:rFonts w:eastAsia="Times New Roman" w:cstheme="minorHAnsi"/>
        </w:rPr>
        <w:t xml:space="preserve"> (20 </w:t>
      </w:r>
      <w:proofErr w:type="spellStart"/>
      <w:r w:rsidR="00901E21" w:rsidRPr="00EE03DB">
        <w:rPr>
          <w:rFonts w:eastAsia="Times New Roman" w:cstheme="minorHAnsi"/>
        </w:rPr>
        <w:t>lbs</w:t>
      </w:r>
      <w:proofErr w:type="spellEnd"/>
      <w:r w:rsidR="00901E21" w:rsidRPr="00EE03DB">
        <w:rPr>
          <w:rFonts w:eastAsia="Times New Roman" w:cstheme="minorHAnsi"/>
        </w:rPr>
        <w:t xml:space="preserve"> of CO2 avoided/mile)</w:t>
      </w:r>
      <w:r w:rsidR="005D2076" w:rsidRPr="00EE03DB">
        <w:rPr>
          <w:rFonts w:eastAsia="Times New Roman" w:cstheme="minorHAnsi"/>
        </w:rPr>
        <w:t>/2000 #s/ton = tons of CO</w:t>
      </w:r>
      <w:r w:rsidR="005D2076" w:rsidRPr="00EE03DB">
        <w:rPr>
          <w:rFonts w:eastAsia="Times New Roman" w:cstheme="minorHAnsi"/>
          <w:vertAlign w:val="subscript"/>
        </w:rPr>
        <w:t>2</w:t>
      </w:r>
      <w:r w:rsidR="005D2076" w:rsidRPr="00EE03DB">
        <w:rPr>
          <w:rFonts w:eastAsia="Times New Roman" w:cstheme="minorHAnsi"/>
        </w:rPr>
        <w:t xml:space="preserve"> then divide by # tons of CO2/MWh from utility’s fuel mix disclosure to arrive at MWhs of CO</w:t>
      </w:r>
      <w:r w:rsidR="005D2076" w:rsidRPr="00EE03DB">
        <w:rPr>
          <w:rFonts w:eastAsia="Times New Roman" w:cstheme="minorHAnsi"/>
          <w:vertAlign w:val="subscript"/>
        </w:rPr>
        <w:t>2</w:t>
      </w:r>
      <w:r w:rsidR="005D2076" w:rsidRPr="00EE03DB">
        <w:rPr>
          <w:rFonts w:eastAsia="Times New Roman" w:cstheme="minorHAnsi"/>
        </w:rPr>
        <w:t xml:space="preserve"> free electricity.</w:t>
      </w:r>
    </w:p>
    <w:bookmarkEnd w:id="1"/>
    <w:p w14:paraId="149C8370" w14:textId="536B0DFE" w:rsidR="00901E21" w:rsidRPr="00EE03DB" w:rsidRDefault="00901E21" w:rsidP="00EE03DB">
      <w:pPr>
        <w:spacing w:after="0" w:line="276" w:lineRule="auto"/>
        <w:rPr>
          <w:rFonts w:eastAsia="Times New Roman" w:cstheme="minorHAnsi"/>
        </w:rPr>
      </w:pPr>
    </w:p>
    <w:p w14:paraId="4D04ACDA" w14:textId="08CA7F26" w:rsidR="00901E21" w:rsidRPr="00EE03DB" w:rsidRDefault="00901E21" w:rsidP="00EE03DB">
      <w:pPr>
        <w:spacing w:after="0" w:line="276" w:lineRule="auto"/>
        <w:rPr>
          <w:rFonts w:eastAsia="Times New Roman" w:cstheme="minorHAnsi"/>
        </w:rPr>
      </w:pPr>
      <w:r w:rsidRPr="00EE03DB">
        <w:rPr>
          <w:rFonts w:eastAsia="Times New Roman" w:cstheme="minorHAnsi"/>
        </w:rPr>
        <w:t xml:space="preserve">For </w:t>
      </w:r>
      <w:r w:rsidR="00A550C5" w:rsidRPr="00EE03DB">
        <w:rPr>
          <w:rFonts w:eastAsia="Times New Roman" w:cstheme="minorHAnsi"/>
        </w:rPr>
        <w:t xml:space="preserve">incentive to install and operate </w:t>
      </w:r>
      <w:r w:rsidRPr="00EE03DB">
        <w:rPr>
          <w:rFonts w:eastAsia="Times New Roman" w:cstheme="minorHAnsi"/>
        </w:rPr>
        <w:t>renewable hydrogen production</w:t>
      </w:r>
      <w:r w:rsidR="00A550C5" w:rsidRPr="00EE03DB">
        <w:rPr>
          <w:rFonts w:eastAsia="Times New Roman" w:cstheme="minorHAnsi"/>
        </w:rPr>
        <w:t xml:space="preserve">, </w:t>
      </w:r>
      <w:r w:rsidRPr="00EE03DB">
        <w:rPr>
          <w:rFonts w:eastAsia="Times New Roman" w:cstheme="minorHAnsi"/>
        </w:rPr>
        <w:t>distribution</w:t>
      </w:r>
      <w:r w:rsidR="00A550C5" w:rsidRPr="00EE03DB">
        <w:rPr>
          <w:rFonts w:eastAsia="Times New Roman" w:cstheme="minorHAnsi"/>
        </w:rPr>
        <w:t>,</w:t>
      </w:r>
      <w:r w:rsidRPr="00EE03DB">
        <w:rPr>
          <w:rFonts w:eastAsia="Times New Roman" w:cstheme="minorHAnsi"/>
        </w:rPr>
        <w:t xml:space="preserve"> and/or fueling</w:t>
      </w:r>
      <w:r w:rsidRPr="00EE03DB">
        <w:rPr>
          <w:rStyle w:val="FootnoteReference"/>
          <w:rFonts w:eastAsia="Times New Roman" w:cstheme="minorHAnsi"/>
        </w:rPr>
        <w:footnoteReference w:id="11"/>
      </w:r>
    </w:p>
    <w:p w14:paraId="29612D4B" w14:textId="20790C15" w:rsidR="00570252" w:rsidRPr="00EE03DB" w:rsidRDefault="00570252" w:rsidP="00EE03DB">
      <w:pPr>
        <w:spacing w:after="120" w:line="276" w:lineRule="auto"/>
        <w:rPr>
          <w:rFonts w:eastAsia="Times New Roman" w:cstheme="minorHAnsi"/>
        </w:rPr>
      </w:pPr>
    </w:p>
    <w:p w14:paraId="208BF93D" w14:textId="77777777" w:rsidR="00410F6A" w:rsidRPr="00EE03DB" w:rsidRDefault="00410F6A" w:rsidP="00EE03DB">
      <w:pPr>
        <w:spacing w:after="0" w:line="276" w:lineRule="auto"/>
        <w:ind w:left="720"/>
        <w:rPr>
          <w:rFonts w:eastAsia="Times New Roman" w:cstheme="minorHAnsi"/>
        </w:rPr>
      </w:pPr>
      <w:r w:rsidRPr="00EE03DB">
        <w:rPr>
          <w:rFonts w:eastAsia="Times New Roman" w:cstheme="minorHAnsi"/>
          <w:u w:val="single"/>
        </w:rPr>
        <w:t>For sales as transportation fuel:</w:t>
      </w:r>
      <w:r w:rsidRPr="00EE03DB">
        <w:rPr>
          <w:rFonts w:eastAsia="Times New Roman" w:cstheme="minorHAnsi"/>
        </w:rPr>
        <w:t xml:space="preserve"> </w:t>
      </w:r>
    </w:p>
    <w:p w14:paraId="263C357F" w14:textId="77777777" w:rsidR="00410F6A" w:rsidRPr="00EE03DB" w:rsidRDefault="00410F6A" w:rsidP="00EE03DB">
      <w:pPr>
        <w:spacing w:after="0" w:line="276" w:lineRule="auto"/>
        <w:ind w:left="720"/>
        <w:rPr>
          <w:rFonts w:eastAsia="Times New Roman" w:cstheme="minorHAnsi"/>
        </w:rPr>
      </w:pPr>
    </w:p>
    <w:p w14:paraId="11227F4C" w14:textId="03FD8011" w:rsidR="004C2457" w:rsidRPr="00EE03DB" w:rsidRDefault="00A550C5" w:rsidP="00EE03DB">
      <w:pPr>
        <w:spacing w:after="0" w:line="276" w:lineRule="auto"/>
        <w:ind w:left="720"/>
        <w:rPr>
          <w:rFonts w:eastAsia="Times New Roman" w:cstheme="minorHAnsi"/>
        </w:rPr>
      </w:pPr>
      <w:r w:rsidRPr="00EE03DB">
        <w:rPr>
          <w:rFonts w:eastAsia="Times New Roman" w:cstheme="minorHAnsi"/>
        </w:rPr>
        <w:t>([</w:t>
      </w:r>
      <w:r w:rsidR="004C2457" w:rsidRPr="00EE03DB">
        <w:rPr>
          <w:rFonts w:eastAsia="Times New Roman" w:cstheme="minorHAnsi"/>
        </w:rPr>
        <w:t xml:space="preserve">annual </w:t>
      </w:r>
      <w:r w:rsidR="00454654" w:rsidRPr="00EE03DB">
        <w:rPr>
          <w:rFonts w:eastAsia="Times New Roman" w:cstheme="minorHAnsi"/>
        </w:rPr>
        <w:t>ETP</w:t>
      </w:r>
      <w:r w:rsidRPr="00EE03DB">
        <w:rPr>
          <w:rFonts w:eastAsia="Times New Roman" w:cstheme="minorHAnsi"/>
        </w:rPr>
        <w:t>$ invested]/[</w:t>
      </w:r>
      <w:r w:rsidR="004C2457" w:rsidRPr="00EE03DB">
        <w:rPr>
          <w:rFonts w:eastAsia="Times New Roman" w:cstheme="minorHAnsi"/>
        </w:rPr>
        <w:t xml:space="preserve">annual amortized </w:t>
      </w:r>
      <w:r w:rsidRPr="00EE03DB">
        <w:rPr>
          <w:rFonts w:eastAsia="Times New Roman" w:cstheme="minorHAnsi"/>
        </w:rPr>
        <w:t>capital cost</w:t>
      </w:r>
      <w:r w:rsidR="004C2457" w:rsidRPr="00EE03DB">
        <w:rPr>
          <w:rFonts w:eastAsia="Times New Roman" w:cstheme="minorHAnsi"/>
        </w:rPr>
        <w:t xml:space="preserve"> + annual operating cost</w:t>
      </w:r>
      <w:r w:rsidRPr="00EE03DB">
        <w:rPr>
          <w:rFonts w:eastAsia="Times New Roman" w:cstheme="minorHAnsi"/>
        </w:rPr>
        <w:t>]) x (</w:t>
      </w:r>
      <w:proofErr w:type="spellStart"/>
      <w:r w:rsidR="00371BBD" w:rsidRPr="00EE03DB">
        <w:rPr>
          <w:rFonts w:eastAsia="Times New Roman" w:cstheme="minorHAnsi"/>
        </w:rPr>
        <w:t>est</w:t>
      </w:r>
      <w:proofErr w:type="spellEnd"/>
      <w:r w:rsidR="00371BBD" w:rsidRPr="00EE03DB">
        <w:rPr>
          <w:rFonts w:eastAsia="Times New Roman" w:cstheme="minorHAnsi"/>
        </w:rPr>
        <w:t xml:space="preserve"> </w:t>
      </w:r>
      <w:r w:rsidRPr="00EE03DB">
        <w:rPr>
          <w:rFonts w:eastAsia="Times New Roman" w:cstheme="minorHAnsi"/>
        </w:rPr>
        <w:t>kilo</w:t>
      </w:r>
      <w:r w:rsidR="005D2076" w:rsidRPr="00EE03DB">
        <w:rPr>
          <w:rFonts w:eastAsia="Times New Roman" w:cstheme="minorHAnsi"/>
        </w:rPr>
        <w:t>gram</w:t>
      </w:r>
      <w:r w:rsidRPr="00EE03DB">
        <w:rPr>
          <w:rFonts w:eastAsia="Times New Roman" w:cstheme="minorHAnsi"/>
        </w:rPr>
        <w:t xml:space="preserve">s </w:t>
      </w:r>
      <w:r w:rsidR="005D2076" w:rsidRPr="00EE03DB">
        <w:rPr>
          <w:rFonts w:eastAsia="Times New Roman" w:cstheme="minorHAnsi"/>
        </w:rPr>
        <w:t xml:space="preserve">RH </w:t>
      </w:r>
      <w:r w:rsidR="00371BBD" w:rsidRPr="00EE03DB">
        <w:rPr>
          <w:rFonts w:eastAsia="Times New Roman" w:cstheme="minorHAnsi"/>
        </w:rPr>
        <w:t>produced or distributed</w:t>
      </w:r>
      <w:r w:rsidRPr="00EE03DB">
        <w:rPr>
          <w:rFonts w:eastAsia="Times New Roman" w:cstheme="minorHAnsi"/>
        </w:rPr>
        <w:t>/</w:t>
      </w:r>
      <w:proofErr w:type="spellStart"/>
      <w:r w:rsidRPr="00EE03DB">
        <w:rPr>
          <w:rFonts w:eastAsia="Times New Roman" w:cstheme="minorHAnsi"/>
        </w:rPr>
        <w:t>yr</w:t>
      </w:r>
      <w:proofErr w:type="spellEnd"/>
      <w:r w:rsidRPr="00EE03DB">
        <w:rPr>
          <w:rFonts w:eastAsia="Times New Roman" w:cstheme="minorHAnsi"/>
        </w:rPr>
        <w:t>) x  (avg m</w:t>
      </w:r>
      <w:r w:rsidR="005D2076" w:rsidRPr="00EE03DB">
        <w:rPr>
          <w:rFonts w:eastAsia="Times New Roman" w:cstheme="minorHAnsi"/>
        </w:rPr>
        <w:t>/kg</w:t>
      </w:r>
      <w:r w:rsidRPr="00EE03DB">
        <w:rPr>
          <w:rFonts w:eastAsia="Times New Roman" w:cstheme="minorHAnsi"/>
        </w:rPr>
        <w:t xml:space="preserve"> of </w:t>
      </w:r>
      <w:r w:rsidR="004C2457" w:rsidRPr="00EE03DB">
        <w:rPr>
          <w:rFonts w:eastAsia="Times New Roman" w:cstheme="minorHAnsi"/>
        </w:rPr>
        <w:t xml:space="preserve">avg </w:t>
      </w:r>
      <w:r w:rsidRPr="00EE03DB">
        <w:rPr>
          <w:rFonts w:eastAsia="Times New Roman" w:cstheme="minorHAnsi"/>
        </w:rPr>
        <w:t xml:space="preserve">vehicle type) x (20 </w:t>
      </w:r>
      <w:proofErr w:type="spellStart"/>
      <w:r w:rsidRPr="00EE03DB">
        <w:rPr>
          <w:rFonts w:eastAsia="Times New Roman" w:cstheme="minorHAnsi"/>
        </w:rPr>
        <w:t>lbs</w:t>
      </w:r>
      <w:proofErr w:type="spellEnd"/>
      <w:r w:rsidRPr="00EE03DB">
        <w:rPr>
          <w:rFonts w:eastAsia="Times New Roman" w:cstheme="minorHAnsi"/>
        </w:rPr>
        <w:t xml:space="preserve"> of CO2 avoided/mile)</w:t>
      </w:r>
      <w:r w:rsidR="004C2457" w:rsidRPr="00EE03DB">
        <w:rPr>
          <w:rFonts w:eastAsia="Times New Roman" w:cstheme="minorHAnsi"/>
        </w:rPr>
        <w:t>/2000 #s/ton = tons of CO</w:t>
      </w:r>
      <w:r w:rsidR="004C2457" w:rsidRPr="00EE03DB">
        <w:rPr>
          <w:rFonts w:eastAsia="Times New Roman" w:cstheme="minorHAnsi"/>
          <w:vertAlign w:val="subscript"/>
        </w:rPr>
        <w:t>2</w:t>
      </w:r>
      <w:r w:rsidR="004C2457" w:rsidRPr="00EE03DB">
        <w:rPr>
          <w:rFonts w:eastAsia="Times New Roman" w:cstheme="minorHAnsi"/>
        </w:rPr>
        <w:t xml:space="preserve"> then divide by # tons of CO2/MWh from utility’s fuel mix disclosure to arrive at MWhs of CO</w:t>
      </w:r>
      <w:r w:rsidR="004C2457" w:rsidRPr="00EE03DB">
        <w:rPr>
          <w:rFonts w:eastAsia="Times New Roman" w:cstheme="minorHAnsi"/>
          <w:vertAlign w:val="subscript"/>
        </w:rPr>
        <w:t>2</w:t>
      </w:r>
      <w:r w:rsidR="004C2457" w:rsidRPr="00EE03DB">
        <w:rPr>
          <w:rFonts w:eastAsia="Times New Roman" w:cstheme="minorHAnsi"/>
        </w:rPr>
        <w:t xml:space="preserve"> free electricity.</w:t>
      </w:r>
    </w:p>
    <w:p w14:paraId="2CC838B3" w14:textId="7B992696" w:rsidR="00A550C5" w:rsidRPr="00EE03DB" w:rsidRDefault="00A550C5" w:rsidP="00EE03DB">
      <w:pPr>
        <w:spacing w:after="0" w:line="276" w:lineRule="auto"/>
        <w:ind w:left="720"/>
        <w:rPr>
          <w:rFonts w:eastAsia="Times New Roman" w:cstheme="minorHAnsi"/>
        </w:rPr>
      </w:pPr>
    </w:p>
    <w:p w14:paraId="496AA5C6" w14:textId="77777777" w:rsidR="005B7286" w:rsidRPr="00EE03DB" w:rsidRDefault="00A550C5" w:rsidP="00EE03DB">
      <w:pPr>
        <w:spacing w:after="120" w:line="276" w:lineRule="auto"/>
        <w:rPr>
          <w:rFonts w:eastAsia="Times New Roman" w:cstheme="minorHAnsi"/>
        </w:rPr>
      </w:pPr>
      <w:r w:rsidRPr="00EE03DB">
        <w:rPr>
          <w:rFonts w:eastAsia="Times New Roman" w:cstheme="minorHAnsi"/>
        </w:rPr>
        <w:tab/>
      </w:r>
    </w:p>
    <w:p w14:paraId="1750BBF0" w14:textId="77777777" w:rsidR="00410F6A" w:rsidRPr="00EE03DB" w:rsidRDefault="00A550C5" w:rsidP="00EE03DB">
      <w:pPr>
        <w:spacing w:after="120" w:line="276" w:lineRule="auto"/>
        <w:ind w:left="720"/>
        <w:rPr>
          <w:rFonts w:eastAsia="Times New Roman" w:cstheme="minorHAnsi"/>
        </w:rPr>
      </w:pPr>
      <w:r w:rsidRPr="00EE03DB">
        <w:rPr>
          <w:rFonts w:eastAsia="Times New Roman" w:cstheme="minorHAnsi"/>
          <w:u w:val="single"/>
        </w:rPr>
        <w:t xml:space="preserve">For all other hydrogen </w:t>
      </w:r>
      <w:r w:rsidR="005150C9" w:rsidRPr="00EE03DB">
        <w:rPr>
          <w:rFonts w:eastAsia="Times New Roman" w:cstheme="minorHAnsi"/>
          <w:u w:val="single"/>
        </w:rPr>
        <w:t xml:space="preserve">end </w:t>
      </w:r>
      <w:r w:rsidRPr="00EE03DB">
        <w:rPr>
          <w:rFonts w:eastAsia="Times New Roman" w:cstheme="minorHAnsi"/>
          <w:u w:val="single"/>
        </w:rPr>
        <w:t>uses</w:t>
      </w:r>
      <w:r w:rsidRPr="00EE03DB">
        <w:rPr>
          <w:rFonts w:eastAsia="Times New Roman" w:cstheme="minorHAnsi"/>
        </w:rPr>
        <w:t xml:space="preserve">: </w:t>
      </w:r>
    </w:p>
    <w:p w14:paraId="0DE13721" w14:textId="530676A8" w:rsidR="004C2457" w:rsidRPr="00EE03DB" w:rsidRDefault="00410F6A" w:rsidP="00EE03DB">
      <w:pPr>
        <w:spacing w:after="0" w:line="276" w:lineRule="auto"/>
        <w:ind w:left="720"/>
        <w:rPr>
          <w:rFonts w:eastAsia="Times New Roman" w:cstheme="minorHAnsi"/>
        </w:rPr>
      </w:pPr>
      <w:r w:rsidRPr="00EE03DB">
        <w:rPr>
          <w:rFonts w:eastAsia="Times New Roman" w:cstheme="minorHAnsi"/>
        </w:rPr>
        <w:t>([</w:t>
      </w:r>
      <w:r w:rsidR="004C2457" w:rsidRPr="00EE03DB">
        <w:rPr>
          <w:rFonts w:eastAsia="Times New Roman" w:cstheme="minorHAnsi"/>
        </w:rPr>
        <w:t xml:space="preserve">annual </w:t>
      </w:r>
      <w:r w:rsidRPr="00EE03DB">
        <w:rPr>
          <w:rFonts w:eastAsia="Times New Roman" w:cstheme="minorHAnsi"/>
        </w:rPr>
        <w:t>$ invested]/[</w:t>
      </w:r>
      <w:r w:rsidR="004C2457" w:rsidRPr="00EE03DB">
        <w:rPr>
          <w:rFonts w:eastAsia="Times New Roman" w:cstheme="minorHAnsi"/>
        </w:rPr>
        <w:t xml:space="preserve">annual amortized </w:t>
      </w:r>
      <w:r w:rsidRPr="00EE03DB">
        <w:rPr>
          <w:rFonts w:eastAsia="Times New Roman" w:cstheme="minorHAnsi"/>
        </w:rPr>
        <w:t>capital cost</w:t>
      </w:r>
      <w:r w:rsidR="004C2457" w:rsidRPr="00EE03DB">
        <w:rPr>
          <w:rFonts w:eastAsia="Times New Roman" w:cstheme="minorHAnsi"/>
        </w:rPr>
        <w:t xml:space="preserve"> + operating cost</w:t>
      </w:r>
      <w:r w:rsidRPr="00EE03DB">
        <w:rPr>
          <w:rFonts w:eastAsia="Times New Roman" w:cstheme="minorHAnsi"/>
        </w:rPr>
        <w:t>]) x (</w:t>
      </w:r>
      <w:proofErr w:type="spellStart"/>
      <w:r w:rsidRPr="00EE03DB">
        <w:rPr>
          <w:rFonts w:eastAsia="Times New Roman" w:cstheme="minorHAnsi"/>
        </w:rPr>
        <w:t>est</w:t>
      </w:r>
      <w:proofErr w:type="spellEnd"/>
      <w:r w:rsidRPr="00EE03DB">
        <w:rPr>
          <w:rFonts w:eastAsia="Times New Roman" w:cstheme="minorHAnsi"/>
        </w:rPr>
        <w:t xml:space="preserve"> kilos produced or distributed/</w:t>
      </w:r>
      <w:proofErr w:type="spellStart"/>
      <w:r w:rsidRPr="00EE03DB">
        <w:rPr>
          <w:rFonts w:eastAsia="Times New Roman" w:cstheme="minorHAnsi"/>
        </w:rPr>
        <w:t>yr</w:t>
      </w:r>
      <w:proofErr w:type="spellEnd"/>
      <w:r w:rsidRPr="00EE03DB">
        <w:rPr>
          <w:rFonts w:eastAsia="Times New Roman" w:cstheme="minorHAnsi"/>
        </w:rPr>
        <w:t>)</w:t>
      </w:r>
      <w:r w:rsidR="00A550C5" w:rsidRPr="00EE03DB">
        <w:rPr>
          <w:rFonts w:eastAsia="Times New Roman" w:cstheme="minorHAnsi"/>
        </w:rPr>
        <w:t xml:space="preserve">x </w:t>
      </w:r>
      <w:r w:rsidR="00DD78CA" w:rsidRPr="00EE03DB">
        <w:rPr>
          <w:rFonts w:eastAsia="Times New Roman" w:cstheme="minorHAnsi"/>
        </w:rPr>
        <w:t>CO</w:t>
      </w:r>
      <w:r w:rsidR="00DD78CA" w:rsidRPr="00EE03DB">
        <w:rPr>
          <w:rFonts w:eastAsia="Times New Roman" w:cstheme="minorHAnsi"/>
          <w:vertAlign w:val="subscript"/>
        </w:rPr>
        <w:t>2</w:t>
      </w:r>
      <w:r w:rsidR="00DD78CA" w:rsidRPr="00EE03DB">
        <w:rPr>
          <w:rFonts w:eastAsia="Times New Roman" w:cstheme="minorHAnsi"/>
        </w:rPr>
        <w:t>e</w:t>
      </w:r>
      <w:r w:rsidR="00A550C5" w:rsidRPr="00EE03DB">
        <w:rPr>
          <w:rFonts w:eastAsia="Times New Roman" w:cstheme="minorHAnsi"/>
        </w:rPr>
        <w:t xml:space="preserve"> of methane displaced</w:t>
      </w:r>
      <w:r w:rsidR="00A550C5" w:rsidRPr="00EE03DB">
        <w:rPr>
          <w:rStyle w:val="FootnoteReference"/>
          <w:rFonts w:eastAsia="Times New Roman" w:cstheme="minorHAnsi"/>
        </w:rPr>
        <w:footnoteReference w:id="12"/>
      </w:r>
      <w:r w:rsidR="005B7286" w:rsidRPr="00EE03DB">
        <w:rPr>
          <w:rFonts w:eastAsia="Times New Roman" w:cstheme="minorHAnsi"/>
        </w:rPr>
        <w:t xml:space="preserve"> </w:t>
      </w:r>
      <w:r w:rsidR="004C2457" w:rsidRPr="00EE03DB">
        <w:rPr>
          <w:rFonts w:eastAsia="Times New Roman" w:cstheme="minorHAnsi"/>
        </w:rPr>
        <w:t xml:space="preserve">= </w:t>
      </w:r>
      <w:r w:rsidR="004C2457" w:rsidRPr="00EE03DB">
        <w:rPr>
          <w:rFonts w:eastAsia="Times New Roman" w:cstheme="minorHAnsi"/>
        </w:rPr>
        <w:t>tons of CO</w:t>
      </w:r>
      <w:r w:rsidR="004C2457" w:rsidRPr="00EE03DB">
        <w:rPr>
          <w:rFonts w:eastAsia="Times New Roman" w:cstheme="minorHAnsi"/>
          <w:vertAlign w:val="subscript"/>
        </w:rPr>
        <w:t>2</w:t>
      </w:r>
      <w:r w:rsidR="004C2457" w:rsidRPr="00EE03DB">
        <w:rPr>
          <w:rFonts w:eastAsia="Times New Roman" w:cstheme="minorHAnsi"/>
        </w:rPr>
        <w:t xml:space="preserve"> </w:t>
      </w:r>
      <w:r w:rsidR="004C2457" w:rsidRPr="00EE03DB">
        <w:rPr>
          <w:rFonts w:eastAsia="Times New Roman" w:cstheme="minorHAnsi"/>
        </w:rPr>
        <w:t xml:space="preserve">displaced </w:t>
      </w:r>
      <w:r w:rsidR="004C2457" w:rsidRPr="00EE03DB">
        <w:rPr>
          <w:rFonts w:eastAsia="Times New Roman" w:cstheme="minorHAnsi"/>
        </w:rPr>
        <w:t>then divide by # tons of CO2/MWh from utility’s fuel mix disclosure to arrive at MWhs of CO</w:t>
      </w:r>
      <w:r w:rsidR="004C2457" w:rsidRPr="00EE03DB">
        <w:rPr>
          <w:rFonts w:eastAsia="Times New Roman" w:cstheme="minorHAnsi"/>
          <w:vertAlign w:val="subscript"/>
        </w:rPr>
        <w:t>2</w:t>
      </w:r>
      <w:r w:rsidR="004C2457" w:rsidRPr="00EE03DB">
        <w:rPr>
          <w:rFonts w:eastAsia="Times New Roman" w:cstheme="minorHAnsi"/>
        </w:rPr>
        <w:t xml:space="preserve"> free electricity.</w:t>
      </w:r>
    </w:p>
    <w:p w14:paraId="3DEE9814" w14:textId="3D6A5582" w:rsidR="00A550C5" w:rsidRPr="00EE03DB" w:rsidRDefault="00A550C5" w:rsidP="00EE03DB">
      <w:pPr>
        <w:spacing w:after="120" w:line="276" w:lineRule="auto"/>
        <w:ind w:left="720"/>
        <w:rPr>
          <w:rFonts w:eastAsia="Times New Roman" w:cstheme="minorHAnsi"/>
        </w:rPr>
      </w:pPr>
    </w:p>
    <w:p w14:paraId="40826895" w14:textId="77777777" w:rsidR="00756B5D" w:rsidRPr="00EE03DB" w:rsidRDefault="00756B5D" w:rsidP="00EE03DB">
      <w:pPr>
        <w:spacing w:after="120" w:line="276" w:lineRule="auto"/>
        <w:rPr>
          <w:rFonts w:cstheme="minorHAnsi"/>
        </w:rPr>
      </w:pPr>
    </w:p>
    <w:p w14:paraId="4F2CF510" w14:textId="59489399" w:rsidR="00FE36E1" w:rsidRPr="00EE03DB" w:rsidRDefault="00FE36E1" w:rsidP="00EE03DB">
      <w:pPr>
        <w:spacing w:after="120" w:line="276" w:lineRule="auto"/>
        <w:rPr>
          <w:rFonts w:cstheme="minorHAnsi"/>
        </w:rPr>
      </w:pPr>
      <w:r w:rsidRPr="00EE03DB">
        <w:rPr>
          <w:rFonts w:cstheme="minorHAnsi"/>
        </w:rPr>
        <w:t>Incentives for RNG production and distribution</w:t>
      </w:r>
      <w:r w:rsidRPr="00EE03DB">
        <w:rPr>
          <w:rStyle w:val="FootnoteReference"/>
          <w:rFonts w:cstheme="minorHAnsi"/>
        </w:rPr>
        <w:footnoteReference w:id="13"/>
      </w:r>
      <w:r w:rsidRPr="00EE03DB">
        <w:rPr>
          <w:rFonts w:cstheme="minorHAnsi"/>
        </w:rPr>
        <w:t xml:space="preserve"> can likewise use the same formulas as renewable hydrogen for transportation fuel or other end uses</w:t>
      </w:r>
      <w:r w:rsidR="00454654" w:rsidRPr="00EE03DB">
        <w:rPr>
          <w:rFonts w:cstheme="minorHAnsi"/>
        </w:rPr>
        <w:t xml:space="preserve"> not including operating costs which are not included in the statute for RNG investments</w:t>
      </w:r>
      <w:r w:rsidR="00EE03DB">
        <w:rPr>
          <w:rFonts w:cstheme="minorHAnsi"/>
        </w:rPr>
        <w:t>.</w:t>
      </w:r>
    </w:p>
    <w:p w14:paraId="68813AE7" w14:textId="32C8B806" w:rsidR="00CA1C66" w:rsidRPr="00EE03DB" w:rsidRDefault="00CA1C66" w:rsidP="00EE03DB">
      <w:pPr>
        <w:spacing w:after="0" w:line="276" w:lineRule="auto"/>
        <w:rPr>
          <w:rFonts w:eastAsia="Times New Roman" w:cstheme="minorHAnsi"/>
        </w:rPr>
      </w:pPr>
    </w:p>
    <w:p w14:paraId="1B183E79" w14:textId="005894A2" w:rsidR="00DD78CA" w:rsidRPr="00EE03DB" w:rsidRDefault="00DD78CA" w:rsidP="00EE03DB">
      <w:pPr>
        <w:spacing w:line="276" w:lineRule="auto"/>
        <w:rPr>
          <w:rFonts w:cstheme="minorHAnsi"/>
        </w:rPr>
      </w:pPr>
      <w:r w:rsidRPr="00EE03DB">
        <w:rPr>
          <w:rFonts w:cstheme="minorHAnsi"/>
          <w:b/>
          <w:bCs/>
        </w:rPr>
        <w:t>Comments to Specific Provisions in the Draft</w:t>
      </w:r>
      <w:r w:rsidRPr="00EE03DB">
        <w:rPr>
          <w:rFonts w:cstheme="minorHAnsi"/>
        </w:rPr>
        <w:t xml:space="preserve"> </w:t>
      </w:r>
    </w:p>
    <w:p w14:paraId="614ABD20" w14:textId="4FAC3C2B" w:rsidR="00DD78CA" w:rsidRPr="00EE03DB" w:rsidRDefault="00D87F07" w:rsidP="00EE03DB">
      <w:pPr>
        <w:pStyle w:val="ListParagraph"/>
        <w:numPr>
          <w:ilvl w:val="0"/>
          <w:numId w:val="2"/>
        </w:numPr>
        <w:spacing w:line="276" w:lineRule="auto"/>
        <w:rPr>
          <w:rFonts w:cstheme="minorHAnsi"/>
        </w:rPr>
      </w:pPr>
      <w:r w:rsidRPr="00EE03DB">
        <w:rPr>
          <w:rFonts w:cstheme="minorHAnsi"/>
        </w:rPr>
        <w:t>173-444-060(4)(c) – delete</w:t>
      </w:r>
      <w:r w:rsidR="004D287E" w:rsidRPr="00EE03DB">
        <w:rPr>
          <w:rFonts w:cstheme="minorHAnsi"/>
        </w:rPr>
        <w:t xml:space="preserve"> [along with 173-070(3)(f) which also deals with the equity provision]</w:t>
      </w:r>
    </w:p>
    <w:p w14:paraId="4D67DC93" w14:textId="1B5F97AA" w:rsidR="00535C07" w:rsidRPr="00EE03DB" w:rsidRDefault="00D87F07" w:rsidP="00EE03DB">
      <w:pPr>
        <w:spacing w:line="276" w:lineRule="auto"/>
        <w:rPr>
          <w:rFonts w:cstheme="minorHAnsi"/>
        </w:rPr>
      </w:pPr>
      <w:r w:rsidRPr="00EE03DB">
        <w:rPr>
          <w:rFonts w:cstheme="minorHAnsi"/>
        </w:rPr>
        <w:t>While there were two interpretations of the equity test in the May 17</w:t>
      </w:r>
      <w:r w:rsidRPr="00EE03DB">
        <w:rPr>
          <w:rFonts w:cstheme="minorHAnsi"/>
          <w:vertAlign w:val="superscript"/>
        </w:rPr>
        <w:t>th</w:t>
      </w:r>
      <w:r w:rsidRPr="00EE03DB">
        <w:rPr>
          <w:rFonts w:cstheme="minorHAnsi"/>
        </w:rPr>
        <w:t xml:space="preserve"> workshop, </w:t>
      </w:r>
      <w:r w:rsidR="00197063" w:rsidRPr="00EE03DB">
        <w:rPr>
          <w:rFonts w:cstheme="minorHAnsi"/>
        </w:rPr>
        <w:t xml:space="preserve">one suggesting that the equity consideration has to be placed on each and every item, or the other that it should be placed on an overall basis, </w:t>
      </w:r>
      <w:r w:rsidRPr="00EE03DB">
        <w:rPr>
          <w:rFonts w:cstheme="minorHAnsi"/>
        </w:rPr>
        <w:t>in either interpretation, this test</w:t>
      </w:r>
      <w:r w:rsidR="00197063" w:rsidRPr="00EE03DB">
        <w:rPr>
          <w:rFonts w:cstheme="minorHAnsi"/>
        </w:rPr>
        <w:t xml:space="preserve"> of satisfying the equity considerations</w:t>
      </w:r>
      <w:r w:rsidRPr="00EE03DB">
        <w:rPr>
          <w:rFonts w:cstheme="minorHAnsi"/>
        </w:rPr>
        <w:t xml:space="preserve"> is not in Ecology’s charge under CETA for ETPs. We would suggest that the resolution of either interpretation belongs with the </w:t>
      </w:r>
      <w:r w:rsidR="004C2457" w:rsidRPr="00EE03DB">
        <w:rPr>
          <w:rFonts w:cstheme="minorHAnsi"/>
        </w:rPr>
        <w:t>Approving body</w:t>
      </w:r>
      <w:r w:rsidRPr="00EE03DB">
        <w:rPr>
          <w:rFonts w:cstheme="minorHAnsi"/>
        </w:rPr>
        <w:t xml:space="preserve"> when </w:t>
      </w:r>
      <w:r w:rsidR="004C2457" w:rsidRPr="00EE03DB">
        <w:rPr>
          <w:rFonts w:cstheme="minorHAnsi"/>
        </w:rPr>
        <w:t xml:space="preserve">comparing and </w:t>
      </w:r>
      <w:r w:rsidRPr="00EE03DB">
        <w:rPr>
          <w:rFonts w:cstheme="minorHAnsi"/>
        </w:rPr>
        <w:t xml:space="preserve">incorporating the </w:t>
      </w:r>
      <w:r w:rsidR="004C2457" w:rsidRPr="00EE03DB">
        <w:rPr>
          <w:rFonts w:cstheme="minorHAnsi"/>
        </w:rPr>
        <w:t xml:space="preserve">equity requirements for </w:t>
      </w:r>
      <w:r w:rsidRPr="00EE03DB">
        <w:rPr>
          <w:rFonts w:cstheme="minorHAnsi"/>
        </w:rPr>
        <w:t>ETP</w:t>
      </w:r>
      <w:r w:rsidR="004C2457" w:rsidRPr="00EE03DB">
        <w:rPr>
          <w:rFonts w:cstheme="minorHAnsi"/>
        </w:rPr>
        <w:t>s</w:t>
      </w:r>
      <w:r w:rsidRPr="00EE03DB">
        <w:rPr>
          <w:rFonts w:cstheme="minorHAnsi"/>
        </w:rPr>
        <w:t xml:space="preserve"> into the broader CETA </w:t>
      </w:r>
      <w:r w:rsidR="004C2457" w:rsidRPr="00EE03DB">
        <w:rPr>
          <w:rFonts w:cstheme="minorHAnsi"/>
        </w:rPr>
        <w:t>compliance obligations</w:t>
      </w:r>
      <w:r w:rsidRPr="00EE03DB">
        <w:rPr>
          <w:rFonts w:cstheme="minorHAnsi"/>
        </w:rPr>
        <w:t xml:space="preserve">. </w:t>
      </w:r>
    </w:p>
    <w:p w14:paraId="22903241" w14:textId="77777777" w:rsidR="00EE03DB" w:rsidRDefault="001F39E7" w:rsidP="00EE03DB">
      <w:pPr>
        <w:spacing w:line="276" w:lineRule="auto"/>
        <w:rPr>
          <w:rFonts w:cstheme="minorHAnsi"/>
        </w:rPr>
      </w:pPr>
      <w:r w:rsidRPr="00EE03DB">
        <w:rPr>
          <w:rFonts w:cstheme="minorHAnsi"/>
        </w:rPr>
        <w:t>As active participants in the CETA process, we are not aware of any discussion or legislative intent</w:t>
      </w:r>
      <w:r w:rsidR="00D87F07" w:rsidRPr="00EE03DB">
        <w:rPr>
          <w:rFonts w:cstheme="minorHAnsi"/>
        </w:rPr>
        <w:t xml:space="preserve"> placing Ecology in the role of approving or disapproving of whether an ETP </w:t>
      </w:r>
      <w:r w:rsidR="002F671A" w:rsidRPr="00EE03DB">
        <w:rPr>
          <w:rFonts w:cstheme="minorHAnsi"/>
        </w:rPr>
        <w:t>“</w:t>
      </w:r>
      <w:r w:rsidR="00D87F07" w:rsidRPr="00EE03DB">
        <w:rPr>
          <w:rFonts w:cstheme="minorHAnsi"/>
          <w:i/>
          <w:iCs/>
        </w:rPr>
        <w:t>satisfies the equity consideration for this chapter</w:t>
      </w:r>
      <w:r w:rsidR="002F671A" w:rsidRPr="00EE03DB">
        <w:rPr>
          <w:rFonts w:cstheme="minorHAnsi"/>
          <w:i/>
          <w:iCs/>
        </w:rPr>
        <w:t>”,</w:t>
      </w:r>
      <w:r w:rsidR="002F671A" w:rsidRPr="00EE03DB">
        <w:rPr>
          <w:rFonts w:cstheme="minorHAnsi"/>
        </w:rPr>
        <w:t xml:space="preserve"> nor do we believe that the statute grants such authority to Ecology</w:t>
      </w:r>
      <w:r w:rsidRPr="00EE03DB">
        <w:rPr>
          <w:rFonts w:cstheme="minorHAnsi"/>
          <w:i/>
          <w:iCs/>
        </w:rPr>
        <w:t xml:space="preserve">. </w:t>
      </w:r>
      <w:r w:rsidRPr="00EE03DB">
        <w:rPr>
          <w:rFonts w:cstheme="minorHAnsi"/>
        </w:rPr>
        <w:t>That Ecology would presume such a role</w:t>
      </w:r>
      <w:r w:rsidR="002F671A" w:rsidRPr="00EE03DB">
        <w:rPr>
          <w:rFonts w:cstheme="minorHAnsi"/>
        </w:rPr>
        <w:t xml:space="preserve"> in these rules</w:t>
      </w:r>
      <w:r w:rsidR="00D87F07" w:rsidRPr="00EE03DB">
        <w:rPr>
          <w:rFonts w:cstheme="minorHAnsi"/>
        </w:rPr>
        <w:t xml:space="preserve"> places the agency in both a regulatory </w:t>
      </w:r>
      <w:r w:rsidR="00197063" w:rsidRPr="00EE03DB">
        <w:rPr>
          <w:rFonts w:cstheme="minorHAnsi"/>
        </w:rPr>
        <w:t xml:space="preserve">decision </w:t>
      </w:r>
      <w:r w:rsidR="00566A3A" w:rsidRPr="00EE03DB">
        <w:rPr>
          <w:rFonts w:cstheme="minorHAnsi"/>
        </w:rPr>
        <w:t xml:space="preserve">making </w:t>
      </w:r>
      <w:r w:rsidR="00D87F07" w:rsidRPr="00EE03DB">
        <w:rPr>
          <w:rFonts w:cstheme="minorHAnsi"/>
        </w:rPr>
        <w:t>position over the utility proposing an ETP</w:t>
      </w:r>
      <w:r w:rsidR="004C2457" w:rsidRPr="00EE03DB">
        <w:rPr>
          <w:rFonts w:cstheme="minorHAnsi"/>
        </w:rPr>
        <w:t xml:space="preserve"> </w:t>
      </w:r>
      <w:r w:rsidR="002F671A" w:rsidRPr="00EE03DB">
        <w:rPr>
          <w:rFonts w:cstheme="minorHAnsi"/>
        </w:rPr>
        <w:t xml:space="preserve">for compliance </w:t>
      </w:r>
      <w:r w:rsidR="004C2457" w:rsidRPr="00EE03DB">
        <w:rPr>
          <w:rFonts w:cstheme="minorHAnsi"/>
        </w:rPr>
        <w:t>to an Approving Body</w:t>
      </w:r>
      <w:r w:rsidR="00D87F07" w:rsidRPr="00EE03DB">
        <w:rPr>
          <w:rFonts w:cstheme="minorHAnsi"/>
        </w:rPr>
        <w:t xml:space="preserve"> for compliance, and</w:t>
      </w:r>
      <w:r w:rsidR="00197063" w:rsidRPr="00EE03DB">
        <w:rPr>
          <w:rFonts w:cstheme="minorHAnsi"/>
        </w:rPr>
        <w:t xml:space="preserve"> also</w:t>
      </w:r>
      <w:r w:rsidR="00D87F07" w:rsidRPr="00EE03DB">
        <w:rPr>
          <w:rFonts w:cstheme="minorHAnsi"/>
        </w:rPr>
        <w:t xml:space="preserve"> places Ecology in an </w:t>
      </w:r>
      <w:r w:rsidR="00535C07" w:rsidRPr="00EE03DB">
        <w:rPr>
          <w:rFonts w:cstheme="minorHAnsi"/>
        </w:rPr>
        <w:t xml:space="preserve">equity consideration </w:t>
      </w:r>
      <w:r w:rsidR="00D87F07" w:rsidRPr="00EE03DB">
        <w:rPr>
          <w:rFonts w:cstheme="minorHAnsi"/>
        </w:rPr>
        <w:t xml:space="preserve">oversight position of </w:t>
      </w:r>
      <w:r w:rsidR="00535C07" w:rsidRPr="00EE03DB">
        <w:rPr>
          <w:rFonts w:cstheme="minorHAnsi"/>
        </w:rPr>
        <w:t xml:space="preserve">only </w:t>
      </w:r>
      <w:r w:rsidR="00D87F07" w:rsidRPr="00EE03DB">
        <w:rPr>
          <w:rFonts w:cstheme="minorHAnsi"/>
        </w:rPr>
        <w:t>1 of the 3 alternative compliance options, (alternative payments and REC purchases</w:t>
      </w:r>
      <w:r w:rsidR="00535C07" w:rsidRPr="00EE03DB">
        <w:rPr>
          <w:rFonts w:cstheme="minorHAnsi"/>
        </w:rPr>
        <w:t xml:space="preserve"> would still be left to the </w:t>
      </w:r>
      <w:r w:rsidR="004C2457" w:rsidRPr="00EE03DB">
        <w:rPr>
          <w:rFonts w:cstheme="minorHAnsi"/>
        </w:rPr>
        <w:t>Approving Body</w:t>
      </w:r>
      <w:r w:rsidR="00D87F07" w:rsidRPr="00EE03DB">
        <w:rPr>
          <w:rFonts w:cstheme="minorHAnsi"/>
        </w:rPr>
        <w:t>) –</w:t>
      </w:r>
      <w:r w:rsidR="00197063" w:rsidRPr="00EE03DB">
        <w:rPr>
          <w:rFonts w:cstheme="minorHAnsi"/>
        </w:rPr>
        <w:t xml:space="preserve"> </w:t>
      </w:r>
      <w:r w:rsidR="00D87F07" w:rsidRPr="00EE03DB">
        <w:rPr>
          <w:rFonts w:cstheme="minorHAnsi"/>
        </w:rPr>
        <w:t>leading to a further inequity among the 3 alternative compliance options</w:t>
      </w:r>
      <w:r w:rsidR="00197063" w:rsidRPr="00EE03DB">
        <w:rPr>
          <w:rFonts w:cstheme="minorHAnsi"/>
        </w:rPr>
        <w:t xml:space="preserve">  </w:t>
      </w:r>
      <w:r w:rsidR="004C2457" w:rsidRPr="00EE03DB">
        <w:rPr>
          <w:rFonts w:cstheme="minorHAnsi"/>
        </w:rPr>
        <w:t>the Approving Body</w:t>
      </w:r>
      <w:r w:rsidR="00197063" w:rsidRPr="00EE03DB">
        <w:rPr>
          <w:rFonts w:cstheme="minorHAnsi"/>
        </w:rPr>
        <w:t xml:space="preserve"> applying it one way, and Ecology applying</w:t>
      </w:r>
      <w:r w:rsidR="004C2457" w:rsidRPr="00EE03DB">
        <w:rPr>
          <w:rFonts w:cstheme="minorHAnsi"/>
        </w:rPr>
        <w:t xml:space="preserve"> it to</w:t>
      </w:r>
      <w:r w:rsidR="00197063" w:rsidRPr="00EE03DB">
        <w:rPr>
          <w:rFonts w:cstheme="minorHAnsi"/>
        </w:rPr>
        <w:t xml:space="preserve"> </w:t>
      </w:r>
      <w:r w:rsidR="00535C07" w:rsidRPr="00EE03DB">
        <w:rPr>
          <w:rFonts w:cstheme="minorHAnsi"/>
        </w:rPr>
        <w:t>ETPs</w:t>
      </w:r>
      <w:r w:rsidR="00197063" w:rsidRPr="00EE03DB">
        <w:rPr>
          <w:rFonts w:cstheme="minorHAnsi"/>
        </w:rPr>
        <w:t xml:space="preserve"> in a different manner.</w:t>
      </w:r>
      <w:r w:rsidR="00D87F07" w:rsidRPr="00EE03DB">
        <w:rPr>
          <w:rFonts w:cstheme="minorHAnsi"/>
        </w:rPr>
        <w:t xml:space="preserve"> </w:t>
      </w:r>
    </w:p>
    <w:p w14:paraId="454797DE" w14:textId="5053311E" w:rsidR="00D87F07" w:rsidRPr="00EE03DB" w:rsidRDefault="00D87F07" w:rsidP="00EE03DB">
      <w:pPr>
        <w:spacing w:after="0" w:line="276" w:lineRule="auto"/>
        <w:rPr>
          <w:rFonts w:cstheme="minorHAnsi"/>
        </w:rPr>
      </w:pPr>
      <w:r w:rsidRPr="00EE03DB">
        <w:rPr>
          <w:rFonts w:cstheme="minorHAnsi"/>
        </w:rPr>
        <w:t xml:space="preserve"> </w:t>
      </w:r>
    </w:p>
    <w:p w14:paraId="7ADAFF73" w14:textId="5ADBF64F" w:rsidR="00566A3A" w:rsidRPr="00EE03DB" w:rsidRDefault="000C4F47" w:rsidP="00EE03DB">
      <w:pPr>
        <w:pStyle w:val="ListParagraph"/>
        <w:numPr>
          <w:ilvl w:val="0"/>
          <w:numId w:val="2"/>
        </w:numPr>
        <w:spacing w:line="276" w:lineRule="auto"/>
        <w:rPr>
          <w:rFonts w:cstheme="minorHAnsi"/>
        </w:rPr>
      </w:pPr>
      <w:r w:rsidRPr="00EE03DB">
        <w:rPr>
          <w:rFonts w:cstheme="minorHAnsi"/>
        </w:rPr>
        <w:t>173-444-060(8)</w:t>
      </w:r>
    </w:p>
    <w:p w14:paraId="43850B8B" w14:textId="62189AFA" w:rsidR="000C4F47" w:rsidRPr="00EE03DB" w:rsidRDefault="000C4F47" w:rsidP="00EE03DB">
      <w:pPr>
        <w:pStyle w:val="ListParagraph"/>
        <w:spacing w:line="276" w:lineRule="auto"/>
        <w:rPr>
          <w:rFonts w:cstheme="minorHAnsi"/>
        </w:rPr>
      </w:pPr>
    </w:p>
    <w:p w14:paraId="64FE4D99" w14:textId="6560513B" w:rsidR="000C4F47" w:rsidRPr="00EE03DB" w:rsidRDefault="000C4F47" w:rsidP="00EE03DB">
      <w:pPr>
        <w:pStyle w:val="ListParagraph"/>
        <w:spacing w:line="276" w:lineRule="auto"/>
        <w:ind w:left="0"/>
        <w:rPr>
          <w:rFonts w:cstheme="minorHAnsi"/>
        </w:rPr>
      </w:pPr>
      <w:r w:rsidRPr="00EE03DB">
        <w:rPr>
          <w:rFonts w:cstheme="minorHAnsi"/>
        </w:rPr>
        <w:t>We request more clarity between a “category”</w:t>
      </w:r>
      <w:r w:rsidR="007B553A" w:rsidRPr="00EE03DB">
        <w:rPr>
          <w:rFonts w:cstheme="minorHAnsi"/>
        </w:rPr>
        <w:t>,</w:t>
      </w:r>
      <w:r w:rsidRPr="00EE03DB">
        <w:rPr>
          <w:rFonts w:cstheme="minorHAnsi"/>
        </w:rPr>
        <w:t xml:space="preserve"> a “component” and the process that Ecology is proposing.</w:t>
      </w:r>
    </w:p>
    <w:p w14:paraId="56AD2D57" w14:textId="4CB158C4" w:rsidR="000C4F47" w:rsidRPr="00EE03DB" w:rsidRDefault="000C4F47" w:rsidP="00EE03DB">
      <w:pPr>
        <w:pStyle w:val="ListParagraph"/>
        <w:spacing w:line="276" w:lineRule="auto"/>
        <w:ind w:left="0"/>
        <w:rPr>
          <w:rFonts w:cstheme="minorHAnsi"/>
        </w:rPr>
      </w:pPr>
    </w:p>
    <w:p w14:paraId="4AA74233" w14:textId="0F0BB197" w:rsidR="000C4F47" w:rsidRPr="00EE03DB" w:rsidRDefault="008220B0" w:rsidP="00EE03DB">
      <w:pPr>
        <w:pStyle w:val="ListParagraph"/>
        <w:spacing w:after="0" w:line="276" w:lineRule="auto"/>
        <w:ind w:left="0"/>
        <w:rPr>
          <w:rFonts w:cstheme="minorHAnsi"/>
        </w:rPr>
      </w:pPr>
      <w:r w:rsidRPr="00EE03DB">
        <w:rPr>
          <w:rFonts w:cstheme="minorHAnsi"/>
        </w:rPr>
        <w:t>W</w:t>
      </w:r>
      <w:r w:rsidR="000C4F47" w:rsidRPr="00EE03DB">
        <w:rPr>
          <w:rFonts w:cstheme="minorHAnsi"/>
        </w:rPr>
        <w:t>e propose that two additional categories be added to the list of eligible categories, along with the calculations that we proposed earlier in our comments</w:t>
      </w:r>
      <w:r w:rsidRPr="00EE03DB">
        <w:rPr>
          <w:rFonts w:cstheme="minorHAnsi"/>
        </w:rPr>
        <w:t>:</w:t>
      </w:r>
    </w:p>
    <w:p w14:paraId="221A0C1D" w14:textId="77777777" w:rsidR="008220B0" w:rsidRPr="00EE03DB" w:rsidRDefault="008220B0" w:rsidP="00EE03DB">
      <w:pPr>
        <w:spacing w:after="0" w:line="276" w:lineRule="auto"/>
        <w:rPr>
          <w:rFonts w:cstheme="minorHAnsi"/>
        </w:rPr>
      </w:pPr>
    </w:p>
    <w:p w14:paraId="194CD43B" w14:textId="0A135113" w:rsidR="008220B0" w:rsidRPr="00EE03DB" w:rsidRDefault="008220B0" w:rsidP="00EE03DB">
      <w:pPr>
        <w:spacing w:after="0" w:line="276" w:lineRule="auto"/>
        <w:rPr>
          <w:rFonts w:cstheme="minorHAnsi"/>
        </w:rPr>
      </w:pPr>
      <w:r w:rsidRPr="00EE03DB">
        <w:rPr>
          <w:rFonts w:cstheme="minorHAnsi"/>
        </w:rPr>
        <w:t>Subsection 8 would be amended to read:</w:t>
      </w:r>
    </w:p>
    <w:p w14:paraId="6A2F45F5" w14:textId="77777777" w:rsidR="008220B0" w:rsidRPr="00EE03DB" w:rsidRDefault="008220B0" w:rsidP="00EE03DB">
      <w:pPr>
        <w:spacing w:after="0" w:line="276" w:lineRule="auto"/>
        <w:rPr>
          <w:rFonts w:cstheme="minorHAnsi"/>
        </w:rPr>
      </w:pPr>
    </w:p>
    <w:p w14:paraId="0CD0D3F7" w14:textId="3376A89C" w:rsidR="008220B0" w:rsidRPr="00EE03DB" w:rsidRDefault="008220B0" w:rsidP="00EE03DB">
      <w:pPr>
        <w:spacing w:line="276" w:lineRule="auto"/>
        <w:rPr>
          <w:rFonts w:cstheme="minorHAnsi"/>
        </w:rPr>
      </w:pPr>
      <w:r w:rsidRPr="00EE03DB">
        <w:rPr>
          <w:rFonts w:cstheme="minorHAnsi"/>
        </w:rPr>
        <w:t>(8) The first component of the list of eligible categories of energy transformation projects will be composed of the following project categories, upon the effective date of this chapter.</w:t>
      </w:r>
    </w:p>
    <w:p w14:paraId="10E0A73F" w14:textId="0B4D9959" w:rsidR="00E33940" w:rsidRPr="00EE03DB" w:rsidRDefault="00805841" w:rsidP="00EE03DB">
      <w:pPr>
        <w:spacing w:line="276" w:lineRule="auto"/>
        <w:rPr>
          <w:rFonts w:cstheme="minorHAnsi"/>
          <w:u w:val="single"/>
        </w:rPr>
      </w:pPr>
      <w:r w:rsidRPr="00EE03DB">
        <w:rPr>
          <w:rFonts w:cstheme="minorHAnsi"/>
          <w:u w:val="single"/>
        </w:rPr>
        <w:lastRenderedPageBreak/>
        <w:t>Absent specific formulas for calculating MWh conversion factors, t</w:t>
      </w:r>
      <w:r w:rsidR="00E33940" w:rsidRPr="00EE03DB">
        <w:rPr>
          <w:rFonts w:cstheme="minorHAnsi"/>
          <w:u w:val="single"/>
        </w:rPr>
        <w:t xml:space="preserve"> </w:t>
      </w:r>
      <w:r w:rsidR="008220B0" w:rsidRPr="00EE03DB">
        <w:rPr>
          <w:rFonts w:cstheme="minorHAnsi"/>
          <w:u w:val="single"/>
        </w:rPr>
        <w:t>annual CO</w:t>
      </w:r>
      <w:r w:rsidR="008220B0" w:rsidRPr="00EE03DB">
        <w:rPr>
          <w:rFonts w:cstheme="minorHAnsi"/>
          <w:u w:val="single"/>
          <w:vertAlign w:val="subscript"/>
        </w:rPr>
        <w:t>2</w:t>
      </w:r>
      <w:r w:rsidR="008220B0" w:rsidRPr="00EE03DB">
        <w:rPr>
          <w:rFonts w:cstheme="minorHAnsi"/>
          <w:u w:val="single"/>
        </w:rPr>
        <w:t xml:space="preserve">e emissions reductions calculated </w:t>
      </w:r>
      <w:r w:rsidR="00E33940" w:rsidRPr="00EE03DB">
        <w:rPr>
          <w:rFonts w:cstheme="minorHAnsi"/>
          <w:u w:val="single"/>
        </w:rPr>
        <w:t>are converted to MWh equivalents by calculating</w:t>
      </w:r>
      <w:r w:rsidR="008220B0" w:rsidRPr="00EE03DB">
        <w:rPr>
          <w:rFonts w:cstheme="minorHAnsi"/>
          <w:u w:val="single"/>
        </w:rPr>
        <w:t>:</w:t>
      </w:r>
      <w:r w:rsidR="00E33940" w:rsidRPr="00EE03DB">
        <w:rPr>
          <w:rFonts w:cstheme="minorHAnsi"/>
          <w:u w:val="single"/>
        </w:rPr>
        <w:t xml:space="preserve"> </w:t>
      </w:r>
    </w:p>
    <w:p w14:paraId="76B72B03" w14:textId="25081CBD" w:rsidR="00E33940" w:rsidRPr="00EE03DB" w:rsidRDefault="008220B0" w:rsidP="00EE03DB">
      <w:pPr>
        <w:spacing w:line="276" w:lineRule="auto"/>
        <w:ind w:left="360"/>
        <w:rPr>
          <w:rFonts w:cstheme="minorHAnsi"/>
          <w:u w:val="single"/>
        </w:rPr>
      </w:pPr>
      <w:r w:rsidRPr="00EE03DB">
        <w:rPr>
          <w:rFonts w:cstheme="minorHAnsi"/>
          <w:u w:val="single"/>
        </w:rPr>
        <w:t>[Annual CO</w:t>
      </w:r>
      <w:r w:rsidRPr="00EE03DB">
        <w:rPr>
          <w:rFonts w:cstheme="minorHAnsi"/>
          <w:u w:val="single"/>
          <w:vertAlign w:val="subscript"/>
        </w:rPr>
        <w:t>2</w:t>
      </w:r>
      <w:r w:rsidRPr="00EE03DB">
        <w:rPr>
          <w:rFonts w:cstheme="minorHAnsi"/>
          <w:u w:val="single"/>
        </w:rPr>
        <w:t xml:space="preserve">e reductions in </w:t>
      </w:r>
      <w:proofErr w:type="spellStart"/>
      <w:r w:rsidR="00805841" w:rsidRPr="00EE03DB">
        <w:rPr>
          <w:rFonts w:cstheme="minorHAnsi"/>
          <w:u w:val="single"/>
        </w:rPr>
        <w:t>tons</w:t>
      </w:r>
      <w:r w:rsidRPr="00EE03DB">
        <w:rPr>
          <w:rFonts w:cstheme="minorHAnsi"/>
          <w:u w:val="single"/>
        </w:rPr>
        <w:t>s</w:t>
      </w:r>
      <w:proofErr w:type="spellEnd"/>
      <w:r w:rsidRPr="00EE03DB">
        <w:rPr>
          <w:rFonts w:cstheme="minorHAnsi"/>
          <w:u w:val="single"/>
        </w:rPr>
        <w:t xml:space="preserve"> from ETP] / [</w:t>
      </w:r>
      <w:r w:rsidR="00E33940" w:rsidRPr="00EE03DB">
        <w:rPr>
          <w:rFonts w:cstheme="minorHAnsi"/>
          <w:u w:val="single"/>
        </w:rPr>
        <w:t xml:space="preserve">Annual utility GHG emissions in </w:t>
      </w:r>
      <w:proofErr w:type="spellStart"/>
      <w:r w:rsidR="00805841" w:rsidRPr="00EE03DB">
        <w:rPr>
          <w:rFonts w:cstheme="minorHAnsi"/>
          <w:u w:val="single"/>
        </w:rPr>
        <w:t>tons</w:t>
      </w:r>
      <w:r w:rsidR="00E33940" w:rsidRPr="00EE03DB">
        <w:rPr>
          <w:rFonts w:cstheme="minorHAnsi"/>
          <w:u w:val="single"/>
        </w:rPr>
        <w:t>s</w:t>
      </w:r>
      <w:proofErr w:type="spellEnd"/>
      <w:r w:rsidR="00E33940" w:rsidRPr="00EE03DB">
        <w:rPr>
          <w:rFonts w:cstheme="minorHAnsi"/>
          <w:u w:val="single"/>
        </w:rPr>
        <w:t xml:space="preserve"> </w:t>
      </w:r>
      <w:r w:rsidR="00805841" w:rsidRPr="00EE03DB">
        <w:rPr>
          <w:rFonts w:cstheme="minorHAnsi"/>
          <w:u w:val="single"/>
        </w:rPr>
        <w:t>x</w:t>
      </w:r>
      <w:r w:rsidR="00E33940" w:rsidRPr="00EE03DB">
        <w:rPr>
          <w:rFonts w:cstheme="minorHAnsi"/>
          <w:u w:val="single"/>
        </w:rPr>
        <w:t xml:space="preserve"> MWhs/</w:t>
      </w:r>
      <w:proofErr w:type="spellStart"/>
      <w:r w:rsidR="00E33940" w:rsidRPr="00EE03DB">
        <w:rPr>
          <w:rFonts w:cstheme="minorHAnsi"/>
          <w:u w:val="single"/>
        </w:rPr>
        <w:t>yr</w:t>
      </w:r>
      <w:proofErr w:type="spellEnd"/>
      <w:r w:rsidR="00E33940" w:rsidRPr="00EE03DB">
        <w:rPr>
          <w:rFonts w:cstheme="minorHAnsi"/>
          <w:u w:val="single"/>
        </w:rPr>
        <w:t xml:space="preserve"> </w:t>
      </w:r>
      <w:r w:rsidR="00805841" w:rsidRPr="00EE03DB">
        <w:rPr>
          <w:rFonts w:cstheme="minorHAnsi"/>
          <w:u w:val="single"/>
        </w:rPr>
        <w:t>=</w:t>
      </w:r>
      <w:r w:rsidR="00805841" w:rsidRPr="00EE03DB">
        <w:rPr>
          <w:rFonts w:cstheme="minorHAnsi"/>
          <w:u w:val="single"/>
        </w:rPr>
        <w:t xml:space="preserve"> </w:t>
      </w:r>
      <w:r w:rsidR="00805841" w:rsidRPr="00EE03DB">
        <w:rPr>
          <w:rFonts w:cstheme="minorHAnsi"/>
          <w:u w:val="single"/>
        </w:rPr>
        <w:t xml:space="preserve"> #MWhs of CO</w:t>
      </w:r>
      <w:r w:rsidR="00805841" w:rsidRPr="00EE03DB">
        <w:rPr>
          <w:rFonts w:cstheme="minorHAnsi"/>
          <w:u w:val="single"/>
          <w:vertAlign w:val="subscript"/>
        </w:rPr>
        <w:t>2</w:t>
      </w:r>
      <w:r w:rsidR="00805841" w:rsidRPr="00EE03DB">
        <w:rPr>
          <w:rFonts w:cstheme="minorHAnsi"/>
          <w:u w:val="single"/>
        </w:rPr>
        <w:t xml:space="preserve"> free electricity</w:t>
      </w:r>
    </w:p>
    <w:p w14:paraId="516114B1" w14:textId="02FB1DE9" w:rsidR="000C4F47" w:rsidRPr="00EE03DB" w:rsidRDefault="000C4F47" w:rsidP="00EE03DB">
      <w:pPr>
        <w:pStyle w:val="ListParagraph"/>
        <w:numPr>
          <w:ilvl w:val="0"/>
          <w:numId w:val="4"/>
        </w:numPr>
        <w:spacing w:line="276" w:lineRule="auto"/>
        <w:rPr>
          <w:rFonts w:cstheme="minorHAnsi"/>
        </w:rPr>
      </w:pPr>
      <w:r w:rsidRPr="00EE03DB">
        <w:rPr>
          <w:rFonts w:cstheme="minorHAnsi"/>
        </w:rPr>
        <w:t xml:space="preserve">Electric Vehicle charging infrastructure </w:t>
      </w:r>
      <w:r w:rsidRPr="00EE03DB">
        <w:rPr>
          <w:rFonts w:cstheme="minorHAnsi"/>
          <w:u w:val="single"/>
        </w:rPr>
        <w:t>calculated as follows:</w:t>
      </w:r>
    </w:p>
    <w:p w14:paraId="767509F4" w14:textId="77777777" w:rsidR="00805841" w:rsidRPr="00EE03DB" w:rsidRDefault="00805841" w:rsidP="00EE03DB">
      <w:pPr>
        <w:pStyle w:val="ListParagraph"/>
        <w:spacing w:after="0" w:line="276" w:lineRule="auto"/>
        <w:ind w:left="360"/>
        <w:rPr>
          <w:rFonts w:eastAsia="Times New Roman" w:cstheme="minorHAnsi"/>
        </w:rPr>
      </w:pPr>
    </w:p>
    <w:p w14:paraId="2F136956" w14:textId="462546F0" w:rsidR="000C4F47" w:rsidRPr="00EE03DB" w:rsidRDefault="00805841" w:rsidP="00EE03DB">
      <w:pPr>
        <w:pStyle w:val="ListParagraph"/>
        <w:spacing w:after="0" w:line="276" w:lineRule="auto"/>
        <w:ind w:left="360"/>
        <w:rPr>
          <w:rFonts w:eastAsia="Times New Roman" w:cstheme="minorHAnsi"/>
          <w:u w:val="single"/>
        </w:rPr>
      </w:pPr>
      <w:r w:rsidRPr="00EE03DB">
        <w:rPr>
          <w:rFonts w:eastAsia="Times New Roman" w:cstheme="minorHAnsi"/>
          <w:u w:val="single"/>
        </w:rPr>
        <w:t>(</w:t>
      </w:r>
      <w:proofErr w:type="spellStart"/>
      <w:r w:rsidRPr="00EE03DB">
        <w:rPr>
          <w:rFonts w:eastAsia="Times New Roman" w:cstheme="minorHAnsi"/>
          <w:u w:val="single"/>
        </w:rPr>
        <w:t>Kwhs</w:t>
      </w:r>
      <w:proofErr w:type="spellEnd"/>
      <w:r w:rsidRPr="00EE03DB">
        <w:rPr>
          <w:rFonts w:eastAsia="Times New Roman" w:cstheme="minorHAnsi"/>
          <w:u w:val="single"/>
        </w:rPr>
        <w:t xml:space="preserve"> sold) x (kWh/mi avg across the BEV fleet) x (20# of CO</w:t>
      </w:r>
      <w:r w:rsidRPr="00EE03DB">
        <w:rPr>
          <w:rFonts w:eastAsia="Times New Roman" w:cstheme="minorHAnsi"/>
          <w:u w:val="single"/>
          <w:vertAlign w:val="subscript"/>
        </w:rPr>
        <w:t>2</w:t>
      </w:r>
      <w:r w:rsidRPr="00EE03DB">
        <w:rPr>
          <w:rFonts w:eastAsia="Times New Roman" w:cstheme="minorHAnsi"/>
          <w:u w:val="single"/>
        </w:rPr>
        <w:t xml:space="preserve"> avoided/mile) –</w:t>
      </w:r>
      <w:r w:rsidRPr="00EE03DB">
        <w:rPr>
          <w:rFonts w:eastAsia="Times New Roman" w:cstheme="minorHAnsi"/>
          <w:u w:val="single"/>
        </w:rPr>
        <w:t xml:space="preserve"> </w:t>
      </w:r>
      <w:r w:rsidRPr="00EE03DB">
        <w:rPr>
          <w:rFonts w:eastAsia="Times New Roman" w:cstheme="minorHAnsi"/>
          <w:u w:val="single"/>
        </w:rPr>
        <w:t>(utility’s #CO</w:t>
      </w:r>
      <w:r w:rsidRPr="00EE03DB">
        <w:rPr>
          <w:rFonts w:eastAsia="Times New Roman" w:cstheme="minorHAnsi"/>
          <w:u w:val="single"/>
          <w:vertAlign w:val="subscript"/>
        </w:rPr>
        <w:t>2</w:t>
      </w:r>
      <w:r w:rsidRPr="00EE03DB">
        <w:rPr>
          <w:rFonts w:eastAsia="Times New Roman" w:cstheme="minorHAnsi"/>
          <w:u w:val="single"/>
        </w:rPr>
        <w:t xml:space="preserve">/kWh from fuel mix disclosure x </w:t>
      </w:r>
      <w:proofErr w:type="spellStart"/>
      <w:r w:rsidRPr="00EE03DB">
        <w:rPr>
          <w:rFonts w:eastAsia="Times New Roman" w:cstheme="minorHAnsi"/>
          <w:u w:val="single"/>
        </w:rPr>
        <w:t>Kwhs</w:t>
      </w:r>
      <w:proofErr w:type="spellEnd"/>
      <w:r w:rsidRPr="00EE03DB">
        <w:rPr>
          <w:rFonts w:eastAsia="Times New Roman" w:cstheme="minorHAnsi"/>
          <w:u w:val="single"/>
        </w:rPr>
        <w:t xml:space="preserve"> sold). </w:t>
      </w:r>
    </w:p>
    <w:p w14:paraId="7A942605" w14:textId="2FB14B34" w:rsidR="000C4F47" w:rsidRPr="00EE03DB" w:rsidRDefault="000C4F47" w:rsidP="00EE03DB">
      <w:pPr>
        <w:pStyle w:val="ListParagraph"/>
        <w:spacing w:line="276" w:lineRule="auto"/>
        <w:ind w:left="360"/>
        <w:rPr>
          <w:rFonts w:cstheme="minorHAnsi"/>
        </w:rPr>
      </w:pPr>
    </w:p>
    <w:p w14:paraId="3F9EE60E" w14:textId="7F322342" w:rsidR="000C4F47" w:rsidRPr="00EE03DB" w:rsidRDefault="000C4F47" w:rsidP="00EE03DB">
      <w:pPr>
        <w:pStyle w:val="ListParagraph"/>
        <w:numPr>
          <w:ilvl w:val="0"/>
          <w:numId w:val="4"/>
        </w:numPr>
        <w:spacing w:line="276" w:lineRule="auto"/>
        <w:rPr>
          <w:rFonts w:cstheme="minorHAnsi"/>
        </w:rPr>
      </w:pPr>
      <w:r w:rsidRPr="00EE03DB">
        <w:rPr>
          <w:rFonts w:cstheme="minorHAnsi"/>
        </w:rPr>
        <w:t>Renewable hydrogen fueling</w:t>
      </w:r>
      <w:r w:rsidRPr="00EE03DB">
        <w:rPr>
          <w:rFonts w:cstheme="minorHAnsi"/>
          <w:u w:val="single"/>
        </w:rPr>
        <w:t xml:space="preserve">, distribution, and production </w:t>
      </w:r>
      <w:r w:rsidRPr="00EE03DB">
        <w:rPr>
          <w:rFonts w:cstheme="minorHAnsi"/>
        </w:rPr>
        <w:t>infrastructure</w:t>
      </w:r>
      <w:r w:rsidRPr="00EE03DB">
        <w:rPr>
          <w:rStyle w:val="FootnoteReference"/>
          <w:rFonts w:cstheme="minorHAnsi"/>
        </w:rPr>
        <w:footnoteReference w:id="14"/>
      </w:r>
    </w:p>
    <w:p w14:paraId="417FA31F" w14:textId="58A1B7BF" w:rsidR="000C4F47" w:rsidRPr="00EE03DB" w:rsidRDefault="000C4F47" w:rsidP="00EE03DB">
      <w:pPr>
        <w:pStyle w:val="ListParagraph"/>
        <w:spacing w:line="276" w:lineRule="auto"/>
        <w:ind w:left="360"/>
        <w:rPr>
          <w:rFonts w:cstheme="minorHAnsi"/>
        </w:rPr>
      </w:pPr>
    </w:p>
    <w:p w14:paraId="29B0D2E2" w14:textId="77777777" w:rsidR="000C4F47" w:rsidRPr="00EE03DB" w:rsidRDefault="000C4F47" w:rsidP="00EE03DB">
      <w:pPr>
        <w:spacing w:after="0" w:line="276" w:lineRule="auto"/>
        <w:ind w:left="360"/>
        <w:rPr>
          <w:rFonts w:eastAsia="Times New Roman" w:cstheme="minorHAnsi"/>
          <w:u w:val="single"/>
        </w:rPr>
      </w:pPr>
      <w:r w:rsidRPr="00EE03DB">
        <w:rPr>
          <w:rFonts w:eastAsia="Times New Roman" w:cstheme="minorHAnsi"/>
          <w:u w:val="single"/>
        </w:rPr>
        <w:t xml:space="preserve">For sales as transportation fuel: </w:t>
      </w:r>
    </w:p>
    <w:p w14:paraId="7F96FE91" w14:textId="77777777" w:rsidR="000C4F47" w:rsidRPr="00EE03DB" w:rsidRDefault="000C4F47" w:rsidP="00EE03DB">
      <w:pPr>
        <w:spacing w:after="0" w:line="276" w:lineRule="auto"/>
        <w:ind w:left="360"/>
        <w:rPr>
          <w:rFonts w:eastAsia="Times New Roman" w:cstheme="minorHAnsi"/>
          <w:u w:val="single"/>
        </w:rPr>
      </w:pPr>
    </w:p>
    <w:p w14:paraId="62E8E3C7" w14:textId="77777777" w:rsidR="00805841" w:rsidRPr="00EE03DB" w:rsidRDefault="00805841" w:rsidP="00EE03DB">
      <w:pPr>
        <w:spacing w:after="0" w:line="276" w:lineRule="auto"/>
        <w:ind w:left="360"/>
        <w:rPr>
          <w:rFonts w:eastAsia="Times New Roman" w:cstheme="minorHAnsi"/>
          <w:u w:val="single"/>
        </w:rPr>
      </w:pPr>
      <w:r w:rsidRPr="00EE03DB">
        <w:rPr>
          <w:rFonts w:eastAsia="Times New Roman" w:cstheme="minorHAnsi"/>
          <w:u w:val="single"/>
        </w:rPr>
        <w:t>([annual $ invested]/[annual amortized capital cost + annual operating cost]) x (</w:t>
      </w:r>
      <w:proofErr w:type="spellStart"/>
      <w:r w:rsidRPr="00EE03DB">
        <w:rPr>
          <w:rFonts w:eastAsia="Times New Roman" w:cstheme="minorHAnsi"/>
          <w:u w:val="single"/>
        </w:rPr>
        <w:t>est</w:t>
      </w:r>
      <w:proofErr w:type="spellEnd"/>
      <w:r w:rsidRPr="00EE03DB">
        <w:rPr>
          <w:rFonts w:eastAsia="Times New Roman" w:cstheme="minorHAnsi"/>
          <w:u w:val="single"/>
        </w:rPr>
        <w:t xml:space="preserve"> kilograms RH produced or distributed/</w:t>
      </w:r>
      <w:proofErr w:type="spellStart"/>
      <w:r w:rsidRPr="00EE03DB">
        <w:rPr>
          <w:rFonts w:eastAsia="Times New Roman" w:cstheme="minorHAnsi"/>
          <w:u w:val="single"/>
        </w:rPr>
        <w:t>yr</w:t>
      </w:r>
      <w:proofErr w:type="spellEnd"/>
      <w:r w:rsidRPr="00EE03DB">
        <w:rPr>
          <w:rFonts w:eastAsia="Times New Roman" w:cstheme="minorHAnsi"/>
          <w:u w:val="single"/>
        </w:rPr>
        <w:t xml:space="preserve">) x  (avg m/kg of avg vehicle type) x (20 </w:t>
      </w:r>
      <w:proofErr w:type="spellStart"/>
      <w:r w:rsidRPr="00EE03DB">
        <w:rPr>
          <w:rFonts w:eastAsia="Times New Roman" w:cstheme="minorHAnsi"/>
          <w:u w:val="single"/>
        </w:rPr>
        <w:t>lbs</w:t>
      </w:r>
      <w:proofErr w:type="spellEnd"/>
      <w:r w:rsidRPr="00EE03DB">
        <w:rPr>
          <w:rFonts w:eastAsia="Times New Roman" w:cstheme="minorHAnsi"/>
          <w:u w:val="single"/>
        </w:rPr>
        <w:t xml:space="preserve"> of CO2 avoided/mile)/2000 #s/ton = tons of CO</w:t>
      </w:r>
      <w:r w:rsidRPr="00EE03DB">
        <w:rPr>
          <w:rFonts w:eastAsia="Times New Roman" w:cstheme="minorHAnsi"/>
          <w:u w:val="single"/>
          <w:vertAlign w:val="subscript"/>
        </w:rPr>
        <w:t>2</w:t>
      </w:r>
      <w:r w:rsidRPr="00EE03DB">
        <w:rPr>
          <w:rFonts w:eastAsia="Times New Roman" w:cstheme="minorHAnsi"/>
          <w:u w:val="single"/>
        </w:rPr>
        <w:t xml:space="preserve"> then divide by # tons of CO2/MWh from utility’s fuel mix disclosure to arrive at MWhs of CO</w:t>
      </w:r>
      <w:r w:rsidRPr="00EE03DB">
        <w:rPr>
          <w:rFonts w:eastAsia="Times New Roman" w:cstheme="minorHAnsi"/>
          <w:u w:val="single"/>
          <w:vertAlign w:val="subscript"/>
        </w:rPr>
        <w:t>2</w:t>
      </w:r>
      <w:r w:rsidRPr="00EE03DB">
        <w:rPr>
          <w:rFonts w:eastAsia="Times New Roman" w:cstheme="minorHAnsi"/>
          <w:u w:val="single"/>
        </w:rPr>
        <w:t xml:space="preserve"> free electricity.</w:t>
      </w:r>
    </w:p>
    <w:p w14:paraId="45426317" w14:textId="1782BBAF" w:rsidR="000C4F47" w:rsidRPr="00EE03DB" w:rsidRDefault="000C4F47" w:rsidP="00EE03DB">
      <w:pPr>
        <w:spacing w:after="120" w:line="276" w:lineRule="auto"/>
        <w:rPr>
          <w:rFonts w:eastAsia="Times New Roman" w:cstheme="minorHAnsi"/>
          <w:u w:val="single"/>
        </w:rPr>
      </w:pPr>
    </w:p>
    <w:p w14:paraId="1EE0540E" w14:textId="77777777" w:rsidR="000C4F47" w:rsidRPr="00EE03DB" w:rsidRDefault="000C4F47" w:rsidP="00EE03DB">
      <w:pPr>
        <w:spacing w:after="120" w:line="276" w:lineRule="auto"/>
        <w:ind w:left="360"/>
        <w:rPr>
          <w:rFonts w:eastAsia="Times New Roman" w:cstheme="minorHAnsi"/>
          <w:u w:val="single"/>
        </w:rPr>
      </w:pPr>
      <w:r w:rsidRPr="00EE03DB">
        <w:rPr>
          <w:rFonts w:eastAsia="Times New Roman" w:cstheme="minorHAnsi"/>
          <w:u w:val="single"/>
        </w:rPr>
        <w:t xml:space="preserve">For all other hydrogen end uses: </w:t>
      </w:r>
    </w:p>
    <w:p w14:paraId="01B9B1B1" w14:textId="4A63C30B" w:rsidR="00805841" w:rsidRPr="00EE03DB" w:rsidRDefault="00805841" w:rsidP="00EE03DB">
      <w:pPr>
        <w:spacing w:after="0" w:line="276" w:lineRule="auto"/>
        <w:ind w:left="360"/>
        <w:rPr>
          <w:rFonts w:eastAsia="Times New Roman" w:cstheme="minorHAnsi"/>
          <w:u w:val="single"/>
        </w:rPr>
      </w:pPr>
      <w:r w:rsidRPr="00EE03DB">
        <w:rPr>
          <w:rFonts w:eastAsia="Times New Roman" w:cstheme="minorHAnsi"/>
          <w:u w:val="single"/>
        </w:rPr>
        <w:t xml:space="preserve">([annual </w:t>
      </w:r>
      <w:r w:rsidR="00454654" w:rsidRPr="00EE03DB">
        <w:rPr>
          <w:rFonts w:eastAsia="Times New Roman" w:cstheme="minorHAnsi"/>
          <w:u w:val="single"/>
        </w:rPr>
        <w:t xml:space="preserve">ETP </w:t>
      </w:r>
      <w:r w:rsidRPr="00EE03DB">
        <w:rPr>
          <w:rFonts w:eastAsia="Times New Roman" w:cstheme="minorHAnsi"/>
          <w:u w:val="single"/>
        </w:rPr>
        <w:t>$ invested]/[annual amortized capital cost + operating cost]) x (</w:t>
      </w:r>
      <w:proofErr w:type="spellStart"/>
      <w:r w:rsidRPr="00EE03DB">
        <w:rPr>
          <w:rFonts w:eastAsia="Times New Roman" w:cstheme="minorHAnsi"/>
          <w:u w:val="single"/>
        </w:rPr>
        <w:t>est</w:t>
      </w:r>
      <w:proofErr w:type="spellEnd"/>
      <w:r w:rsidRPr="00EE03DB">
        <w:rPr>
          <w:rFonts w:eastAsia="Times New Roman" w:cstheme="minorHAnsi"/>
          <w:u w:val="single"/>
        </w:rPr>
        <w:t xml:space="preserve"> kilos produced or distributed/</w:t>
      </w:r>
      <w:proofErr w:type="spellStart"/>
      <w:r w:rsidRPr="00EE03DB">
        <w:rPr>
          <w:rFonts w:eastAsia="Times New Roman" w:cstheme="minorHAnsi"/>
          <w:u w:val="single"/>
        </w:rPr>
        <w:t>yr</w:t>
      </w:r>
      <w:proofErr w:type="spellEnd"/>
      <w:r w:rsidRPr="00EE03DB">
        <w:rPr>
          <w:rFonts w:eastAsia="Times New Roman" w:cstheme="minorHAnsi"/>
          <w:u w:val="single"/>
        </w:rPr>
        <w:t>)x CO</w:t>
      </w:r>
      <w:r w:rsidRPr="00EE03DB">
        <w:rPr>
          <w:rFonts w:eastAsia="Times New Roman" w:cstheme="minorHAnsi"/>
          <w:u w:val="single"/>
          <w:vertAlign w:val="subscript"/>
        </w:rPr>
        <w:t>2</w:t>
      </w:r>
      <w:r w:rsidRPr="00EE03DB">
        <w:rPr>
          <w:rFonts w:eastAsia="Times New Roman" w:cstheme="minorHAnsi"/>
          <w:u w:val="single"/>
        </w:rPr>
        <w:t>e of methane displaced</w:t>
      </w:r>
      <w:r w:rsidRPr="00EE03DB">
        <w:rPr>
          <w:rStyle w:val="FootnoteReference"/>
          <w:rFonts w:eastAsia="Times New Roman" w:cstheme="minorHAnsi"/>
          <w:u w:val="single"/>
        </w:rPr>
        <w:footnoteReference w:id="15"/>
      </w:r>
      <w:r w:rsidRPr="00EE03DB">
        <w:rPr>
          <w:rFonts w:eastAsia="Times New Roman" w:cstheme="minorHAnsi"/>
          <w:u w:val="single"/>
        </w:rPr>
        <w:t xml:space="preserve"> = tons of CO</w:t>
      </w:r>
      <w:r w:rsidRPr="00EE03DB">
        <w:rPr>
          <w:rFonts w:eastAsia="Times New Roman" w:cstheme="minorHAnsi"/>
          <w:u w:val="single"/>
          <w:vertAlign w:val="subscript"/>
        </w:rPr>
        <w:t>2</w:t>
      </w:r>
      <w:r w:rsidRPr="00EE03DB">
        <w:rPr>
          <w:rFonts w:eastAsia="Times New Roman" w:cstheme="minorHAnsi"/>
          <w:u w:val="single"/>
        </w:rPr>
        <w:t xml:space="preserve"> displaced then divide by # tons of CO2/MWh from utility’s fuel mix disclosure to arrive at MWhs of CO</w:t>
      </w:r>
      <w:r w:rsidRPr="00EE03DB">
        <w:rPr>
          <w:rFonts w:eastAsia="Times New Roman" w:cstheme="minorHAnsi"/>
          <w:u w:val="single"/>
          <w:vertAlign w:val="subscript"/>
        </w:rPr>
        <w:t>2</w:t>
      </w:r>
      <w:r w:rsidRPr="00EE03DB">
        <w:rPr>
          <w:rFonts w:eastAsia="Times New Roman" w:cstheme="minorHAnsi"/>
          <w:u w:val="single"/>
        </w:rPr>
        <w:t xml:space="preserve"> free electricity.</w:t>
      </w:r>
    </w:p>
    <w:p w14:paraId="4219C219" w14:textId="713800F0" w:rsidR="00E33940" w:rsidRPr="00EE03DB" w:rsidRDefault="00E33940" w:rsidP="00EE03DB">
      <w:pPr>
        <w:spacing w:after="120" w:line="276" w:lineRule="auto"/>
        <w:ind w:left="1440"/>
        <w:rPr>
          <w:rFonts w:eastAsia="Times New Roman" w:cstheme="minorHAnsi"/>
          <w:u w:val="single"/>
        </w:rPr>
      </w:pPr>
    </w:p>
    <w:p w14:paraId="0C88D873" w14:textId="1A651326" w:rsidR="00E33940" w:rsidRPr="00EE03DB" w:rsidRDefault="00E33940" w:rsidP="00EE03DB">
      <w:pPr>
        <w:pStyle w:val="ListParagraph"/>
        <w:numPr>
          <w:ilvl w:val="0"/>
          <w:numId w:val="4"/>
        </w:numPr>
        <w:spacing w:after="120" w:line="276" w:lineRule="auto"/>
        <w:rPr>
          <w:rFonts w:eastAsia="Times New Roman" w:cstheme="minorHAnsi"/>
          <w:strike/>
        </w:rPr>
      </w:pPr>
      <w:r w:rsidRPr="00EE03DB">
        <w:rPr>
          <w:rFonts w:eastAsia="Times New Roman" w:cstheme="minorHAnsi"/>
          <w:strike/>
        </w:rPr>
        <w:t>Renewable hydrogen distribution infrastructure</w:t>
      </w:r>
    </w:p>
    <w:p w14:paraId="329C671B" w14:textId="02D84526" w:rsidR="00E33940" w:rsidRPr="00EE03DB" w:rsidRDefault="00E33940" w:rsidP="00EE03DB">
      <w:pPr>
        <w:pStyle w:val="ListParagraph"/>
        <w:numPr>
          <w:ilvl w:val="0"/>
          <w:numId w:val="4"/>
        </w:numPr>
        <w:spacing w:after="120" w:line="276" w:lineRule="auto"/>
        <w:rPr>
          <w:rFonts w:eastAsia="Times New Roman" w:cstheme="minorHAnsi"/>
          <w:strike/>
          <w:u w:val="single"/>
        </w:rPr>
      </w:pPr>
      <w:r w:rsidRPr="00EE03DB">
        <w:rPr>
          <w:rFonts w:eastAsia="Times New Roman" w:cstheme="minorHAnsi"/>
          <w:strike/>
          <w:u w:val="single"/>
        </w:rPr>
        <w:t>Renewable hydrogen production infrastructure</w:t>
      </w:r>
    </w:p>
    <w:p w14:paraId="4F131245" w14:textId="50805516" w:rsidR="000C4F47" w:rsidRPr="00EE03DB" w:rsidRDefault="00805841" w:rsidP="00EE03DB">
      <w:pPr>
        <w:pStyle w:val="ListParagraph"/>
        <w:spacing w:line="276" w:lineRule="auto"/>
        <w:ind w:left="0"/>
        <w:rPr>
          <w:rFonts w:cstheme="minorHAnsi"/>
          <w:u w:val="single"/>
        </w:rPr>
      </w:pPr>
      <w:r w:rsidRPr="00EE03DB">
        <w:rPr>
          <w:rFonts w:cstheme="minorHAnsi"/>
          <w:u w:val="single"/>
        </w:rPr>
        <w:t>(</w:t>
      </w:r>
      <w:r w:rsidR="00AF7AB2" w:rsidRPr="00EE03DB">
        <w:rPr>
          <w:rFonts w:cstheme="minorHAnsi"/>
          <w:u w:val="single"/>
        </w:rPr>
        <w:t>c</w:t>
      </w:r>
      <w:r w:rsidRPr="00EE03DB">
        <w:rPr>
          <w:rFonts w:cstheme="minorHAnsi"/>
          <w:u w:val="single"/>
        </w:rPr>
        <w:t xml:space="preserve">) Renewable </w:t>
      </w:r>
      <w:r w:rsidR="00EE03DB" w:rsidRPr="00EE03DB">
        <w:rPr>
          <w:rFonts w:cstheme="minorHAnsi"/>
          <w:u w:val="single"/>
        </w:rPr>
        <w:t>n</w:t>
      </w:r>
      <w:r w:rsidRPr="00EE03DB">
        <w:rPr>
          <w:rFonts w:cstheme="minorHAnsi"/>
          <w:u w:val="single"/>
        </w:rPr>
        <w:t xml:space="preserve">atural </w:t>
      </w:r>
      <w:r w:rsidR="00EE03DB" w:rsidRPr="00EE03DB">
        <w:rPr>
          <w:rFonts w:cstheme="minorHAnsi"/>
          <w:u w:val="single"/>
        </w:rPr>
        <w:t>g</w:t>
      </w:r>
      <w:r w:rsidRPr="00EE03DB">
        <w:rPr>
          <w:rFonts w:cstheme="minorHAnsi"/>
          <w:u w:val="single"/>
        </w:rPr>
        <w:t>as production and distribution infrastructure</w:t>
      </w:r>
    </w:p>
    <w:p w14:paraId="36D0468C" w14:textId="77777777" w:rsidR="00370F00" w:rsidRPr="00EE03DB" w:rsidRDefault="00370F00" w:rsidP="00EE03DB">
      <w:pPr>
        <w:pStyle w:val="ListParagraph"/>
        <w:spacing w:line="276" w:lineRule="auto"/>
        <w:ind w:left="0"/>
        <w:rPr>
          <w:rFonts w:cstheme="minorHAnsi"/>
          <w:b/>
          <w:bCs/>
        </w:rPr>
      </w:pPr>
    </w:p>
    <w:p w14:paraId="3A2D90EE" w14:textId="77777777" w:rsidR="00AF7AB2" w:rsidRPr="00EE03DB" w:rsidRDefault="00AF7AB2" w:rsidP="00EE03DB">
      <w:pPr>
        <w:pStyle w:val="ListParagraph"/>
        <w:spacing w:line="276" w:lineRule="auto"/>
        <w:ind w:left="0"/>
        <w:rPr>
          <w:rFonts w:cstheme="minorHAnsi"/>
          <w:b/>
          <w:bCs/>
        </w:rPr>
      </w:pPr>
    </w:p>
    <w:p w14:paraId="21B14D9B" w14:textId="35F60514" w:rsidR="00E41FD7" w:rsidRPr="00EE03DB" w:rsidRDefault="007B553A" w:rsidP="00EE03DB">
      <w:pPr>
        <w:pStyle w:val="ListParagraph"/>
        <w:spacing w:line="276" w:lineRule="auto"/>
        <w:ind w:left="0"/>
        <w:rPr>
          <w:rFonts w:cstheme="minorHAnsi"/>
          <w:b/>
          <w:bCs/>
        </w:rPr>
      </w:pPr>
      <w:r w:rsidRPr="00EE03DB">
        <w:rPr>
          <w:rFonts w:cstheme="minorHAnsi"/>
          <w:b/>
          <w:bCs/>
        </w:rPr>
        <w:t>173-</w:t>
      </w:r>
      <w:r w:rsidR="00F62593" w:rsidRPr="00EE03DB">
        <w:rPr>
          <w:rFonts w:cstheme="minorHAnsi"/>
          <w:b/>
          <w:bCs/>
        </w:rPr>
        <w:t xml:space="preserve">444- </w:t>
      </w:r>
      <w:r w:rsidRPr="00EE03DB">
        <w:rPr>
          <w:rFonts w:cstheme="minorHAnsi"/>
          <w:b/>
          <w:bCs/>
        </w:rPr>
        <w:t>070</w:t>
      </w:r>
      <w:r w:rsidR="00F62593" w:rsidRPr="00EE03DB">
        <w:rPr>
          <w:rFonts w:cstheme="minorHAnsi"/>
          <w:b/>
          <w:bCs/>
        </w:rPr>
        <w:t xml:space="preserve"> </w:t>
      </w:r>
      <w:r w:rsidR="00463DC5" w:rsidRPr="00EE03DB">
        <w:rPr>
          <w:rFonts w:cstheme="minorHAnsi"/>
          <w:b/>
          <w:bCs/>
        </w:rPr>
        <w:t>- Criteria for Energy Transformation Projects</w:t>
      </w:r>
    </w:p>
    <w:p w14:paraId="1EA762D1" w14:textId="799EC32A" w:rsidR="00E41FD7" w:rsidRPr="00EE03DB" w:rsidRDefault="00E41FD7" w:rsidP="00EE03DB">
      <w:pPr>
        <w:pStyle w:val="ListParagraph"/>
        <w:spacing w:line="276" w:lineRule="auto"/>
        <w:ind w:left="0"/>
        <w:rPr>
          <w:rFonts w:cstheme="minorHAnsi"/>
        </w:rPr>
      </w:pPr>
    </w:p>
    <w:p w14:paraId="5AB215A5" w14:textId="0E76AD90" w:rsidR="00E41FD7" w:rsidRPr="00EE03DB" w:rsidRDefault="00E41FD7" w:rsidP="00EE03DB">
      <w:pPr>
        <w:pStyle w:val="ListParagraph"/>
        <w:spacing w:line="276" w:lineRule="auto"/>
        <w:ind w:left="0"/>
        <w:rPr>
          <w:rFonts w:cstheme="minorHAnsi"/>
        </w:rPr>
      </w:pPr>
      <w:r w:rsidRPr="00EE03DB">
        <w:rPr>
          <w:rFonts w:cstheme="minorHAnsi"/>
        </w:rPr>
        <w:t xml:space="preserve">This section could be used as a template </w:t>
      </w:r>
      <w:r w:rsidR="001C6D19" w:rsidRPr="00EE03DB">
        <w:rPr>
          <w:rFonts w:cstheme="minorHAnsi"/>
        </w:rPr>
        <w:t>(We’ll call WPUDA’s suggested group equivalent to the Power Council’s RTF the “</w:t>
      </w:r>
      <w:r w:rsidR="00700B55" w:rsidRPr="00EE03DB">
        <w:rPr>
          <w:rFonts w:cstheme="minorHAnsi"/>
        </w:rPr>
        <w:t>Energy Transformation Project</w:t>
      </w:r>
      <w:r w:rsidR="001C6D19" w:rsidRPr="00EE03DB">
        <w:rPr>
          <w:rFonts w:cstheme="minorHAnsi"/>
        </w:rPr>
        <w:t xml:space="preserve"> Forum” [</w:t>
      </w:r>
      <w:r w:rsidR="00700B55" w:rsidRPr="00EE03DB">
        <w:rPr>
          <w:rFonts w:cstheme="minorHAnsi"/>
        </w:rPr>
        <w:t>ETP</w:t>
      </w:r>
      <w:r w:rsidR="00700B55" w:rsidRPr="00EE03DB">
        <w:rPr>
          <w:rFonts w:cstheme="minorHAnsi"/>
        </w:rPr>
        <w:t>F</w:t>
      </w:r>
      <w:r w:rsidR="001C6D19" w:rsidRPr="00EE03DB">
        <w:rPr>
          <w:rFonts w:cstheme="minorHAnsi"/>
        </w:rPr>
        <w:t xml:space="preserve">] for want of a better name at this time) </w:t>
      </w:r>
      <w:r w:rsidR="00370F00" w:rsidRPr="00EE03DB">
        <w:rPr>
          <w:rFonts w:cstheme="minorHAnsi"/>
        </w:rPr>
        <w:t>for the ETP</w:t>
      </w:r>
      <w:r w:rsidR="00370F00" w:rsidRPr="00EE03DB">
        <w:rPr>
          <w:rFonts w:cstheme="minorHAnsi"/>
        </w:rPr>
        <w:t>F</w:t>
      </w:r>
      <w:r w:rsidR="00370F00" w:rsidRPr="00EE03DB">
        <w:rPr>
          <w:rFonts w:cstheme="minorHAnsi"/>
        </w:rPr>
        <w:t xml:space="preserve"> </w:t>
      </w:r>
      <w:r w:rsidR="001C6D19" w:rsidRPr="00EE03DB">
        <w:rPr>
          <w:rFonts w:cstheme="minorHAnsi"/>
        </w:rPr>
        <w:t xml:space="preserve">to review the legislatively listed ETPs as they develop the conversion factors and deemed reductions where appropriate, though we think streamlining </w:t>
      </w:r>
      <w:r w:rsidR="00370F00" w:rsidRPr="00EE03DB">
        <w:rPr>
          <w:rFonts w:cstheme="minorHAnsi"/>
        </w:rPr>
        <w:t xml:space="preserve">many of </w:t>
      </w:r>
      <w:r w:rsidR="001C6D19" w:rsidRPr="00EE03DB">
        <w:rPr>
          <w:rFonts w:cstheme="minorHAnsi"/>
        </w:rPr>
        <w:t xml:space="preserve"> the legislatively listed projects could be accomplished </w:t>
      </w:r>
      <w:r w:rsidR="00370F00" w:rsidRPr="00EE03DB">
        <w:rPr>
          <w:rFonts w:cstheme="minorHAnsi"/>
        </w:rPr>
        <w:t xml:space="preserve">in these rules as we have proposed </w:t>
      </w:r>
      <w:r w:rsidR="001C6D19" w:rsidRPr="00EE03DB">
        <w:rPr>
          <w:rFonts w:cstheme="minorHAnsi"/>
        </w:rPr>
        <w:t xml:space="preserve">without diminishing the accuracy or </w:t>
      </w:r>
      <w:r w:rsidR="001C6D19" w:rsidRPr="00EE03DB">
        <w:rPr>
          <w:rFonts w:cstheme="minorHAnsi"/>
        </w:rPr>
        <w:lastRenderedPageBreak/>
        <w:t xml:space="preserve">reliability of the reductions. For instance, we know, or can agree on a default value, quite precisely how many </w:t>
      </w:r>
      <w:proofErr w:type="spellStart"/>
      <w:r w:rsidR="001C6D19" w:rsidRPr="00EE03DB">
        <w:rPr>
          <w:rFonts w:cstheme="minorHAnsi"/>
        </w:rPr>
        <w:t>kWhs</w:t>
      </w:r>
      <w:proofErr w:type="spellEnd"/>
      <w:r w:rsidR="001C6D19" w:rsidRPr="00EE03DB">
        <w:rPr>
          <w:rFonts w:cstheme="minorHAnsi"/>
        </w:rPr>
        <w:t xml:space="preserve"> an EV charging station is capable of, and </w:t>
      </w:r>
      <w:proofErr w:type="gramStart"/>
      <w:r w:rsidR="001C6D19" w:rsidRPr="00EE03DB">
        <w:rPr>
          <w:rFonts w:cstheme="minorHAnsi"/>
        </w:rPr>
        <w:t>actually does</w:t>
      </w:r>
      <w:proofErr w:type="gramEnd"/>
      <w:r w:rsidR="001C6D19" w:rsidRPr="00EE03DB">
        <w:rPr>
          <w:rFonts w:cstheme="minorHAnsi"/>
        </w:rPr>
        <w:t xml:space="preserve"> sell. Under </w:t>
      </w:r>
      <w:r w:rsidR="00913718" w:rsidRPr="00EE03DB">
        <w:rPr>
          <w:rFonts w:cstheme="minorHAnsi"/>
        </w:rPr>
        <w:t>these criteria</w:t>
      </w:r>
      <w:r w:rsidR="00C82A19" w:rsidRPr="00EE03DB">
        <w:rPr>
          <w:rFonts w:cstheme="minorHAnsi"/>
        </w:rPr>
        <w:t>,</w:t>
      </w:r>
      <w:r w:rsidR="001C6D19" w:rsidRPr="00EE03DB">
        <w:rPr>
          <w:rFonts w:cstheme="minorHAnsi"/>
        </w:rPr>
        <w:t xml:space="preserve"> each utility would have to go through this entire exercise for each charging station, </w:t>
      </w:r>
      <w:r w:rsidR="00913718" w:rsidRPr="00EE03DB">
        <w:rPr>
          <w:rFonts w:cstheme="minorHAnsi"/>
        </w:rPr>
        <w:t xml:space="preserve">or </w:t>
      </w:r>
      <w:r w:rsidR="001C6D19" w:rsidRPr="00EE03DB">
        <w:rPr>
          <w:rFonts w:cstheme="minorHAnsi"/>
        </w:rPr>
        <w:t>each set of charging stations. Equally, we know how many kilo</w:t>
      </w:r>
      <w:r w:rsidR="00700B55" w:rsidRPr="00EE03DB">
        <w:rPr>
          <w:rFonts w:cstheme="minorHAnsi"/>
        </w:rPr>
        <w:t>gram</w:t>
      </w:r>
      <w:r w:rsidR="001C6D19" w:rsidRPr="00EE03DB">
        <w:rPr>
          <w:rFonts w:cstheme="minorHAnsi"/>
        </w:rPr>
        <w:t xml:space="preserve">s of renewable hydrogen an electrolyzer </w:t>
      </w:r>
      <w:proofErr w:type="gramStart"/>
      <w:r w:rsidR="001C6D19" w:rsidRPr="00EE03DB">
        <w:rPr>
          <w:rFonts w:cstheme="minorHAnsi"/>
        </w:rPr>
        <w:t>is capable of</w:t>
      </w:r>
      <w:r w:rsidR="00700B55" w:rsidRPr="00EE03DB">
        <w:rPr>
          <w:rFonts w:cstheme="minorHAnsi"/>
        </w:rPr>
        <w:t xml:space="preserve"> producing</w:t>
      </w:r>
      <w:proofErr w:type="gramEnd"/>
      <w:r w:rsidR="001C6D19" w:rsidRPr="00EE03DB">
        <w:rPr>
          <w:rFonts w:cstheme="minorHAnsi"/>
        </w:rPr>
        <w:t xml:space="preserve">, and ultimately </w:t>
      </w:r>
      <w:r w:rsidR="00700B55" w:rsidRPr="00EE03DB">
        <w:rPr>
          <w:rFonts w:cstheme="minorHAnsi"/>
        </w:rPr>
        <w:t xml:space="preserve">does </w:t>
      </w:r>
      <w:r w:rsidR="001C6D19" w:rsidRPr="00EE03DB">
        <w:rPr>
          <w:rFonts w:cstheme="minorHAnsi"/>
        </w:rPr>
        <w:t xml:space="preserve">produce and distribute. These are </w:t>
      </w:r>
      <w:r w:rsidR="00913718" w:rsidRPr="00EE03DB">
        <w:rPr>
          <w:rFonts w:cstheme="minorHAnsi"/>
        </w:rPr>
        <w:t xml:space="preserve">quantifiable, </w:t>
      </w:r>
      <w:r w:rsidR="001C6D19" w:rsidRPr="00EE03DB">
        <w:rPr>
          <w:rFonts w:cstheme="minorHAnsi"/>
        </w:rPr>
        <w:t>measurable</w:t>
      </w:r>
      <w:r w:rsidR="00EE03DB">
        <w:rPr>
          <w:rFonts w:cstheme="minorHAnsi"/>
        </w:rPr>
        <w:t>,</w:t>
      </w:r>
      <w:r w:rsidR="001C6D19" w:rsidRPr="00EE03DB">
        <w:rPr>
          <w:rFonts w:cstheme="minorHAnsi"/>
        </w:rPr>
        <w:t xml:space="preserve"> and trackable. Same for RNG production facilities, same for BEV and FCEV vehicle rebates. These values can be easily established for planning and documented for compliance.</w:t>
      </w:r>
      <w:r w:rsidR="00370F00" w:rsidRPr="00EE03DB">
        <w:rPr>
          <w:rFonts w:cstheme="minorHAnsi"/>
        </w:rPr>
        <w:t xml:space="preserve"> For those categories that do not have readily available or derivable conversions to MWh equivalents, the ETPF could use this section to deliberate and arrive at the conversion to MWh equivalents.</w:t>
      </w:r>
    </w:p>
    <w:p w14:paraId="505D4842" w14:textId="25A9F1CE" w:rsidR="00253381" w:rsidRPr="00EE03DB" w:rsidRDefault="00253381" w:rsidP="00EE03DB">
      <w:pPr>
        <w:pStyle w:val="ListParagraph"/>
        <w:spacing w:line="276" w:lineRule="auto"/>
        <w:ind w:left="0"/>
        <w:rPr>
          <w:rFonts w:cstheme="minorHAnsi"/>
        </w:rPr>
      </w:pPr>
    </w:p>
    <w:p w14:paraId="03AE3FE9" w14:textId="24FB3B9F" w:rsidR="00253381" w:rsidRPr="00EE03DB" w:rsidRDefault="00253381" w:rsidP="00EE03DB">
      <w:pPr>
        <w:pStyle w:val="ListParagraph"/>
        <w:spacing w:line="276" w:lineRule="auto"/>
        <w:ind w:left="0"/>
        <w:rPr>
          <w:rFonts w:cstheme="minorHAnsi"/>
        </w:rPr>
      </w:pPr>
      <w:r w:rsidRPr="00EE03DB">
        <w:rPr>
          <w:rFonts w:cstheme="minorHAnsi"/>
        </w:rPr>
        <w:t>And as previously mentioned, the equity provisions</w:t>
      </w:r>
      <w:r w:rsidR="00700B55" w:rsidRPr="00EE03DB">
        <w:rPr>
          <w:rFonts w:cstheme="minorHAnsi"/>
        </w:rPr>
        <w:t xml:space="preserve"> of this section</w:t>
      </w:r>
      <w:r w:rsidR="00700B55" w:rsidRPr="00EE03DB">
        <w:rPr>
          <w:rStyle w:val="FootnoteReference"/>
          <w:rFonts w:cstheme="minorHAnsi"/>
        </w:rPr>
        <w:footnoteReference w:id="16"/>
      </w:r>
      <w:r w:rsidRPr="00EE03DB">
        <w:rPr>
          <w:rFonts w:cstheme="minorHAnsi"/>
        </w:rPr>
        <w:t xml:space="preserve"> do not belong in Ecology’s rule on ETPs, rather in the </w:t>
      </w:r>
      <w:r w:rsidR="00700B55" w:rsidRPr="00EE03DB">
        <w:rPr>
          <w:rFonts w:cstheme="minorHAnsi"/>
        </w:rPr>
        <w:t>Approving Body’s compliance approval</w:t>
      </w:r>
      <w:r w:rsidRPr="00EE03DB">
        <w:rPr>
          <w:rFonts w:cstheme="minorHAnsi"/>
        </w:rPr>
        <w:t>, where those provisions can be applied in an equal manner to the other areas where the equity provisions are to be applied.</w:t>
      </w:r>
    </w:p>
    <w:p w14:paraId="4710D368" w14:textId="77777777" w:rsidR="00E41FD7" w:rsidRPr="00EE03DB" w:rsidRDefault="00E41FD7" w:rsidP="00EE03DB">
      <w:pPr>
        <w:pStyle w:val="ListParagraph"/>
        <w:spacing w:line="276" w:lineRule="auto"/>
        <w:ind w:left="0"/>
        <w:rPr>
          <w:rFonts w:cstheme="minorHAnsi"/>
        </w:rPr>
      </w:pPr>
    </w:p>
    <w:p w14:paraId="24E66679" w14:textId="77777777" w:rsidR="00AF7AB2" w:rsidRPr="00EE03DB" w:rsidRDefault="00AF7AB2" w:rsidP="00EE03DB">
      <w:pPr>
        <w:pStyle w:val="ListParagraph"/>
        <w:spacing w:line="276" w:lineRule="auto"/>
        <w:ind w:left="0"/>
        <w:rPr>
          <w:rFonts w:cstheme="minorHAnsi"/>
          <w:b/>
          <w:bCs/>
        </w:rPr>
      </w:pPr>
    </w:p>
    <w:p w14:paraId="27E81278" w14:textId="2D86BBFB" w:rsidR="008220B0" w:rsidRPr="00EE03DB" w:rsidRDefault="00E41FD7" w:rsidP="00EE03DB">
      <w:pPr>
        <w:pStyle w:val="ListParagraph"/>
        <w:spacing w:line="276" w:lineRule="auto"/>
        <w:ind w:left="0"/>
        <w:rPr>
          <w:rFonts w:cstheme="minorHAnsi"/>
          <w:b/>
          <w:bCs/>
        </w:rPr>
      </w:pPr>
      <w:r w:rsidRPr="00EE03DB">
        <w:rPr>
          <w:rFonts w:cstheme="minorHAnsi"/>
          <w:b/>
          <w:bCs/>
        </w:rPr>
        <w:t>173-444-</w:t>
      </w:r>
      <w:r w:rsidR="00F14195" w:rsidRPr="00EE03DB">
        <w:rPr>
          <w:rFonts w:cstheme="minorHAnsi"/>
          <w:b/>
          <w:bCs/>
        </w:rPr>
        <w:t>080</w:t>
      </w:r>
      <w:r w:rsidR="00463DC5" w:rsidRPr="00EE03DB">
        <w:rPr>
          <w:rFonts w:cstheme="minorHAnsi"/>
          <w:b/>
          <w:bCs/>
        </w:rPr>
        <w:t xml:space="preserve"> - Procedures for Energy Transformation Projects</w:t>
      </w:r>
    </w:p>
    <w:p w14:paraId="49ACE47A" w14:textId="08C5E8AD" w:rsidR="00F14195" w:rsidRPr="00EE03DB" w:rsidRDefault="00F14195" w:rsidP="00EE03DB">
      <w:pPr>
        <w:pStyle w:val="ListParagraph"/>
        <w:spacing w:line="276" w:lineRule="auto"/>
        <w:ind w:left="0"/>
        <w:rPr>
          <w:rFonts w:cstheme="minorHAnsi"/>
        </w:rPr>
      </w:pPr>
    </w:p>
    <w:p w14:paraId="3989743C" w14:textId="39570E30" w:rsidR="00913718" w:rsidRPr="00EE03DB" w:rsidRDefault="00913718" w:rsidP="00EE03DB">
      <w:pPr>
        <w:pStyle w:val="ListParagraph"/>
        <w:spacing w:line="276" w:lineRule="auto"/>
        <w:ind w:left="0"/>
        <w:rPr>
          <w:rFonts w:cstheme="minorHAnsi"/>
        </w:rPr>
      </w:pPr>
      <w:r w:rsidRPr="00EE03DB">
        <w:rPr>
          <w:rFonts w:cstheme="minorHAnsi"/>
        </w:rPr>
        <w:t>We request, for 173-444-080 that the first sentence of the section, if the section is going to be kept in the substantial form that it is in now</w:t>
      </w:r>
      <w:r w:rsidRPr="00EE03DB">
        <w:rPr>
          <w:rFonts w:cstheme="minorHAnsi"/>
        </w:rPr>
        <w:t>,</w:t>
      </w:r>
      <w:r w:rsidRPr="00EE03DB">
        <w:rPr>
          <w:rFonts w:cstheme="minorHAnsi"/>
        </w:rPr>
        <w:t xml:space="preserve"> read:</w:t>
      </w:r>
    </w:p>
    <w:p w14:paraId="693CE8E7" w14:textId="77777777" w:rsidR="00913718" w:rsidRPr="00EE03DB" w:rsidRDefault="00913718" w:rsidP="00EE03DB">
      <w:pPr>
        <w:pStyle w:val="ListParagraph"/>
        <w:spacing w:line="276" w:lineRule="auto"/>
        <w:ind w:left="0"/>
        <w:rPr>
          <w:rFonts w:cstheme="minorHAnsi"/>
        </w:rPr>
      </w:pPr>
    </w:p>
    <w:p w14:paraId="60BFCE37" w14:textId="552AFA6F" w:rsidR="00913718" w:rsidRPr="00EE03DB" w:rsidRDefault="00913718" w:rsidP="00EE03DB">
      <w:pPr>
        <w:pStyle w:val="ListParagraph"/>
        <w:spacing w:line="276" w:lineRule="auto"/>
        <w:ind w:left="0"/>
        <w:rPr>
          <w:rFonts w:cstheme="minorHAnsi"/>
          <w:u w:val="single"/>
        </w:rPr>
      </w:pPr>
      <w:r w:rsidRPr="00EE03DB">
        <w:rPr>
          <w:rFonts w:cstheme="minorHAnsi"/>
          <w:u w:val="single"/>
        </w:rPr>
        <w:t>For Energy Transformation Projects proposed by a utility for compliance with RCW 19.405.040 that are not listed in RCW 19.405.020(18) the following procedures apply:</w:t>
      </w:r>
    </w:p>
    <w:p w14:paraId="292A0186" w14:textId="77777777" w:rsidR="00913718" w:rsidRPr="00EE03DB" w:rsidRDefault="00913718" w:rsidP="00EE03DB">
      <w:pPr>
        <w:pStyle w:val="ListParagraph"/>
        <w:spacing w:line="276" w:lineRule="auto"/>
        <w:ind w:left="0"/>
        <w:rPr>
          <w:rFonts w:cstheme="minorHAnsi"/>
        </w:rPr>
      </w:pPr>
    </w:p>
    <w:p w14:paraId="3A7C671C" w14:textId="6CD64C96" w:rsidR="00057AAC" w:rsidRPr="00EE03DB" w:rsidRDefault="00F14195" w:rsidP="00EE03DB">
      <w:pPr>
        <w:pStyle w:val="ListParagraph"/>
        <w:spacing w:line="276" w:lineRule="auto"/>
        <w:ind w:left="0"/>
        <w:rPr>
          <w:rFonts w:cstheme="minorHAnsi"/>
        </w:rPr>
      </w:pPr>
      <w:r w:rsidRPr="00EE03DB">
        <w:rPr>
          <w:rFonts w:cstheme="minorHAnsi"/>
        </w:rPr>
        <w:t>Th</w:t>
      </w:r>
      <w:r w:rsidR="001C6D19" w:rsidRPr="00EE03DB">
        <w:rPr>
          <w:rFonts w:cstheme="minorHAnsi"/>
        </w:rPr>
        <w:t>is</w:t>
      </w:r>
      <w:r w:rsidRPr="00EE03DB">
        <w:rPr>
          <w:rFonts w:cstheme="minorHAnsi"/>
        </w:rPr>
        <w:t xml:space="preserve"> section</w:t>
      </w:r>
      <w:r w:rsidR="00463DC5" w:rsidRPr="00EE03DB">
        <w:rPr>
          <w:rFonts w:cstheme="minorHAnsi"/>
        </w:rPr>
        <w:t>, with three pages of requirements,</w:t>
      </w:r>
      <w:r w:rsidRPr="00EE03DB">
        <w:rPr>
          <w:rFonts w:cstheme="minorHAnsi"/>
        </w:rPr>
        <w:t xml:space="preserve"> </w:t>
      </w:r>
      <w:r w:rsidR="00DA66A1" w:rsidRPr="00EE03DB">
        <w:rPr>
          <w:rFonts w:cstheme="minorHAnsi"/>
        </w:rPr>
        <w:t>seem</w:t>
      </w:r>
      <w:r w:rsidR="001C6D19" w:rsidRPr="00EE03DB">
        <w:rPr>
          <w:rFonts w:cstheme="minorHAnsi"/>
        </w:rPr>
        <w:t>s</w:t>
      </w:r>
      <w:r w:rsidR="00DA66A1" w:rsidRPr="00EE03DB">
        <w:rPr>
          <w:rFonts w:cstheme="minorHAnsi"/>
        </w:rPr>
        <w:t xml:space="preserve"> to be the “poster child” for the administrative burden that is duplicative, excessive and will, for all practical purposes, take ETPs off the list of</w:t>
      </w:r>
      <w:r w:rsidR="00700B55" w:rsidRPr="00EE03DB">
        <w:rPr>
          <w:rFonts w:cstheme="minorHAnsi"/>
        </w:rPr>
        <w:t xml:space="preserve"> available</w:t>
      </w:r>
      <w:r w:rsidR="00DA66A1" w:rsidRPr="00EE03DB">
        <w:rPr>
          <w:rFonts w:cstheme="minorHAnsi"/>
        </w:rPr>
        <w:t xml:space="preserve"> compliance options. While the process outlined in this draft 173-444-080 may be necessary and useful in a regulatory framework developed to </w:t>
      </w:r>
      <w:r w:rsidR="003B6D0F" w:rsidRPr="00EE03DB">
        <w:rPr>
          <w:rFonts w:cstheme="minorHAnsi"/>
        </w:rPr>
        <w:t xml:space="preserve">oversee </w:t>
      </w:r>
      <w:r w:rsidR="00DA66A1" w:rsidRPr="00EE03DB">
        <w:rPr>
          <w:rFonts w:cstheme="minorHAnsi"/>
        </w:rPr>
        <w:t>a cap-and-trade auction where this regulatory structure is the only screening</w:t>
      </w:r>
      <w:r w:rsidR="003B6D0F" w:rsidRPr="00EE03DB">
        <w:rPr>
          <w:rFonts w:cstheme="minorHAnsi"/>
        </w:rPr>
        <w:t>,</w:t>
      </w:r>
      <w:r w:rsidR="00DA66A1" w:rsidRPr="00EE03DB">
        <w:rPr>
          <w:rFonts w:cstheme="minorHAnsi"/>
        </w:rPr>
        <w:t xml:space="preserve"> review </w:t>
      </w:r>
      <w:r w:rsidR="003B6D0F" w:rsidRPr="00EE03DB">
        <w:rPr>
          <w:rFonts w:cstheme="minorHAnsi"/>
        </w:rPr>
        <w:t xml:space="preserve">and approval </w:t>
      </w:r>
      <w:r w:rsidR="00DA66A1" w:rsidRPr="00EE03DB">
        <w:rPr>
          <w:rFonts w:cstheme="minorHAnsi"/>
        </w:rPr>
        <w:t>of carbon reductions being offered in a competitive and potentially lucrative</w:t>
      </w:r>
      <w:r w:rsidR="003B6D0F" w:rsidRPr="00EE03DB">
        <w:rPr>
          <w:rFonts w:cstheme="minorHAnsi"/>
        </w:rPr>
        <w:t xml:space="preserve"> and profitable</w:t>
      </w:r>
      <w:r w:rsidR="00DA66A1" w:rsidRPr="00EE03DB">
        <w:rPr>
          <w:rFonts w:cstheme="minorHAnsi"/>
        </w:rPr>
        <w:t xml:space="preserve"> auction market</w:t>
      </w:r>
      <w:r w:rsidR="003B6D0F" w:rsidRPr="00EE03DB">
        <w:rPr>
          <w:rFonts w:cstheme="minorHAnsi"/>
        </w:rPr>
        <w:t>, where a wide range of otherwise non-regulated public and private parties can participate</w:t>
      </w:r>
      <w:r w:rsidR="00DA66A1" w:rsidRPr="00EE03DB">
        <w:rPr>
          <w:rFonts w:cstheme="minorHAnsi"/>
        </w:rPr>
        <w:t xml:space="preserve">, we ask again that Ecology take note that ETPs are </w:t>
      </w:r>
      <w:r w:rsidR="003B6D0F" w:rsidRPr="00EE03DB">
        <w:rPr>
          <w:rFonts w:cstheme="minorHAnsi"/>
        </w:rPr>
        <w:t xml:space="preserve">only </w:t>
      </w:r>
      <w:r w:rsidR="00DA66A1" w:rsidRPr="00EE03DB">
        <w:rPr>
          <w:rFonts w:cstheme="minorHAnsi"/>
        </w:rPr>
        <w:t xml:space="preserve">one form of alternative compliance options for highly regulated utilities that are subject to a </w:t>
      </w:r>
      <w:r w:rsidR="00463DC5" w:rsidRPr="00EE03DB">
        <w:rPr>
          <w:rFonts w:cstheme="minorHAnsi"/>
        </w:rPr>
        <w:t xml:space="preserve">transparent </w:t>
      </w:r>
      <w:r w:rsidR="00DA66A1" w:rsidRPr="00EE03DB">
        <w:rPr>
          <w:rFonts w:cstheme="minorHAnsi"/>
        </w:rPr>
        <w:t xml:space="preserve">regulatory process that already provides multiple layers of review from </w:t>
      </w:r>
      <w:r w:rsidR="003B6D0F" w:rsidRPr="00EE03DB">
        <w:rPr>
          <w:rFonts w:cstheme="minorHAnsi"/>
        </w:rPr>
        <w:t xml:space="preserve">existing regulatory staff as well as </w:t>
      </w:r>
      <w:r w:rsidR="001A11DA" w:rsidRPr="00EE03DB">
        <w:rPr>
          <w:rFonts w:cstheme="minorHAnsi"/>
        </w:rPr>
        <w:t>outside stakeholders</w:t>
      </w:r>
      <w:r w:rsidR="00DA66A1" w:rsidRPr="00EE03DB">
        <w:rPr>
          <w:rFonts w:cstheme="minorHAnsi"/>
        </w:rPr>
        <w:t xml:space="preserve"> and </w:t>
      </w:r>
      <w:r w:rsidR="001A11DA" w:rsidRPr="00EE03DB">
        <w:rPr>
          <w:rFonts w:cstheme="minorHAnsi"/>
        </w:rPr>
        <w:t xml:space="preserve">their </w:t>
      </w:r>
      <w:r w:rsidR="00DA66A1" w:rsidRPr="00EE03DB">
        <w:rPr>
          <w:rFonts w:cstheme="minorHAnsi"/>
        </w:rPr>
        <w:t>technical experts.</w:t>
      </w:r>
      <w:r w:rsidR="003B6D0F" w:rsidRPr="00EE03DB">
        <w:rPr>
          <w:rFonts w:cstheme="minorHAnsi"/>
        </w:rPr>
        <w:t xml:space="preserve"> Adding yet another</w:t>
      </w:r>
      <w:r w:rsidR="004D50AA" w:rsidRPr="00EE03DB">
        <w:rPr>
          <w:rFonts w:cstheme="minorHAnsi"/>
        </w:rPr>
        <w:t xml:space="preserve"> layer of pre</w:t>
      </w:r>
      <w:r w:rsidR="007D4E89" w:rsidRPr="00EE03DB">
        <w:rPr>
          <w:rFonts w:cstheme="minorHAnsi"/>
        </w:rPr>
        <w:t>-</w:t>
      </w:r>
      <w:r w:rsidR="004D50AA" w:rsidRPr="00EE03DB">
        <w:rPr>
          <w:rFonts w:cstheme="minorHAnsi"/>
        </w:rPr>
        <w:t xml:space="preserve"> and post</w:t>
      </w:r>
      <w:r w:rsidR="007D4E89" w:rsidRPr="00EE03DB">
        <w:rPr>
          <w:rFonts w:cstheme="minorHAnsi"/>
        </w:rPr>
        <w:t>-</w:t>
      </w:r>
      <w:r w:rsidR="004D50AA" w:rsidRPr="00EE03DB">
        <w:rPr>
          <w:rFonts w:cstheme="minorHAnsi"/>
        </w:rPr>
        <w:t xml:space="preserve"> verification by third party consultants only adds unnecessary </w:t>
      </w:r>
      <w:r w:rsidR="007D4E89" w:rsidRPr="00EE03DB">
        <w:rPr>
          <w:rFonts w:cstheme="minorHAnsi"/>
        </w:rPr>
        <w:t xml:space="preserve">and duplicative </w:t>
      </w:r>
      <w:r w:rsidR="004D50AA" w:rsidRPr="00EE03DB">
        <w:rPr>
          <w:rFonts w:cstheme="minorHAnsi"/>
        </w:rPr>
        <w:t xml:space="preserve">costs and delays </w:t>
      </w:r>
      <w:r w:rsidR="007D4E89" w:rsidRPr="00EE03DB">
        <w:rPr>
          <w:rFonts w:cstheme="minorHAnsi"/>
        </w:rPr>
        <w:t>for</w:t>
      </w:r>
      <w:r w:rsidR="007D4E89" w:rsidRPr="00EE03DB">
        <w:rPr>
          <w:rFonts w:cstheme="minorHAnsi"/>
        </w:rPr>
        <w:t xml:space="preserve"> </w:t>
      </w:r>
      <w:r w:rsidR="004D50AA" w:rsidRPr="00EE03DB">
        <w:rPr>
          <w:rFonts w:cstheme="minorHAnsi"/>
        </w:rPr>
        <w:t>projects that have great potential to reduce carbon.</w:t>
      </w:r>
      <w:r w:rsidR="00057AAC" w:rsidRPr="00EE03DB">
        <w:rPr>
          <w:rFonts w:cstheme="minorHAnsi"/>
        </w:rPr>
        <w:t xml:space="preserve"> </w:t>
      </w:r>
    </w:p>
    <w:p w14:paraId="135FCF8B" w14:textId="77777777" w:rsidR="00057AAC" w:rsidRPr="00EE03DB" w:rsidRDefault="00057AAC" w:rsidP="00EE03DB">
      <w:pPr>
        <w:pStyle w:val="ListParagraph"/>
        <w:spacing w:line="276" w:lineRule="auto"/>
        <w:ind w:left="0"/>
        <w:rPr>
          <w:rFonts w:cstheme="minorHAnsi"/>
        </w:rPr>
      </w:pPr>
    </w:p>
    <w:p w14:paraId="2B7BEBD9" w14:textId="6F216289" w:rsidR="00F14195" w:rsidRPr="00EE03DB" w:rsidRDefault="00057AAC" w:rsidP="00EE03DB">
      <w:pPr>
        <w:pStyle w:val="ListParagraph"/>
        <w:spacing w:line="276" w:lineRule="auto"/>
        <w:ind w:left="0"/>
        <w:rPr>
          <w:rFonts w:cstheme="minorHAnsi"/>
        </w:rPr>
      </w:pPr>
      <w:r w:rsidRPr="00EE03DB">
        <w:rPr>
          <w:rFonts w:cstheme="minorHAnsi"/>
        </w:rPr>
        <w:t>We request that Ecology take note of the legislative declaration that</w:t>
      </w:r>
      <w:r w:rsidR="007D4E89" w:rsidRPr="00EE03DB">
        <w:rPr>
          <w:rFonts w:cstheme="minorHAnsi"/>
        </w:rPr>
        <w:t xml:space="preserve"> (bold and underline added)</w:t>
      </w:r>
      <w:r w:rsidRPr="00EE03DB">
        <w:rPr>
          <w:rFonts w:cstheme="minorHAnsi"/>
        </w:rPr>
        <w:t>:</w:t>
      </w:r>
      <w:r w:rsidRPr="00EE03DB">
        <w:rPr>
          <w:rFonts w:cstheme="minorHAnsi"/>
        </w:rPr>
        <w:t xml:space="preserve"> </w:t>
      </w:r>
      <w:r w:rsidRPr="00EE03DB">
        <w:rPr>
          <w:rFonts w:cstheme="minorHAnsi"/>
          <w:i/>
          <w:iCs/>
        </w:rPr>
        <w:t xml:space="preserve">utilities in the state have an important role to play in this transition, </w:t>
      </w:r>
      <w:r w:rsidRPr="00EE03DB">
        <w:rPr>
          <w:rFonts w:cstheme="minorHAnsi"/>
          <w:b/>
          <w:bCs/>
          <w:i/>
          <w:iCs/>
          <w:u w:val="single"/>
        </w:rPr>
        <w:t>and must be fully empowered</w:t>
      </w:r>
      <w:r w:rsidRPr="00EE03DB">
        <w:rPr>
          <w:rFonts w:cstheme="minorHAnsi"/>
          <w:i/>
          <w:iCs/>
        </w:rPr>
        <w:t xml:space="preserve">, through regulatory tools and incentives, </w:t>
      </w:r>
      <w:r w:rsidRPr="00EE03DB">
        <w:rPr>
          <w:rFonts w:cstheme="minorHAnsi"/>
          <w:b/>
          <w:bCs/>
          <w:i/>
          <w:iCs/>
          <w:u w:val="single"/>
        </w:rPr>
        <w:t>to achieve the goals of this policy</w:t>
      </w:r>
      <w:r w:rsidRPr="00EE03DB">
        <w:rPr>
          <w:rFonts w:cstheme="minorHAnsi"/>
          <w:i/>
          <w:iCs/>
        </w:rPr>
        <w:t>.</w:t>
      </w:r>
      <w:r w:rsidRPr="00EE03DB">
        <w:rPr>
          <w:rFonts w:cstheme="minorHAnsi"/>
          <w:i/>
          <w:iCs/>
        </w:rPr>
        <w:t>”</w:t>
      </w:r>
      <w:r w:rsidRPr="00EE03DB">
        <w:rPr>
          <w:rStyle w:val="FootnoteReference"/>
          <w:rFonts w:cstheme="minorHAnsi"/>
          <w:i/>
          <w:iCs/>
        </w:rPr>
        <w:footnoteReference w:id="17"/>
      </w:r>
    </w:p>
    <w:p w14:paraId="1CD82985" w14:textId="2BBD8D3D" w:rsidR="00DA66A1" w:rsidRPr="00EE03DB" w:rsidRDefault="00DA66A1" w:rsidP="00EE03DB">
      <w:pPr>
        <w:pStyle w:val="ListParagraph"/>
        <w:spacing w:line="276" w:lineRule="auto"/>
        <w:ind w:left="0"/>
        <w:rPr>
          <w:rFonts w:cstheme="minorHAnsi"/>
        </w:rPr>
      </w:pPr>
    </w:p>
    <w:p w14:paraId="21E0204C" w14:textId="1F7D9402" w:rsidR="00DA66A1" w:rsidRPr="00EE03DB" w:rsidRDefault="00DA66A1" w:rsidP="00EE03DB">
      <w:pPr>
        <w:pStyle w:val="ListParagraph"/>
        <w:spacing w:line="276" w:lineRule="auto"/>
        <w:ind w:left="0"/>
        <w:rPr>
          <w:rFonts w:cstheme="minorHAnsi"/>
        </w:rPr>
      </w:pPr>
      <w:r w:rsidRPr="00EE03DB">
        <w:rPr>
          <w:rFonts w:cstheme="minorHAnsi"/>
        </w:rPr>
        <w:t>Under the current CETA compliance regime, each and every instrument planned and ultimately utilized for compliance, including ETPs, will be offered, reviewed and scrutinized by multiple parties</w:t>
      </w:r>
      <w:r w:rsidR="007D4E89" w:rsidRPr="00EE03DB">
        <w:rPr>
          <w:rFonts w:cstheme="minorHAnsi"/>
        </w:rPr>
        <w:t xml:space="preserve"> and the Approving Body</w:t>
      </w:r>
      <w:r w:rsidRPr="00EE03DB">
        <w:rPr>
          <w:rFonts w:cstheme="minorHAnsi"/>
        </w:rPr>
        <w:t xml:space="preserve"> in each utility’s: Integrated Resource Plan</w:t>
      </w:r>
      <w:r w:rsidR="004D50AA" w:rsidRPr="00EE03DB">
        <w:rPr>
          <w:rFonts w:cstheme="minorHAnsi"/>
        </w:rPr>
        <w:t>;</w:t>
      </w:r>
      <w:r w:rsidRPr="00EE03DB">
        <w:rPr>
          <w:rFonts w:cstheme="minorHAnsi"/>
        </w:rPr>
        <w:t xml:space="preserve"> Clean Energy Action Plan</w:t>
      </w:r>
      <w:r w:rsidR="004D50AA" w:rsidRPr="00EE03DB">
        <w:rPr>
          <w:rFonts w:cstheme="minorHAnsi"/>
        </w:rPr>
        <w:t>;</w:t>
      </w:r>
      <w:r w:rsidRPr="00EE03DB">
        <w:rPr>
          <w:rFonts w:cstheme="minorHAnsi"/>
        </w:rPr>
        <w:t xml:space="preserve"> Clean Energy Implantation Plan</w:t>
      </w:r>
      <w:r w:rsidR="004D50AA" w:rsidRPr="00EE03DB">
        <w:rPr>
          <w:rFonts w:cstheme="minorHAnsi"/>
        </w:rPr>
        <w:t>;</w:t>
      </w:r>
      <w:r w:rsidRPr="00EE03DB">
        <w:rPr>
          <w:rFonts w:cstheme="minorHAnsi"/>
        </w:rPr>
        <w:t xml:space="preserve"> and audit or regulatory review</w:t>
      </w:r>
      <w:r w:rsidR="003B6D0F" w:rsidRPr="00EE03DB">
        <w:rPr>
          <w:rFonts w:cstheme="minorHAnsi"/>
        </w:rPr>
        <w:t xml:space="preserve"> </w:t>
      </w:r>
      <w:r w:rsidR="00F62593" w:rsidRPr="00EE03DB">
        <w:rPr>
          <w:rFonts w:cstheme="minorHAnsi"/>
        </w:rPr>
        <w:t xml:space="preserve">and </w:t>
      </w:r>
      <w:r w:rsidR="003B6D0F" w:rsidRPr="00EE03DB">
        <w:rPr>
          <w:rFonts w:cstheme="minorHAnsi"/>
        </w:rPr>
        <w:t>acceptance</w:t>
      </w:r>
      <w:r w:rsidRPr="00EE03DB">
        <w:rPr>
          <w:rFonts w:cstheme="minorHAnsi"/>
        </w:rPr>
        <w:t xml:space="preserve"> </w:t>
      </w:r>
      <w:r w:rsidR="007D4E89" w:rsidRPr="00EE03DB">
        <w:rPr>
          <w:rFonts w:cstheme="minorHAnsi"/>
        </w:rPr>
        <w:t xml:space="preserve">by the Approving Body </w:t>
      </w:r>
      <w:r w:rsidR="003B6D0F" w:rsidRPr="00EE03DB">
        <w:rPr>
          <w:rFonts w:cstheme="minorHAnsi"/>
        </w:rPr>
        <w:t>of</w:t>
      </w:r>
      <w:r w:rsidRPr="00EE03DB">
        <w:rPr>
          <w:rFonts w:cstheme="minorHAnsi"/>
        </w:rPr>
        <w:t xml:space="preserve"> the final compliance de</w:t>
      </w:r>
      <w:r w:rsidR="00F62593" w:rsidRPr="00EE03DB">
        <w:rPr>
          <w:rFonts w:cstheme="minorHAnsi"/>
        </w:rPr>
        <w:t>termination</w:t>
      </w:r>
      <w:r w:rsidR="003B6D0F" w:rsidRPr="00EE03DB">
        <w:rPr>
          <w:rFonts w:cstheme="minorHAnsi"/>
        </w:rPr>
        <w:t xml:space="preserve"> where that instrument is offered</w:t>
      </w:r>
      <w:r w:rsidRPr="00EE03DB">
        <w:rPr>
          <w:rFonts w:cstheme="minorHAnsi"/>
        </w:rPr>
        <w:t>.</w:t>
      </w:r>
    </w:p>
    <w:p w14:paraId="75D01EA2" w14:textId="4C34330D" w:rsidR="004D50AA" w:rsidRPr="00EE03DB" w:rsidRDefault="004D50AA" w:rsidP="00EE03DB">
      <w:pPr>
        <w:pStyle w:val="ListParagraph"/>
        <w:spacing w:line="276" w:lineRule="auto"/>
        <w:ind w:left="0"/>
        <w:rPr>
          <w:rFonts w:cstheme="minorHAnsi"/>
        </w:rPr>
      </w:pPr>
    </w:p>
    <w:p w14:paraId="09974507" w14:textId="744515A5" w:rsidR="004D50AA" w:rsidRPr="00EE03DB" w:rsidRDefault="004D50AA" w:rsidP="00EE03DB">
      <w:pPr>
        <w:pStyle w:val="ListParagraph"/>
        <w:spacing w:line="276" w:lineRule="auto"/>
        <w:ind w:left="0"/>
        <w:rPr>
          <w:rFonts w:cstheme="minorHAnsi"/>
        </w:rPr>
      </w:pPr>
      <w:r w:rsidRPr="00EE03DB">
        <w:rPr>
          <w:rFonts w:cstheme="minorHAnsi"/>
        </w:rPr>
        <w:t>Adding a requirement that each utility must submit a project plan to the “validating or verifying entit</w:t>
      </w:r>
      <w:r w:rsidR="00253381" w:rsidRPr="00EE03DB">
        <w:rPr>
          <w:rFonts w:cstheme="minorHAnsi"/>
        </w:rPr>
        <w:t>ies</w:t>
      </w:r>
      <w:r w:rsidRPr="00EE03DB">
        <w:rPr>
          <w:rFonts w:cstheme="minorHAnsi"/>
        </w:rPr>
        <w:t>”</w:t>
      </w:r>
      <w:r w:rsidRPr="00EE03DB">
        <w:rPr>
          <w:rStyle w:val="FootnoteReference"/>
          <w:rFonts w:cstheme="minorHAnsi"/>
        </w:rPr>
        <w:footnoteReference w:id="18"/>
      </w:r>
      <w:r w:rsidRPr="00EE03DB">
        <w:rPr>
          <w:rFonts w:cstheme="minorHAnsi"/>
        </w:rPr>
        <w:t xml:space="preserve"> and then</w:t>
      </w:r>
      <w:r w:rsidR="00253381" w:rsidRPr="00EE03DB">
        <w:rPr>
          <w:rFonts w:cstheme="minorHAnsi"/>
        </w:rPr>
        <w:t xml:space="preserve"> afterwards</w:t>
      </w:r>
      <w:r w:rsidRPr="00EE03DB">
        <w:rPr>
          <w:rFonts w:cstheme="minorHAnsi"/>
        </w:rPr>
        <w:t xml:space="preserve"> “conduct or facilitate a performance verification process to verify the actual benefits of the project over time”</w:t>
      </w:r>
      <w:r w:rsidR="00253381" w:rsidRPr="00EE03DB">
        <w:rPr>
          <w:rStyle w:val="FootnoteReference"/>
          <w:rFonts w:cstheme="minorHAnsi"/>
        </w:rPr>
        <w:footnoteReference w:id="19"/>
      </w:r>
      <w:r w:rsidRPr="00EE03DB">
        <w:rPr>
          <w:rFonts w:cstheme="minorHAnsi"/>
        </w:rPr>
        <w:t xml:space="preserve"> . . . through a </w:t>
      </w:r>
      <w:r w:rsidR="00253381" w:rsidRPr="00EE03DB">
        <w:rPr>
          <w:rFonts w:cstheme="minorHAnsi"/>
        </w:rPr>
        <w:t>“</w:t>
      </w:r>
      <w:r w:rsidRPr="00EE03DB">
        <w:rPr>
          <w:rFonts w:cstheme="minorHAnsi"/>
        </w:rPr>
        <w:t>third party verifier</w:t>
      </w:r>
      <w:r w:rsidR="00253381" w:rsidRPr="00EE03DB">
        <w:rPr>
          <w:rFonts w:cstheme="minorHAnsi"/>
        </w:rPr>
        <w:t>”</w:t>
      </w:r>
      <w:r w:rsidRPr="00EE03DB">
        <w:rPr>
          <w:rFonts w:cstheme="minorHAnsi"/>
        </w:rPr>
        <w:t xml:space="preserve"> that must be accredited and demonstrate no conflict of interest</w:t>
      </w:r>
      <w:r w:rsidR="00253381" w:rsidRPr="00EE03DB">
        <w:rPr>
          <w:rFonts w:cstheme="minorHAnsi"/>
        </w:rPr>
        <w:t>, and all the requirements that those two additional layers of review and approval require in the rules, adds two more layers of substantial</w:t>
      </w:r>
      <w:r w:rsidR="007D4E89" w:rsidRPr="00EE03DB">
        <w:rPr>
          <w:rFonts w:cstheme="minorHAnsi"/>
        </w:rPr>
        <w:t>, expensive</w:t>
      </w:r>
      <w:r w:rsidR="00370F00" w:rsidRPr="00EE03DB">
        <w:rPr>
          <w:rFonts w:cstheme="minorHAnsi"/>
        </w:rPr>
        <w:t>, duplicative</w:t>
      </w:r>
      <w:r w:rsidR="00253381" w:rsidRPr="00EE03DB">
        <w:rPr>
          <w:rFonts w:cstheme="minorHAnsi"/>
        </w:rPr>
        <w:t xml:space="preserve"> and unnecessary administrative requirements in addition to the four </w:t>
      </w:r>
      <w:r w:rsidR="00253381" w:rsidRPr="00EE03DB">
        <w:rPr>
          <w:rFonts w:cstheme="minorHAnsi"/>
        </w:rPr>
        <w:t xml:space="preserve">previously mentioned </w:t>
      </w:r>
      <w:r w:rsidR="00253381" w:rsidRPr="00EE03DB">
        <w:rPr>
          <w:rFonts w:cstheme="minorHAnsi"/>
        </w:rPr>
        <w:t>layers of review that each ETP, if used by a utility for compliance, will have to pass through.</w:t>
      </w:r>
    </w:p>
    <w:p w14:paraId="340FD2ED" w14:textId="4B89484C" w:rsidR="001A11DA" w:rsidRPr="00EE03DB" w:rsidRDefault="001A11DA" w:rsidP="00EE03DB">
      <w:pPr>
        <w:pStyle w:val="ListParagraph"/>
        <w:spacing w:line="276" w:lineRule="auto"/>
        <w:ind w:left="0"/>
        <w:rPr>
          <w:rFonts w:cstheme="minorHAnsi"/>
        </w:rPr>
      </w:pPr>
    </w:p>
    <w:p w14:paraId="6CA7648C" w14:textId="6BADF10E" w:rsidR="00913718" w:rsidRPr="00EE03DB" w:rsidRDefault="005D4B3B" w:rsidP="00EE03DB">
      <w:pPr>
        <w:pStyle w:val="ListParagraph"/>
        <w:spacing w:line="276" w:lineRule="auto"/>
        <w:ind w:left="0"/>
        <w:rPr>
          <w:rFonts w:cstheme="minorHAnsi"/>
          <w:b/>
          <w:bCs/>
        </w:rPr>
      </w:pPr>
      <w:r w:rsidRPr="00EE03DB">
        <w:rPr>
          <w:rFonts w:cstheme="minorHAnsi"/>
          <w:b/>
          <w:bCs/>
        </w:rPr>
        <w:t>Reductions achieved before the 2030 carbon neutrality requirement</w:t>
      </w:r>
    </w:p>
    <w:p w14:paraId="3F8F4696" w14:textId="77777777" w:rsidR="005D4B3B" w:rsidRPr="00EE03DB" w:rsidRDefault="005D4B3B" w:rsidP="00EE03DB">
      <w:pPr>
        <w:pStyle w:val="ListParagraph"/>
        <w:spacing w:line="276" w:lineRule="auto"/>
        <w:ind w:left="0"/>
        <w:rPr>
          <w:rFonts w:cstheme="minorHAnsi"/>
        </w:rPr>
      </w:pPr>
    </w:p>
    <w:p w14:paraId="7FA924A0" w14:textId="02CBDE1D" w:rsidR="00913718" w:rsidRPr="00EE03DB" w:rsidRDefault="00913718" w:rsidP="00EE03DB">
      <w:pPr>
        <w:pStyle w:val="ListParagraph"/>
        <w:spacing w:line="276" w:lineRule="auto"/>
        <w:ind w:left="0"/>
        <w:rPr>
          <w:rFonts w:cstheme="minorHAnsi"/>
        </w:rPr>
      </w:pPr>
      <w:r w:rsidRPr="00EE03DB">
        <w:rPr>
          <w:rFonts w:cstheme="minorHAnsi"/>
        </w:rPr>
        <w:t>And finally, to fulfil</w:t>
      </w:r>
      <w:r w:rsidR="00057AAC" w:rsidRPr="00EE03DB">
        <w:rPr>
          <w:rFonts w:cstheme="minorHAnsi"/>
        </w:rPr>
        <w:t>l</w:t>
      </w:r>
      <w:r w:rsidRPr="00EE03DB">
        <w:rPr>
          <w:rFonts w:cstheme="minorHAnsi"/>
        </w:rPr>
        <w:t xml:space="preserve"> the Legislature</w:t>
      </w:r>
      <w:r w:rsidR="00057AAC" w:rsidRPr="00EE03DB">
        <w:rPr>
          <w:rFonts w:cstheme="minorHAnsi"/>
        </w:rPr>
        <w:t>’</w:t>
      </w:r>
      <w:r w:rsidRPr="00EE03DB">
        <w:rPr>
          <w:rFonts w:cstheme="minorHAnsi"/>
        </w:rPr>
        <w:t>s intent to</w:t>
      </w:r>
      <w:r w:rsidRPr="00EE03DB">
        <w:rPr>
          <w:rFonts w:cstheme="minorHAnsi"/>
        </w:rPr>
        <w:t xml:space="preserve"> encourage </w:t>
      </w:r>
      <w:r w:rsidRPr="00EE03DB">
        <w:rPr>
          <w:rFonts w:cstheme="minorHAnsi"/>
          <w:i/>
          <w:iCs/>
        </w:rPr>
        <w:t>“significant and swift reductions in greenhouse gas emissions</w:t>
      </w:r>
      <w:r w:rsidR="00057AAC" w:rsidRPr="00EE03DB">
        <w:rPr>
          <w:rFonts w:cstheme="minorHAnsi"/>
          <w:i/>
          <w:iCs/>
        </w:rPr>
        <w:t>,”</w:t>
      </w:r>
      <w:r w:rsidR="00057AAC" w:rsidRPr="00EE03DB">
        <w:rPr>
          <w:rFonts w:cstheme="minorHAnsi"/>
        </w:rPr>
        <w:t xml:space="preserve"> and to diminish the</w:t>
      </w:r>
      <w:r w:rsidR="00057AAC" w:rsidRPr="00EE03DB">
        <w:rPr>
          <w:rFonts w:cstheme="minorHAnsi"/>
          <w:i/>
          <w:iCs/>
        </w:rPr>
        <w:t xml:space="preserve"> </w:t>
      </w:r>
      <w:r w:rsidR="00057AAC" w:rsidRPr="00EE03DB">
        <w:rPr>
          <w:rFonts w:cstheme="minorHAnsi"/>
          <w:i/>
          <w:iCs/>
        </w:rPr>
        <w:t>“</w:t>
      </w:r>
      <w:r w:rsidR="00057AAC" w:rsidRPr="00EE03DB">
        <w:rPr>
          <w:rFonts w:cstheme="minorHAnsi"/>
          <w:i/>
          <w:iCs/>
        </w:rPr>
        <w:t>immediate significant threats to our economy, health, safety, and national security</w:t>
      </w:r>
      <w:r w:rsidRPr="00EE03DB">
        <w:rPr>
          <w:rFonts w:cstheme="minorHAnsi"/>
          <w:i/>
          <w:iCs/>
        </w:rPr>
        <w:t>”</w:t>
      </w:r>
      <w:r w:rsidR="00057AAC" w:rsidRPr="00EE03DB">
        <w:rPr>
          <w:rFonts w:cstheme="minorHAnsi"/>
          <w:i/>
          <w:iCs/>
        </w:rPr>
        <w:t xml:space="preserve"> </w:t>
      </w:r>
      <w:r w:rsidR="00057AAC" w:rsidRPr="00EE03DB">
        <w:rPr>
          <w:rFonts w:cstheme="minorHAnsi"/>
        </w:rPr>
        <w:t xml:space="preserve">that climate change poses, we request as Ecology researches </w:t>
      </w:r>
      <w:r w:rsidR="005D4B3B" w:rsidRPr="00EE03DB">
        <w:rPr>
          <w:rFonts w:cstheme="minorHAnsi"/>
        </w:rPr>
        <w:t xml:space="preserve">and develops </w:t>
      </w:r>
      <w:r w:rsidR="00057AAC" w:rsidRPr="00EE03DB">
        <w:rPr>
          <w:rFonts w:cstheme="minorHAnsi"/>
        </w:rPr>
        <w:t xml:space="preserve">protocols, to the extent that early or immediate reductions in greenhouses gases is demonstrated to </w:t>
      </w:r>
      <w:r w:rsidR="00934A80" w:rsidRPr="00EE03DB">
        <w:rPr>
          <w:rFonts w:cstheme="minorHAnsi"/>
        </w:rPr>
        <w:t xml:space="preserve">meet the legislative intent to </w:t>
      </w:r>
      <w:r w:rsidR="00057AAC" w:rsidRPr="00EE03DB">
        <w:rPr>
          <w:rFonts w:cstheme="minorHAnsi"/>
        </w:rPr>
        <w:t xml:space="preserve">diminish those </w:t>
      </w:r>
      <w:r w:rsidR="005D4B3B" w:rsidRPr="00EE03DB">
        <w:rPr>
          <w:rFonts w:cstheme="minorHAnsi"/>
        </w:rPr>
        <w:t xml:space="preserve">“immediate and significant” </w:t>
      </w:r>
      <w:r w:rsidR="00057AAC" w:rsidRPr="00EE03DB">
        <w:rPr>
          <w:rFonts w:cstheme="minorHAnsi"/>
        </w:rPr>
        <w:t>threats</w:t>
      </w:r>
      <w:r w:rsidR="00934A80" w:rsidRPr="00EE03DB">
        <w:rPr>
          <w:rFonts w:cstheme="minorHAnsi"/>
        </w:rPr>
        <w:t xml:space="preserve"> and otherwise reduce the environmental threats posed by greenhouse gas emissions</w:t>
      </w:r>
      <w:r w:rsidR="00057AAC" w:rsidRPr="00EE03DB">
        <w:rPr>
          <w:rFonts w:cstheme="minorHAnsi"/>
        </w:rPr>
        <w:t xml:space="preserve">, that the protocol provide </w:t>
      </w:r>
      <w:r w:rsidR="00934A80" w:rsidRPr="00EE03DB">
        <w:rPr>
          <w:rFonts w:cstheme="minorHAnsi"/>
        </w:rPr>
        <w:t>“regulatory incentives” to “empower utilities” to invest early in ETPs and bank the greenhouse gas reductions against the utility’s 2030 initial compliance obligation.</w:t>
      </w:r>
    </w:p>
    <w:p w14:paraId="5CE4ED03" w14:textId="55656614" w:rsidR="00934A80" w:rsidRPr="00EE03DB" w:rsidRDefault="00934A80" w:rsidP="00EE03DB">
      <w:pPr>
        <w:pStyle w:val="ListParagraph"/>
        <w:spacing w:line="276" w:lineRule="auto"/>
        <w:ind w:left="0"/>
        <w:rPr>
          <w:rFonts w:cstheme="minorHAnsi"/>
        </w:rPr>
      </w:pPr>
    </w:p>
    <w:p w14:paraId="2E09ECE0" w14:textId="576C0ABE" w:rsidR="00934A80" w:rsidRPr="00EE03DB" w:rsidRDefault="00934A80" w:rsidP="00EE03DB">
      <w:pPr>
        <w:pStyle w:val="ListParagraph"/>
        <w:spacing w:line="276" w:lineRule="auto"/>
        <w:ind w:left="0"/>
        <w:rPr>
          <w:rFonts w:cstheme="minorHAnsi"/>
        </w:rPr>
      </w:pPr>
      <w:r w:rsidRPr="00EE03DB">
        <w:rPr>
          <w:rFonts w:cstheme="minorHAnsi"/>
        </w:rPr>
        <w:t>Respectfully submitted,</w:t>
      </w:r>
    </w:p>
    <w:p w14:paraId="0E0E041D" w14:textId="20D9539A" w:rsidR="00934A80" w:rsidRDefault="00934A80" w:rsidP="00EE03DB">
      <w:pPr>
        <w:pStyle w:val="ListParagraph"/>
        <w:spacing w:line="276" w:lineRule="auto"/>
        <w:ind w:left="0"/>
        <w:rPr>
          <w:rFonts w:cstheme="minorHAnsi"/>
        </w:rPr>
      </w:pPr>
    </w:p>
    <w:p w14:paraId="4C68F876" w14:textId="03ACE906" w:rsidR="00A05C1D" w:rsidRDefault="00A05C1D" w:rsidP="00EE03DB">
      <w:pPr>
        <w:pStyle w:val="ListParagraph"/>
        <w:spacing w:line="276" w:lineRule="auto"/>
        <w:ind w:left="0"/>
        <w:rPr>
          <w:rFonts w:cstheme="minorHAnsi"/>
        </w:rPr>
      </w:pPr>
      <w:r>
        <w:rPr>
          <w:rFonts w:cstheme="minorHAnsi"/>
        </w:rPr>
        <w:t>s/</w:t>
      </w:r>
    </w:p>
    <w:p w14:paraId="340B3A35" w14:textId="77777777" w:rsidR="00EE03DB" w:rsidRDefault="00EE03DB" w:rsidP="00EE03DB">
      <w:pPr>
        <w:pStyle w:val="E-mailSignature"/>
      </w:pPr>
      <w:r>
        <w:t>Dave Warren</w:t>
      </w:r>
    </w:p>
    <w:p w14:paraId="2DC4CD22" w14:textId="77777777" w:rsidR="00EE03DB" w:rsidRDefault="00EE03DB" w:rsidP="00EE03DB">
      <w:pPr>
        <w:pStyle w:val="E-mailSignature"/>
      </w:pPr>
      <w:r>
        <w:t>The Warren Group, LLC</w:t>
      </w:r>
    </w:p>
    <w:p w14:paraId="71FE6EEF" w14:textId="77777777" w:rsidR="00EE03DB" w:rsidRDefault="00EE03DB" w:rsidP="00EE03DB">
      <w:pPr>
        <w:pStyle w:val="E-mailSignature"/>
      </w:pPr>
      <w:r>
        <w:t>P.O. Box 463</w:t>
      </w:r>
    </w:p>
    <w:p w14:paraId="48F2C202" w14:textId="77777777" w:rsidR="00EE03DB" w:rsidRDefault="00EE03DB" w:rsidP="00EE03DB">
      <w:pPr>
        <w:pStyle w:val="E-mailSignature"/>
      </w:pPr>
      <w:r>
        <w:t>Olympia, WA 98507</w:t>
      </w:r>
    </w:p>
    <w:p w14:paraId="240991E2" w14:textId="77777777" w:rsidR="00EE03DB" w:rsidRDefault="00EE03DB" w:rsidP="00EE03DB">
      <w:pPr>
        <w:pStyle w:val="E-mailSignature"/>
      </w:pPr>
      <w:r>
        <w:t>dave@warren-group.net</w:t>
      </w:r>
    </w:p>
    <w:p w14:paraId="1E2E45B3" w14:textId="77777777" w:rsidR="00EE03DB" w:rsidRDefault="00EE03DB" w:rsidP="00EE03DB">
      <w:pPr>
        <w:pStyle w:val="E-mailSignature"/>
      </w:pPr>
      <w:r>
        <w:t>Cell: 360-951-5551</w:t>
      </w:r>
    </w:p>
    <w:p w14:paraId="70349926" w14:textId="77777777" w:rsidR="00EE03DB" w:rsidRDefault="00EE03DB" w:rsidP="00EE03DB"/>
    <w:p w14:paraId="171B8D8F" w14:textId="77777777" w:rsidR="00EE03DB" w:rsidRPr="00EE03DB" w:rsidRDefault="00EE03DB" w:rsidP="00EE03DB">
      <w:pPr>
        <w:pStyle w:val="ListParagraph"/>
        <w:spacing w:line="276" w:lineRule="auto"/>
        <w:ind w:left="0"/>
        <w:rPr>
          <w:rFonts w:cstheme="minorHAnsi"/>
        </w:rPr>
      </w:pPr>
    </w:p>
    <w:p w14:paraId="2868EA74" w14:textId="5997E000" w:rsidR="00934A80" w:rsidRPr="00EE03DB" w:rsidRDefault="00934A80" w:rsidP="00EE03DB">
      <w:pPr>
        <w:pStyle w:val="ListParagraph"/>
        <w:spacing w:line="276" w:lineRule="auto"/>
        <w:ind w:left="0"/>
        <w:rPr>
          <w:rFonts w:cstheme="minorHAnsi"/>
        </w:rPr>
      </w:pPr>
    </w:p>
    <w:p w14:paraId="32794408" w14:textId="6687F2D0" w:rsidR="00967536" w:rsidRPr="00AF7AB2" w:rsidRDefault="00967536" w:rsidP="000C4F47">
      <w:pPr>
        <w:pStyle w:val="ListParagraph"/>
        <w:ind w:left="0"/>
        <w:rPr>
          <w:rFonts w:cstheme="minorHAnsi"/>
        </w:rPr>
      </w:pPr>
    </w:p>
    <w:sectPr w:rsidR="00967536" w:rsidRPr="00AF7A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7D9C4" w14:textId="77777777" w:rsidR="00F305C6" w:rsidRDefault="00F305C6" w:rsidP="00AE2C7E">
      <w:pPr>
        <w:spacing w:after="0" w:line="240" w:lineRule="auto"/>
      </w:pPr>
      <w:r>
        <w:separator/>
      </w:r>
    </w:p>
  </w:endnote>
  <w:endnote w:type="continuationSeparator" w:id="0">
    <w:p w14:paraId="5E905091" w14:textId="77777777" w:rsidR="00F305C6" w:rsidRDefault="00F305C6" w:rsidP="00AE2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0BB47" w14:textId="77777777" w:rsidR="004D483E" w:rsidRDefault="004D4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999996"/>
      <w:docPartObj>
        <w:docPartGallery w:val="Page Numbers (Bottom of Page)"/>
        <w:docPartUnique/>
      </w:docPartObj>
    </w:sdtPr>
    <w:sdtEndPr>
      <w:rPr>
        <w:noProof/>
      </w:rPr>
    </w:sdtEndPr>
    <w:sdtContent>
      <w:p w14:paraId="00FC7E67" w14:textId="4F966EF2" w:rsidR="003B6D0F" w:rsidRDefault="003B6D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5EE185" w14:textId="77777777" w:rsidR="003B6D0F" w:rsidRDefault="003B6D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A08A4" w14:textId="77777777" w:rsidR="004D483E" w:rsidRDefault="004D4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0A746" w14:textId="77777777" w:rsidR="00F305C6" w:rsidRDefault="00F305C6" w:rsidP="00AE2C7E">
      <w:pPr>
        <w:spacing w:after="0" w:line="240" w:lineRule="auto"/>
      </w:pPr>
      <w:r>
        <w:separator/>
      </w:r>
    </w:p>
  </w:footnote>
  <w:footnote w:type="continuationSeparator" w:id="0">
    <w:p w14:paraId="48DF8346" w14:textId="77777777" w:rsidR="00F305C6" w:rsidRDefault="00F305C6" w:rsidP="00AE2C7E">
      <w:pPr>
        <w:spacing w:after="0" w:line="240" w:lineRule="auto"/>
      </w:pPr>
      <w:r>
        <w:continuationSeparator/>
      </w:r>
    </w:p>
  </w:footnote>
  <w:footnote w:id="1">
    <w:p w14:paraId="72EE708C" w14:textId="77777777" w:rsidR="003B6D0F" w:rsidRPr="003902B9" w:rsidRDefault="003B6D0F" w:rsidP="00AE2C7E">
      <w:pPr>
        <w:pStyle w:val="FootnoteText"/>
        <w:rPr>
          <w:sz w:val="16"/>
          <w:szCs w:val="16"/>
        </w:rPr>
      </w:pPr>
      <w:r>
        <w:rPr>
          <w:rStyle w:val="FootnoteReference"/>
        </w:rPr>
        <w:footnoteRef/>
      </w:r>
      <w:r>
        <w:t xml:space="preserve"> </w:t>
      </w:r>
      <w:r w:rsidRPr="003902B9">
        <w:rPr>
          <w:sz w:val="16"/>
          <w:szCs w:val="16"/>
        </w:rPr>
        <w:t>RCW 19.405.010(3) Findings - Intent</w:t>
      </w:r>
    </w:p>
  </w:footnote>
  <w:footnote w:id="2">
    <w:p w14:paraId="4060A66B" w14:textId="77777777" w:rsidR="003B6D0F" w:rsidRDefault="003B6D0F" w:rsidP="00AE2C7E">
      <w:pPr>
        <w:pStyle w:val="FootnoteText"/>
      </w:pPr>
      <w:r>
        <w:rPr>
          <w:rStyle w:val="FootnoteReference"/>
        </w:rPr>
        <w:footnoteRef/>
      </w:r>
      <w:r>
        <w:t xml:space="preserve"> </w:t>
      </w:r>
      <w:r w:rsidRPr="003902B9">
        <w:rPr>
          <w:sz w:val="16"/>
          <w:szCs w:val="16"/>
        </w:rPr>
        <w:t>RCW 19.405.020 (18)</w:t>
      </w:r>
    </w:p>
  </w:footnote>
  <w:footnote w:id="3">
    <w:p w14:paraId="17193925" w14:textId="3ACFBE1D" w:rsidR="003B6D0F" w:rsidRDefault="003B6D0F">
      <w:pPr>
        <w:pStyle w:val="FootnoteText"/>
      </w:pPr>
      <w:r>
        <w:rPr>
          <w:rStyle w:val="FootnoteReference"/>
        </w:rPr>
        <w:footnoteRef/>
      </w:r>
      <w:r>
        <w:t xml:space="preserve"> </w:t>
      </w:r>
      <w:r w:rsidRPr="00766CB8">
        <w:rPr>
          <w:sz w:val="16"/>
          <w:szCs w:val="16"/>
        </w:rPr>
        <w:t>RCW 19.405.040(1)(b)</w:t>
      </w:r>
    </w:p>
  </w:footnote>
  <w:footnote w:id="4">
    <w:p w14:paraId="4479D85F" w14:textId="5E236A20" w:rsidR="003B6D0F" w:rsidRDefault="003B6D0F">
      <w:pPr>
        <w:pStyle w:val="FootnoteText"/>
      </w:pPr>
      <w:r>
        <w:rPr>
          <w:rStyle w:val="FootnoteReference"/>
        </w:rPr>
        <w:footnoteRef/>
      </w:r>
      <w:r>
        <w:t xml:space="preserve"> RCW 19.405(1)</w:t>
      </w:r>
    </w:p>
  </w:footnote>
  <w:footnote w:id="5">
    <w:p w14:paraId="212D9569" w14:textId="770ED418" w:rsidR="003B6D0F" w:rsidRDefault="003B6D0F">
      <w:pPr>
        <w:pStyle w:val="FootnoteText"/>
      </w:pPr>
      <w:r>
        <w:rPr>
          <w:rStyle w:val="FootnoteReference"/>
        </w:rPr>
        <w:footnoteRef/>
      </w:r>
      <w:r>
        <w:t xml:space="preserve"> For instance, many RECs are originating in states such as Idaho, where renewable energy facilities are sold to utilities at an avoided cost rate under federal law (PURPA) which does not require RECs to be generated or retired for compliance. Those RECs are surplus, and only provide additional revenue to projects that are already built and operating, but they nonetheless meet the renewable energy compliance requirements of our state.</w:t>
      </w:r>
    </w:p>
  </w:footnote>
  <w:footnote w:id="6">
    <w:p w14:paraId="65FC32DA" w14:textId="12EACAFE" w:rsidR="003B6D0F" w:rsidRDefault="003B6D0F">
      <w:pPr>
        <w:pStyle w:val="FootnoteText"/>
      </w:pPr>
      <w:r>
        <w:rPr>
          <w:rStyle w:val="FootnoteReference"/>
        </w:rPr>
        <w:footnoteRef/>
      </w:r>
      <w:r>
        <w:t xml:space="preserve"> </w:t>
      </w:r>
      <w:r w:rsidRPr="00432FD7">
        <w:rPr>
          <w:sz w:val="16"/>
          <w:szCs w:val="16"/>
        </w:rPr>
        <w:t>(RCW 19.405.010(5))</w:t>
      </w:r>
    </w:p>
  </w:footnote>
  <w:footnote w:id="7">
    <w:p w14:paraId="046386BD" w14:textId="1861243B" w:rsidR="003B6D0F" w:rsidRPr="00410F6A" w:rsidRDefault="003B6D0F">
      <w:pPr>
        <w:pStyle w:val="FootnoteText"/>
        <w:rPr>
          <w:sz w:val="16"/>
          <w:szCs w:val="16"/>
        </w:rPr>
      </w:pPr>
      <w:r w:rsidRPr="00410F6A">
        <w:rPr>
          <w:rStyle w:val="FootnoteReference"/>
          <w:sz w:val="16"/>
          <w:szCs w:val="16"/>
        </w:rPr>
        <w:footnoteRef/>
      </w:r>
      <w:r w:rsidRPr="00410F6A">
        <w:rPr>
          <w:sz w:val="16"/>
          <w:szCs w:val="16"/>
        </w:rPr>
        <w:t xml:space="preserve"> RCW 19.405.040(2)</w:t>
      </w:r>
    </w:p>
  </w:footnote>
  <w:footnote w:id="8">
    <w:p w14:paraId="75FA31BF" w14:textId="102FE492" w:rsidR="0022218A" w:rsidRDefault="0022218A">
      <w:pPr>
        <w:pStyle w:val="FootnoteText"/>
      </w:pPr>
      <w:r>
        <w:rPr>
          <w:rStyle w:val="FootnoteReference"/>
        </w:rPr>
        <w:footnoteRef/>
      </w:r>
      <w:r>
        <w:t xml:space="preserve"> </w:t>
      </w:r>
      <w:r w:rsidRPr="00E41FD7">
        <w:rPr>
          <w:sz w:val="16"/>
          <w:szCs w:val="16"/>
        </w:rPr>
        <w:t xml:space="preserve">We note that, although </w:t>
      </w:r>
      <w:r w:rsidR="00E41FD7">
        <w:rPr>
          <w:sz w:val="16"/>
          <w:szCs w:val="16"/>
        </w:rPr>
        <w:t>“</w:t>
      </w:r>
      <w:r w:rsidRPr="00E41FD7">
        <w:rPr>
          <w:rFonts w:cstheme="minorHAnsi"/>
          <w:i/>
          <w:iCs/>
          <w:sz w:val="16"/>
          <w:szCs w:val="16"/>
        </w:rPr>
        <w:t>conversion</w:t>
      </w:r>
      <w:r w:rsidR="00E41FD7" w:rsidRPr="00E41FD7">
        <w:rPr>
          <w:rFonts w:cstheme="minorHAnsi"/>
          <w:i/>
          <w:iCs/>
          <w:sz w:val="16"/>
          <w:szCs w:val="16"/>
        </w:rPr>
        <w:t xml:space="preserve"> factors </w:t>
      </w:r>
      <w:r w:rsidR="00E41FD7" w:rsidRPr="00E41FD7">
        <w:rPr>
          <w:rFonts w:cstheme="minorHAnsi"/>
          <w:i/>
          <w:iCs/>
          <w:sz w:val="16"/>
          <w:szCs w:val="16"/>
        </w:rPr>
        <w:t>of emissions reduction</w:t>
      </w:r>
      <w:r w:rsidR="00E41FD7" w:rsidRPr="00E41FD7">
        <w:rPr>
          <w:rFonts w:eastAsia="Times New Roman" w:cstheme="minorHAnsi"/>
          <w:i/>
          <w:iCs/>
          <w:sz w:val="16"/>
          <w:szCs w:val="16"/>
        </w:rPr>
        <w:t xml:space="preserve"> resulting from energy transformation projects to megawatt-hours of electricity from </w:t>
      </w:r>
      <w:proofErr w:type="spellStart"/>
      <w:r w:rsidR="00E41FD7" w:rsidRPr="00E41FD7">
        <w:rPr>
          <w:rFonts w:eastAsia="Times New Roman" w:cstheme="minorHAnsi"/>
          <w:i/>
          <w:iCs/>
          <w:sz w:val="16"/>
          <w:szCs w:val="16"/>
        </w:rPr>
        <w:t>nonemitting</w:t>
      </w:r>
      <w:proofErr w:type="spellEnd"/>
      <w:r w:rsidR="00E41FD7" w:rsidRPr="00E41FD7">
        <w:rPr>
          <w:rFonts w:eastAsia="Times New Roman" w:cstheme="minorHAnsi"/>
          <w:i/>
          <w:iCs/>
          <w:sz w:val="16"/>
          <w:szCs w:val="16"/>
        </w:rPr>
        <w:t xml:space="preserve"> electric generation</w:t>
      </w:r>
      <w:r w:rsidR="00E41FD7">
        <w:rPr>
          <w:rFonts w:eastAsia="Times New Roman" w:cstheme="minorHAnsi"/>
          <w:i/>
          <w:iCs/>
          <w:sz w:val="16"/>
          <w:szCs w:val="16"/>
        </w:rPr>
        <w:t xml:space="preserve">” </w:t>
      </w:r>
      <w:r w:rsidR="00E41FD7">
        <w:rPr>
          <w:rFonts w:eastAsia="Times New Roman" w:cstheme="minorHAnsi"/>
          <w:sz w:val="16"/>
          <w:szCs w:val="16"/>
        </w:rPr>
        <w:t>are required of Ecology for ETPs</w:t>
      </w:r>
      <w:r w:rsidR="00EE03DB">
        <w:rPr>
          <w:rFonts w:eastAsia="Times New Roman" w:cstheme="minorHAnsi"/>
          <w:sz w:val="16"/>
          <w:szCs w:val="16"/>
        </w:rPr>
        <w:t>,</w:t>
      </w:r>
      <w:r w:rsidR="00E41FD7">
        <w:rPr>
          <w:rFonts w:eastAsia="Times New Roman" w:cstheme="minorHAnsi"/>
          <w:sz w:val="16"/>
          <w:szCs w:val="16"/>
        </w:rPr>
        <w:t xml:space="preserve"> and these rules are to be adopted by January 1, 2021, nowhere in these draft rules are MWhs or conversion factors to MWhs </w:t>
      </w:r>
      <w:r w:rsidR="00C82A19">
        <w:rPr>
          <w:rFonts w:eastAsia="Times New Roman" w:cstheme="minorHAnsi"/>
          <w:sz w:val="16"/>
          <w:szCs w:val="16"/>
        </w:rPr>
        <w:t xml:space="preserve">for ETPs </w:t>
      </w:r>
      <w:r w:rsidR="00E41FD7">
        <w:rPr>
          <w:rFonts w:eastAsia="Times New Roman" w:cstheme="minorHAnsi"/>
          <w:sz w:val="16"/>
          <w:szCs w:val="16"/>
        </w:rPr>
        <w:t>mentioned.</w:t>
      </w:r>
      <w:r w:rsidR="00E41FD7">
        <w:t xml:space="preserve"> </w:t>
      </w:r>
    </w:p>
  </w:footnote>
  <w:footnote w:id="9">
    <w:p w14:paraId="28DBB8B1" w14:textId="027B7C81" w:rsidR="003B6D0F" w:rsidRPr="00410F6A" w:rsidRDefault="003B6D0F">
      <w:pPr>
        <w:pStyle w:val="FootnoteText"/>
        <w:rPr>
          <w:sz w:val="16"/>
          <w:szCs w:val="16"/>
        </w:rPr>
      </w:pPr>
      <w:r w:rsidRPr="00410F6A">
        <w:rPr>
          <w:rStyle w:val="FootnoteReference"/>
          <w:sz w:val="16"/>
          <w:szCs w:val="16"/>
        </w:rPr>
        <w:footnoteRef/>
      </w:r>
      <w:r w:rsidRPr="00410F6A">
        <w:rPr>
          <w:sz w:val="16"/>
          <w:szCs w:val="16"/>
        </w:rPr>
        <w:t xml:space="preserve"> RCW 19.405.020(b)(ii)(C)</w:t>
      </w:r>
    </w:p>
  </w:footnote>
  <w:footnote w:id="10">
    <w:p w14:paraId="3E8767DB" w14:textId="3B7C3587" w:rsidR="003B6D0F" w:rsidRPr="00410F6A" w:rsidRDefault="003B6D0F">
      <w:pPr>
        <w:pStyle w:val="FootnoteText"/>
        <w:rPr>
          <w:sz w:val="16"/>
          <w:szCs w:val="16"/>
        </w:rPr>
      </w:pPr>
      <w:r w:rsidRPr="00410F6A">
        <w:rPr>
          <w:rStyle w:val="FootnoteReference"/>
          <w:sz w:val="16"/>
          <w:szCs w:val="16"/>
        </w:rPr>
        <w:footnoteRef/>
      </w:r>
      <w:r w:rsidRPr="00410F6A">
        <w:rPr>
          <w:sz w:val="16"/>
          <w:szCs w:val="16"/>
        </w:rPr>
        <w:t xml:space="preserve"> RCW 19.405.020(b)(ii)(B)</w:t>
      </w:r>
    </w:p>
  </w:footnote>
  <w:footnote w:id="11">
    <w:p w14:paraId="0B0F710E" w14:textId="74AEB9E5" w:rsidR="003B6D0F" w:rsidRPr="00410F6A" w:rsidRDefault="003B6D0F">
      <w:pPr>
        <w:pStyle w:val="FootnoteText"/>
        <w:rPr>
          <w:sz w:val="16"/>
          <w:szCs w:val="16"/>
        </w:rPr>
      </w:pPr>
      <w:r w:rsidRPr="00410F6A">
        <w:rPr>
          <w:rStyle w:val="FootnoteReference"/>
          <w:sz w:val="16"/>
          <w:szCs w:val="16"/>
        </w:rPr>
        <w:footnoteRef/>
      </w:r>
      <w:r w:rsidRPr="00410F6A">
        <w:rPr>
          <w:sz w:val="16"/>
          <w:szCs w:val="16"/>
        </w:rPr>
        <w:t xml:space="preserve"> RCW 19.405.020(b)(ii)(E) and (F)</w:t>
      </w:r>
    </w:p>
  </w:footnote>
  <w:footnote w:id="12">
    <w:p w14:paraId="02778BA0" w14:textId="1860794D" w:rsidR="003B6D0F" w:rsidRPr="00410F6A" w:rsidRDefault="003B6D0F">
      <w:pPr>
        <w:pStyle w:val="FootnoteText"/>
        <w:rPr>
          <w:sz w:val="16"/>
          <w:szCs w:val="16"/>
        </w:rPr>
      </w:pPr>
      <w:r w:rsidRPr="00410F6A">
        <w:rPr>
          <w:rStyle w:val="FootnoteReference"/>
          <w:sz w:val="16"/>
          <w:szCs w:val="16"/>
        </w:rPr>
        <w:footnoteRef/>
      </w:r>
      <w:r w:rsidRPr="00410F6A">
        <w:rPr>
          <w:sz w:val="16"/>
          <w:szCs w:val="16"/>
        </w:rPr>
        <w:t xml:space="preserve"> </w:t>
      </w:r>
      <w:r>
        <w:rPr>
          <w:sz w:val="16"/>
          <w:szCs w:val="16"/>
        </w:rPr>
        <w:t>S</w:t>
      </w:r>
      <w:r w:rsidRPr="00410F6A">
        <w:rPr>
          <w:sz w:val="16"/>
          <w:szCs w:val="16"/>
        </w:rPr>
        <w:t xml:space="preserve">team </w:t>
      </w:r>
      <w:r>
        <w:rPr>
          <w:sz w:val="16"/>
          <w:szCs w:val="16"/>
        </w:rPr>
        <w:t xml:space="preserve">methane </w:t>
      </w:r>
      <w:r w:rsidRPr="00410F6A">
        <w:rPr>
          <w:sz w:val="16"/>
          <w:szCs w:val="16"/>
        </w:rPr>
        <w:t>reformation</w:t>
      </w:r>
      <w:r>
        <w:rPr>
          <w:sz w:val="16"/>
          <w:szCs w:val="16"/>
        </w:rPr>
        <w:t xml:space="preserve"> (SMR)</w:t>
      </w:r>
      <w:r w:rsidRPr="00410F6A">
        <w:rPr>
          <w:sz w:val="16"/>
          <w:szCs w:val="16"/>
        </w:rPr>
        <w:t xml:space="preserve"> is currently the source of 98% of all hydrogen used in the US. Any renewable hydrogen produced and used in the US can be safely assumed, at least initially, to be replacing hydrogen produced from </w:t>
      </w:r>
      <w:r>
        <w:rPr>
          <w:sz w:val="16"/>
          <w:szCs w:val="16"/>
        </w:rPr>
        <w:t>SMR</w:t>
      </w:r>
      <w:r w:rsidRPr="00410F6A">
        <w:rPr>
          <w:sz w:val="16"/>
          <w:szCs w:val="16"/>
        </w:rPr>
        <w:t>, thus entirely avoiding the emissions from the production, distribution, and processing of that source methane.</w:t>
      </w:r>
    </w:p>
  </w:footnote>
  <w:footnote w:id="13">
    <w:p w14:paraId="4A5F31CD" w14:textId="0EDD5D31" w:rsidR="003B6D0F" w:rsidRDefault="003B6D0F">
      <w:pPr>
        <w:pStyle w:val="FootnoteText"/>
      </w:pPr>
      <w:r w:rsidRPr="00410F6A">
        <w:rPr>
          <w:rStyle w:val="FootnoteReference"/>
          <w:sz w:val="16"/>
          <w:szCs w:val="16"/>
        </w:rPr>
        <w:footnoteRef/>
      </w:r>
      <w:r w:rsidRPr="00410F6A">
        <w:rPr>
          <w:sz w:val="16"/>
          <w:szCs w:val="16"/>
        </w:rPr>
        <w:t xml:space="preserve"> RCW 19.405.020(b)(iv)</w:t>
      </w:r>
    </w:p>
  </w:footnote>
  <w:footnote w:id="14">
    <w:p w14:paraId="255117E2" w14:textId="3191C24F" w:rsidR="003B6D0F" w:rsidRPr="00057AAC" w:rsidRDefault="003B6D0F">
      <w:pPr>
        <w:pStyle w:val="FootnoteText"/>
        <w:rPr>
          <w:sz w:val="18"/>
          <w:szCs w:val="18"/>
        </w:rPr>
      </w:pPr>
      <w:r w:rsidRPr="00057AAC">
        <w:rPr>
          <w:rStyle w:val="FootnoteReference"/>
          <w:sz w:val="18"/>
          <w:szCs w:val="18"/>
        </w:rPr>
        <w:footnoteRef/>
      </w:r>
      <w:r w:rsidRPr="00057AAC">
        <w:rPr>
          <w:sz w:val="18"/>
          <w:szCs w:val="18"/>
        </w:rPr>
        <w:t xml:space="preserve"> Note that RCW 19.405.020(18)(a)(b)(ii)(E) includes operation: “Incentives to install </w:t>
      </w:r>
      <w:r w:rsidRPr="00057AAC">
        <w:rPr>
          <w:b/>
          <w:bCs/>
          <w:sz w:val="18"/>
          <w:szCs w:val="18"/>
          <w:u w:val="single"/>
        </w:rPr>
        <w:t>and operate</w:t>
      </w:r>
      <w:r w:rsidRPr="00057AAC">
        <w:rPr>
          <w:sz w:val="18"/>
          <w:szCs w:val="18"/>
        </w:rPr>
        <w:t xml:space="preserve"> equipment to produce and distribute renewable hydrogen</w:t>
      </w:r>
    </w:p>
  </w:footnote>
  <w:footnote w:id="15">
    <w:p w14:paraId="4BE28ABF" w14:textId="77777777" w:rsidR="00805841" w:rsidRPr="00410F6A" w:rsidRDefault="00805841" w:rsidP="00805841">
      <w:pPr>
        <w:pStyle w:val="FootnoteText"/>
        <w:rPr>
          <w:sz w:val="16"/>
          <w:szCs w:val="16"/>
        </w:rPr>
      </w:pPr>
      <w:r w:rsidRPr="00410F6A">
        <w:rPr>
          <w:rStyle w:val="FootnoteReference"/>
          <w:sz w:val="16"/>
          <w:szCs w:val="16"/>
        </w:rPr>
        <w:footnoteRef/>
      </w:r>
      <w:r w:rsidRPr="00410F6A">
        <w:rPr>
          <w:sz w:val="16"/>
          <w:szCs w:val="16"/>
        </w:rPr>
        <w:t xml:space="preserve"> </w:t>
      </w:r>
      <w:r>
        <w:rPr>
          <w:sz w:val="16"/>
          <w:szCs w:val="16"/>
        </w:rPr>
        <w:t>S</w:t>
      </w:r>
      <w:r w:rsidRPr="00410F6A">
        <w:rPr>
          <w:sz w:val="16"/>
          <w:szCs w:val="16"/>
        </w:rPr>
        <w:t xml:space="preserve">team </w:t>
      </w:r>
      <w:r>
        <w:rPr>
          <w:sz w:val="16"/>
          <w:szCs w:val="16"/>
        </w:rPr>
        <w:t xml:space="preserve">methane </w:t>
      </w:r>
      <w:r w:rsidRPr="00410F6A">
        <w:rPr>
          <w:sz w:val="16"/>
          <w:szCs w:val="16"/>
        </w:rPr>
        <w:t>reformation</w:t>
      </w:r>
      <w:r>
        <w:rPr>
          <w:sz w:val="16"/>
          <w:szCs w:val="16"/>
        </w:rPr>
        <w:t xml:space="preserve"> (SMR)</w:t>
      </w:r>
      <w:r w:rsidRPr="00410F6A">
        <w:rPr>
          <w:sz w:val="16"/>
          <w:szCs w:val="16"/>
        </w:rPr>
        <w:t xml:space="preserve"> is currently the source of 98% of all hydrogen used in the US. Any renewable hydrogen produced and used in the US can be safely assumed , at least initially, to be replacing hydrogen produced from </w:t>
      </w:r>
      <w:r>
        <w:rPr>
          <w:sz w:val="16"/>
          <w:szCs w:val="16"/>
        </w:rPr>
        <w:t>SMR</w:t>
      </w:r>
      <w:r w:rsidRPr="00410F6A">
        <w:rPr>
          <w:sz w:val="16"/>
          <w:szCs w:val="16"/>
        </w:rPr>
        <w:t>, thus entirely avoiding the emissions from the production, distribution, and processing of that source methane.</w:t>
      </w:r>
    </w:p>
  </w:footnote>
  <w:footnote w:id="16">
    <w:p w14:paraId="6C723B64" w14:textId="7807AE34" w:rsidR="00700B55" w:rsidRDefault="00700B55">
      <w:pPr>
        <w:pStyle w:val="FootnoteText"/>
      </w:pPr>
      <w:r>
        <w:rPr>
          <w:rStyle w:val="FootnoteReference"/>
        </w:rPr>
        <w:footnoteRef/>
      </w:r>
      <w:r>
        <w:t xml:space="preserve"> Draft WAC 173-444-070(3)(f)</w:t>
      </w:r>
    </w:p>
  </w:footnote>
  <w:footnote w:id="17">
    <w:p w14:paraId="5400ADEC" w14:textId="6D430756" w:rsidR="00057AAC" w:rsidRPr="00057AAC" w:rsidRDefault="00057AAC">
      <w:pPr>
        <w:pStyle w:val="FootnoteText"/>
        <w:rPr>
          <w:sz w:val="18"/>
          <w:szCs w:val="18"/>
        </w:rPr>
      </w:pPr>
      <w:r w:rsidRPr="00057AAC">
        <w:rPr>
          <w:rStyle w:val="FootnoteReference"/>
          <w:sz w:val="18"/>
          <w:szCs w:val="18"/>
        </w:rPr>
        <w:footnoteRef/>
      </w:r>
      <w:r w:rsidRPr="00057AAC">
        <w:rPr>
          <w:sz w:val="18"/>
          <w:szCs w:val="18"/>
        </w:rPr>
        <w:t xml:space="preserve"> RCW 19.405.010(5)</w:t>
      </w:r>
    </w:p>
  </w:footnote>
  <w:footnote w:id="18">
    <w:p w14:paraId="09FF7C5B" w14:textId="4D9A8AC6" w:rsidR="004D50AA" w:rsidRPr="00057AAC" w:rsidRDefault="004D50AA">
      <w:pPr>
        <w:pStyle w:val="FootnoteText"/>
        <w:rPr>
          <w:sz w:val="18"/>
          <w:szCs w:val="18"/>
        </w:rPr>
      </w:pPr>
      <w:r w:rsidRPr="00057AAC">
        <w:rPr>
          <w:rStyle w:val="FootnoteReference"/>
          <w:sz w:val="18"/>
          <w:szCs w:val="18"/>
        </w:rPr>
        <w:footnoteRef/>
      </w:r>
      <w:r w:rsidRPr="00057AAC">
        <w:rPr>
          <w:sz w:val="18"/>
          <w:szCs w:val="18"/>
        </w:rPr>
        <w:t xml:space="preserve"> </w:t>
      </w:r>
      <w:bookmarkStart w:id="2" w:name="_Hlk41130578"/>
      <w:r w:rsidRPr="00057AAC">
        <w:rPr>
          <w:sz w:val="18"/>
          <w:szCs w:val="18"/>
        </w:rPr>
        <w:t>WAC 173-444-080(3)</w:t>
      </w:r>
      <w:bookmarkEnd w:id="2"/>
    </w:p>
  </w:footnote>
  <w:footnote w:id="19">
    <w:p w14:paraId="688A4B01" w14:textId="4CE8D4A2" w:rsidR="00253381" w:rsidRDefault="00253381">
      <w:pPr>
        <w:pStyle w:val="FootnoteText"/>
      </w:pPr>
      <w:r w:rsidRPr="00057AAC">
        <w:rPr>
          <w:rStyle w:val="FootnoteReference"/>
          <w:sz w:val="18"/>
          <w:szCs w:val="18"/>
        </w:rPr>
        <w:footnoteRef/>
      </w:r>
      <w:r w:rsidRPr="00057AAC">
        <w:rPr>
          <w:sz w:val="18"/>
          <w:szCs w:val="18"/>
        </w:rPr>
        <w:t xml:space="preserve"> </w:t>
      </w:r>
      <w:r w:rsidRPr="00057AAC">
        <w:rPr>
          <w:sz w:val="18"/>
          <w:szCs w:val="18"/>
        </w:rPr>
        <w:t>WAC 173-444-080(</w:t>
      </w:r>
      <w:r w:rsidRPr="00057AAC">
        <w:rPr>
          <w:sz w:val="18"/>
          <w:szCs w:val="18"/>
        </w:rPr>
        <w:t>16</w:t>
      </w:r>
      <w:r w:rsidRPr="00057AAC">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82F70" w14:textId="77777777" w:rsidR="004D483E" w:rsidRDefault="004D4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6BD38" w14:textId="53D374F7" w:rsidR="004D483E" w:rsidRDefault="004D48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128E6" w14:textId="77777777" w:rsidR="004D483E" w:rsidRDefault="004D4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286A"/>
    <w:multiLevelType w:val="hybridMultilevel"/>
    <w:tmpl w:val="FFA63E46"/>
    <w:lvl w:ilvl="0" w:tplc="4970B27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25D806BF"/>
    <w:multiLevelType w:val="hybridMultilevel"/>
    <w:tmpl w:val="61C2AA0E"/>
    <w:lvl w:ilvl="0" w:tplc="D1A2F44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011FC3"/>
    <w:multiLevelType w:val="hybridMultilevel"/>
    <w:tmpl w:val="B950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81F43"/>
    <w:multiLevelType w:val="hybridMultilevel"/>
    <w:tmpl w:val="E6366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2A"/>
    <w:rsid w:val="00057AAC"/>
    <w:rsid w:val="000C4F47"/>
    <w:rsid w:val="000F5E94"/>
    <w:rsid w:val="00197063"/>
    <w:rsid w:val="001A11DA"/>
    <w:rsid w:val="001C1208"/>
    <w:rsid w:val="001C6D19"/>
    <w:rsid w:val="001F39E7"/>
    <w:rsid w:val="0022218A"/>
    <w:rsid w:val="00253381"/>
    <w:rsid w:val="00280AAF"/>
    <w:rsid w:val="002F671A"/>
    <w:rsid w:val="00370F00"/>
    <w:rsid w:val="00371BBD"/>
    <w:rsid w:val="003B6D0F"/>
    <w:rsid w:val="00410F6A"/>
    <w:rsid w:val="00432FD7"/>
    <w:rsid w:val="00454654"/>
    <w:rsid w:val="00463DC5"/>
    <w:rsid w:val="004B775F"/>
    <w:rsid w:val="004C2457"/>
    <w:rsid w:val="004D12A9"/>
    <w:rsid w:val="004D287E"/>
    <w:rsid w:val="004D483E"/>
    <w:rsid w:val="004D50AA"/>
    <w:rsid w:val="005150C9"/>
    <w:rsid w:val="00535C07"/>
    <w:rsid w:val="00566A3A"/>
    <w:rsid w:val="00570252"/>
    <w:rsid w:val="005B7286"/>
    <w:rsid w:val="005C5E19"/>
    <w:rsid w:val="005D2076"/>
    <w:rsid w:val="005D4B3B"/>
    <w:rsid w:val="00700B55"/>
    <w:rsid w:val="007041D1"/>
    <w:rsid w:val="00756B5D"/>
    <w:rsid w:val="00766CB8"/>
    <w:rsid w:val="007B553A"/>
    <w:rsid w:val="007D4E89"/>
    <w:rsid w:val="007F3B2A"/>
    <w:rsid w:val="00805841"/>
    <w:rsid w:val="00805D31"/>
    <w:rsid w:val="008220B0"/>
    <w:rsid w:val="00901E21"/>
    <w:rsid w:val="00913718"/>
    <w:rsid w:val="00934A80"/>
    <w:rsid w:val="00967536"/>
    <w:rsid w:val="00A05C1D"/>
    <w:rsid w:val="00A06022"/>
    <w:rsid w:val="00A550C5"/>
    <w:rsid w:val="00AE2C7E"/>
    <w:rsid w:val="00AF7AB2"/>
    <w:rsid w:val="00B111A3"/>
    <w:rsid w:val="00B35C4C"/>
    <w:rsid w:val="00B36E54"/>
    <w:rsid w:val="00C12BF2"/>
    <w:rsid w:val="00C23463"/>
    <w:rsid w:val="00C82A19"/>
    <w:rsid w:val="00CA1C66"/>
    <w:rsid w:val="00D87F07"/>
    <w:rsid w:val="00DA66A1"/>
    <w:rsid w:val="00DD78CA"/>
    <w:rsid w:val="00E33940"/>
    <w:rsid w:val="00E41FD7"/>
    <w:rsid w:val="00EE03DB"/>
    <w:rsid w:val="00F14195"/>
    <w:rsid w:val="00F305C6"/>
    <w:rsid w:val="00F516C3"/>
    <w:rsid w:val="00F62593"/>
    <w:rsid w:val="00FE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17BE0"/>
  <w15:chartTrackingRefBased/>
  <w15:docId w15:val="{5B0D80AF-45BE-4E25-A545-6FC37967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C66"/>
  </w:style>
  <w:style w:type="paragraph" w:styleId="Footer">
    <w:name w:val="footer"/>
    <w:basedOn w:val="Normal"/>
    <w:link w:val="FooterChar"/>
    <w:uiPriority w:val="99"/>
    <w:unhideWhenUsed/>
    <w:rsid w:val="00CA1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C66"/>
  </w:style>
  <w:style w:type="paragraph" w:styleId="FootnoteText">
    <w:name w:val="footnote text"/>
    <w:basedOn w:val="Normal"/>
    <w:link w:val="FootnoteTextChar"/>
    <w:uiPriority w:val="99"/>
    <w:semiHidden/>
    <w:unhideWhenUsed/>
    <w:rsid w:val="00AE2C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2C7E"/>
    <w:rPr>
      <w:sz w:val="20"/>
      <w:szCs w:val="20"/>
    </w:rPr>
  </w:style>
  <w:style w:type="character" w:styleId="FootnoteReference">
    <w:name w:val="footnote reference"/>
    <w:basedOn w:val="DefaultParagraphFont"/>
    <w:uiPriority w:val="99"/>
    <w:semiHidden/>
    <w:unhideWhenUsed/>
    <w:rsid w:val="00AE2C7E"/>
    <w:rPr>
      <w:vertAlign w:val="superscript"/>
    </w:rPr>
  </w:style>
  <w:style w:type="paragraph" w:styleId="ListParagraph">
    <w:name w:val="List Paragraph"/>
    <w:basedOn w:val="Normal"/>
    <w:uiPriority w:val="34"/>
    <w:qFormat/>
    <w:rsid w:val="00766CB8"/>
    <w:pPr>
      <w:ind w:left="720"/>
      <w:contextualSpacing/>
    </w:pPr>
  </w:style>
  <w:style w:type="paragraph" w:styleId="E-mailSignature">
    <w:name w:val="E-mail Signature"/>
    <w:basedOn w:val="Normal"/>
    <w:link w:val="E-mailSignatureChar"/>
    <w:uiPriority w:val="99"/>
    <w:semiHidden/>
    <w:unhideWhenUsed/>
    <w:rsid w:val="00EE03DB"/>
    <w:pPr>
      <w:spacing w:after="0" w:line="240" w:lineRule="auto"/>
    </w:pPr>
    <w:rPr>
      <w:rFonts w:eastAsiaTheme="minorEastAsia"/>
    </w:rPr>
  </w:style>
  <w:style w:type="character" w:customStyle="1" w:styleId="E-mailSignatureChar">
    <w:name w:val="E-mail Signature Char"/>
    <w:basedOn w:val="DefaultParagraphFont"/>
    <w:link w:val="E-mailSignature"/>
    <w:uiPriority w:val="99"/>
    <w:semiHidden/>
    <w:rsid w:val="00EE03D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30B0C-8F8E-412E-A608-B001279C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Warren</dc:creator>
  <cp:keywords/>
  <dc:description/>
  <cp:lastModifiedBy>Dave Warren</cp:lastModifiedBy>
  <cp:revision>2</cp:revision>
  <dcterms:created xsi:type="dcterms:W3CDTF">2020-05-26T05:44:00Z</dcterms:created>
  <dcterms:modified xsi:type="dcterms:W3CDTF">2020-05-26T05:44:00Z</dcterms:modified>
</cp:coreProperties>
</file>