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CB6B" w14:textId="77777777" w:rsidR="00326695" w:rsidRDefault="003266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8991"/>
        <w:gridCol w:w="899"/>
      </w:tblGrid>
      <w:tr w:rsidR="00326695" w14:paraId="7C38B52F" w14:textId="77777777">
        <w:trPr>
          <w:trHeight w:val="2160"/>
        </w:trPr>
        <w:tc>
          <w:tcPr>
            <w:tcW w:w="900" w:type="dxa"/>
          </w:tcPr>
          <w:p w14:paraId="5B048097" w14:textId="77777777" w:rsidR="00326695" w:rsidRDefault="00326695"/>
        </w:tc>
        <w:tc>
          <w:tcPr>
            <w:tcW w:w="8991" w:type="dxa"/>
          </w:tcPr>
          <w:p w14:paraId="56C60DF3" w14:textId="77777777" w:rsidR="00326695" w:rsidRDefault="00780108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Johnson</w:t>
            </w:r>
          </w:p>
          <w:p w14:paraId="07120F1A" w14:textId="77777777" w:rsidR="00326695" w:rsidRDefault="00780108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Communications and E-Learning Architect</w:t>
            </w:r>
          </w:p>
        </w:tc>
        <w:tc>
          <w:tcPr>
            <w:tcW w:w="899" w:type="dxa"/>
          </w:tcPr>
          <w:p w14:paraId="5ADA1A88" w14:textId="77777777" w:rsidR="00326695" w:rsidRDefault="00326695"/>
        </w:tc>
      </w:tr>
    </w:tbl>
    <w:p w14:paraId="268BCDDA" w14:textId="77777777" w:rsidR="00326695" w:rsidRDefault="00326695">
      <w:pPr>
        <w:rPr>
          <w:sz w:val="8"/>
          <w:szCs w:val="8"/>
        </w:rPr>
      </w:pPr>
    </w:p>
    <w:tbl>
      <w:tblPr>
        <w:tblStyle w:val="a0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1"/>
        <w:gridCol w:w="7189"/>
      </w:tblGrid>
      <w:tr w:rsidR="00326695" w14:paraId="4647453F" w14:textId="77777777">
        <w:tc>
          <w:tcPr>
            <w:tcW w:w="3601" w:type="dxa"/>
            <w:tcBorders>
              <w:top w:val="single" w:sz="18" w:space="0" w:color="648276"/>
              <w:right w:val="single" w:sz="18" w:space="0" w:color="648276"/>
            </w:tcBorders>
          </w:tcPr>
          <w:p w14:paraId="5C64EEBF" w14:textId="77777777" w:rsidR="00326695" w:rsidRDefault="00326695"/>
        </w:tc>
        <w:tc>
          <w:tcPr>
            <w:tcW w:w="7189" w:type="dxa"/>
            <w:tcBorders>
              <w:top w:val="single" w:sz="18" w:space="0" w:color="648276"/>
              <w:left w:val="single" w:sz="18" w:space="0" w:color="648276"/>
            </w:tcBorders>
          </w:tcPr>
          <w:p w14:paraId="27280B53" w14:textId="77777777" w:rsidR="00326695" w:rsidRDefault="00326695"/>
        </w:tc>
      </w:tr>
      <w:tr w:rsidR="00326695" w14:paraId="269F1A47" w14:textId="77777777">
        <w:trPr>
          <w:trHeight w:val="2057"/>
        </w:trPr>
        <w:tc>
          <w:tcPr>
            <w:tcW w:w="3601" w:type="dxa"/>
            <w:tcBorders>
              <w:right w:val="single" w:sz="18" w:space="0" w:color="648276"/>
            </w:tcBorders>
          </w:tcPr>
          <w:p w14:paraId="3738506A" w14:textId="77777777" w:rsidR="00326695" w:rsidRDefault="00780108">
            <w:pPr>
              <w:pStyle w:val="Heading1"/>
            </w:pPr>
            <w:r>
              <w:t>Contact</w:t>
            </w:r>
          </w:p>
          <w:p w14:paraId="0671B3C6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14514 15th Park W - Unit B</w:t>
            </w:r>
            <w:r>
              <w:rPr>
                <w:color w:val="404040"/>
                <w:sz w:val="22"/>
                <w:szCs w:val="22"/>
              </w:rPr>
              <w:t xml:space="preserve">, </w:t>
            </w:r>
            <w:r>
              <w:rPr>
                <w:color w:val="404040"/>
                <w:sz w:val="22"/>
                <w:szCs w:val="22"/>
              </w:rPr>
              <w:t>Lynnwood</w:t>
            </w:r>
            <w:r>
              <w:rPr>
                <w:color w:val="404040"/>
                <w:sz w:val="22"/>
                <w:szCs w:val="22"/>
              </w:rPr>
              <w:t>, WA 980</w:t>
            </w:r>
            <w:r>
              <w:rPr>
                <w:color w:val="404040"/>
                <w:sz w:val="22"/>
                <w:szCs w:val="22"/>
              </w:rPr>
              <w:t>87</w:t>
            </w:r>
            <w:r>
              <w:rPr>
                <w:color w:val="404040"/>
                <w:sz w:val="22"/>
                <w:szCs w:val="22"/>
              </w:rPr>
              <w:t>-</w:t>
            </w:r>
            <w:r>
              <w:rPr>
                <w:color w:val="404040"/>
                <w:sz w:val="22"/>
                <w:szCs w:val="22"/>
              </w:rPr>
              <w:t>6260</w:t>
            </w:r>
          </w:p>
          <w:p w14:paraId="530A6E6C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(</w:t>
            </w:r>
            <w:r>
              <w:rPr>
                <w:color w:val="404040"/>
                <w:sz w:val="22"/>
                <w:szCs w:val="22"/>
              </w:rPr>
              <w:t>425</w:t>
            </w:r>
            <w:r>
              <w:rPr>
                <w:color w:val="404040"/>
                <w:sz w:val="22"/>
                <w:szCs w:val="22"/>
              </w:rPr>
              <w:t xml:space="preserve">) </w:t>
            </w:r>
            <w:r>
              <w:rPr>
                <w:color w:val="404040"/>
                <w:sz w:val="22"/>
                <w:szCs w:val="22"/>
              </w:rPr>
              <w:t>780</w:t>
            </w:r>
            <w:r>
              <w:rPr>
                <w:color w:val="404040"/>
                <w:sz w:val="22"/>
                <w:szCs w:val="22"/>
              </w:rPr>
              <w:t>-6</w:t>
            </w:r>
            <w:r>
              <w:rPr>
                <w:color w:val="404040"/>
                <w:sz w:val="22"/>
                <w:szCs w:val="22"/>
              </w:rPr>
              <w:t>872</w:t>
            </w:r>
          </w:p>
          <w:p w14:paraId="523B079D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suppport</w:t>
            </w:r>
            <w:r>
              <w:rPr>
                <w:color w:val="404040"/>
                <w:sz w:val="22"/>
                <w:szCs w:val="22"/>
              </w:rPr>
              <w:t>@</w:t>
            </w:r>
            <w:r>
              <w:rPr>
                <w:color w:val="404040"/>
                <w:sz w:val="22"/>
                <w:szCs w:val="22"/>
              </w:rPr>
              <w:t>newworldcom.com</w:t>
            </w:r>
          </w:p>
          <w:p w14:paraId="3D9FFED5" w14:textId="77777777" w:rsidR="00326695" w:rsidRDefault="0032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</w:p>
        </w:tc>
        <w:tc>
          <w:tcPr>
            <w:tcW w:w="7189" w:type="dxa"/>
            <w:tcBorders>
              <w:left w:val="single" w:sz="18" w:space="0" w:color="648276"/>
              <w:bottom w:val="single" w:sz="8" w:space="0" w:color="648276"/>
            </w:tcBorders>
          </w:tcPr>
          <w:p w14:paraId="3E000154" w14:textId="77777777" w:rsidR="00326695" w:rsidRDefault="00780108">
            <w:pPr>
              <w:pStyle w:val="Heading2"/>
            </w:pPr>
            <w:r>
              <w:t>Objective</w:t>
            </w:r>
          </w:p>
          <w:p w14:paraId="213FC617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 xml:space="preserve">To </w:t>
            </w:r>
            <w:r>
              <w:rPr>
                <w:color w:val="404040"/>
                <w:sz w:val="22"/>
                <w:szCs w:val="22"/>
              </w:rPr>
              <w:t>provide intelligent communications for our 21st century world and deliver the timely and mission-critical learning our new world needs</w:t>
            </w:r>
          </w:p>
        </w:tc>
      </w:tr>
      <w:tr w:rsidR="00326695" w14:paraId="701D4DA7" w14:textId="77777777">
        <w:trPr>
          <w:trHeight w:val="700"/>
        </w:trPr>
        <w:tc>
          <w:tcPr>
            <w:tcW w:w="3601" w:type="dxa"/>
            <w:tcBorders>
              <w:right w:val="single" w:sz="18" w:space="0" w:color="648276"/>
            </w:tcBorders>
          </w:tcPr>
          <w:p w14:paraId="40BFD8EE" w14:textId="77777777" w:rsidR="00326695" w:rsidRDefault="00780108">
            <w:pPr>
              <w:pStyle w:val="Heading1"/>
            </w:pPr>
            <w:r>
              <w:t>Education</w:t>
            </w:r>
          </w:p>
          <w:p w14:paraId="1AF1F2B6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 xml:space="preserve">University of California Santa Barbara and </w:t>
            </w:r>
            <w:r>
              <w:rPr>
                <w:color w:val="404040"/>
                <w:sz w:val="22"/>
                <w:szCs w:val="22"/>
              </w:rPr>
              <w:t xml:space="preserve"> </w:t>
            </w:r>
          </w:p>
          <w:p w14:paraId="4EF8F833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Berkeley</w:t>
            </w:r>
          </w:p>
          <w:p w14:paraId="40568C54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BA, 1964 - 1968</w:t>
            </w:r>
            <w:r>
              <w:rPr>
                <w:color w:val="404040"/>
                <w:sz w:val="22"/>
                <w:szCs w:val="22"/>
              </w:rPr>
              <w:br/>
            </w:r>
            <w:r>
              <w:rPr>
                <w:color w:val="404040"/>
                <w:sz w:val="22"/>
                <w:szCs w:val="22"/>
              </w:rPr>
              <w:t>Letters &amp; Science, Political Science Major</w:t>
            </w:r>
          </w:p>
          <w:p w14:paraId="53523726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MA, 1968 - 1969</w:t>
            </w:r>
          </w:p>
          <w:p w14:paraId="141A9555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Political Science</w:t>
            </w:r>
          </w:p>
        </w:tc>
        <w:tc>
          <w:tcPr>
            <w:tcW w:w="7189" w:type="dxa"/>
            <w:tcBorders>
              <w:left w:val="single" w:sz="18" w:space="0" w:color="648276"/>
              <w:bottom w:val="single" w:sz="8" w:space="0" w:color="648276"/>
            </w:tcBorders>
          </w:tcPr>
          <w:p w14:paraId="5ADFA044" w14:textId="77777777" w:rsidR="00326695" w:rsidRDefault="00780108">
            <w:pPr>
              <w:pStyle w:val="Heading2"/>
            </w:pPr>
            <w:r>
              <w:t>Experience</w:t>
            </w:r>
          </w:p>
          <w:p w14:paraId="501427FE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  <w:szCs w:val="20"/>
              </w:rPr>
              <w:t>1997</w:t>
            </w:r>
            <w:r>
              <w:rPr>
                <w:i/>
                <w:color w:val="404040"/>
                <w:sz w:val="20"/>
                <w:szCs w:val="20"/>
              </w:rPr>
              <w:t xml:space="preserve"> to Present</w:t>
            </w:r>
          </w:p>
          <w:p w14:paraId="304F2C91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Sr. Instructional Designer / Chief Learning Officer / CEO</w:t>
            </w:r>
            <w:r>
              <w:rPr>
                <w:color w:val="404040"/>
                <w:sz w:val="22"/>
                <w:szCs w:val="22"/>
              </w:rPr>
              <w:br/>
            </w:r>
            <w:r>
              <w:rPr>
                <w:color w:val="404040"/>
                <w:sz w:val="22"/>
                <w:szCs w:val="22"/>
              </w:rPr>
              <w:t xml:space="preserve">Global Learning Project Management • </w:t>
            </w:r>
            <w:r>
              <w:rPr>
                <w:color w:val="404040"/>
                <w:sz w:val="22"/>
                <w:szCs w:val="22"/>
              </w:rPr>
              <w:t>New World Communications</w:t>
            </w:r>
            <w:r>
              <w:rPr>
                <w:color w:val="404040"/>
                <w:sz w:val="22"/>
                <w:szCs w:val="22"/>
              </w:rPr>
              <w:br/>
            </w: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>https://www.newworldcom.com</w:t>
              </w:r>
            </w:hyperlink>
          </w:p>
          <w:p w14:paraId="686D82BA" w14:textId="77777777" w:rsidR="00326695" w:rsidRDefault="0032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1"/>
                <w:szCs w:val="21"/>
              </w:rPr>
            </w:pPr>
          </w:p>
          <w:p w14:paraId="4C3D016C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  <w:szCs w:val="20"/>
              </w:rPr>
              <w:t>1992</w:t>
            </w:r>
            <w:r>
              <w:rPr>
                <w:i/>
                <w:color w:val="404040"/>
                <w:sz w:val="20"/>
                <w:szCs w:val="20"/>
              </w:rPr>
              <w:t xml:space="preserve"> to </w:t>
            </w:r>
            <w:r>
              <w:rPr>
                <w:i/>
                <w:color w:val="404040"/>
                <w:sz w:val="20"/>
                <w:szCs w:val="20"/>
              </w:rPr>
              <w:t>1997</w:t>
            </w:r>
          </w:p>
          <w:p w14:paraId="5B6C5CA2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 xml:space="preserve">Learning Services  Project Manager </w:t>
            </w:r>
            <w:r>
              <w:rPr>
                <w:color w:val="404040"/>
                <w:sz w:val="22"/>
                <w:szCs w:val="22"/>
              </w:rPr>
              <w:t xml:space="preserve">• </w:t>
            </w:r>
            <w:r>
              <w:rPr>
                <w:color w:val="404040"/>
                <w:sz w:val="22"/>
                <w:szCs w:val="22"/>
              </w:rPr>
              <w:t>KCTS Learning Services Cooperative  •  KCTS Public Television, Seattle a PBS Member Station</w:t>
            </w:r>
            <w:r>
              <w:rPr>
                <w:color w:val="404040"/>
                <w:sz w:val="22"/>
                <w:szCs w:val="22"/>
              </w:rPr>
              <w:br/>
            </w:r>
          </w:p>
          <w:p w14:paraId="672A88DE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1"/>
                <w:szCs w:val="21"/>
              </w:rPr>
            </w:pPr>
            <w:r>
              <w:rPr>
                <w:color w:val="404040"/>
                <w:sz w:val="22"/>
                <w:szCs w:val="22"/>
              </w:rPr>
              <w:t xml:space="preserve">Outreached and supported educators, parents, and administrators in over 100 Washington State K-12 public schools, private schools, and homeschooling groups with a </w:t>
            </w:r>
            <w:r>
              <w:rPr>
                <w:color w:val="404040"/>
                <w:sz w:val="22"/>
                <w:szCs w:val="22"/>
              </w:rPr>
              <w:t xml:space="preserve">robust comprehensive instructional television distance-learning curriculum that included financial education curricula and teacher guides. Art began aligning curriculum with </w:t>
            </w:r>
            <w:proofErr w:type="gramStart"/>
            <w:r>
              <w:rPr>
                <w:color w:val="404040"/>
                <w:sz w:val="22"/>
                <w:szCs w:val="22"/>
              </w:rPr>
              <w:t>newly-emergent</w:t>
            </w:r>
            <w:proofErr w:type="gramEnd"/>
            <w:r>
              <w:rPr>
                <w:color w:val="404040"/>
                <w:sz w:val="22"/>
                <w:szCs w:val="22"/>
              </w:rPr>
              <w:t xml:space="preserve"> statewide educational reform policy initiatives coming out of OSPI </w:t>
            </w:r>
            <w:r>
              <w:rPr>
                <w:color w:val="404040"/>
                <w:sz w:val="22"/>
                <w:szCs w:val="22"/>
              </w:rPr>
              <w:t>as they continued to morph.</w:t>
            </w:r>
            <w:r>
              <w:rPr>
                <w:color w:val="404040"/>
                <w:sz w:val="22"/>
                <w:szCs w:val="22"/>
              </w:rPr>
              <w:br/>
            </w:r>
            <w:r>
              <w:rPr>
                <w:color w:val="404040"/>
                <w:sz w:val="22"/>
                <w:szCs w:val="22"/>
              </w:rPr>
              <w:br/>
              <w:t xml:space="preserve">Responding to new market demands and a whole new world of broadband Internet/Web and mobile communications and learning technologies,  Art took the initiative to teach himself digital media and HTML. He then developed an early </w:t>
            </w:r>
            <w:r>
              <w:rPr>
                <w:color w:val="404040"/>
                <w:sz w:val="22"/>
                <w:szCs w:val="22"/>
              </w:rPr>
              <w:t xml:space="preserve">prototype for a web-based virtual classroom. This experience inspired him to leave KCTS to </w:t>
            </w:r>
            <w:proofErr w:type="gramStart"/>
            <w:r>
              <w:rPr>
                <w:color w:val="404040"/>
                <w:sz w:val="22"/>
                <w:szCs w:val="22"/>
              </w:rPr>
              <w:t>found</w:t>
            </w:r>
            <w:proofErr w:type="gramEnd"/>
            <w:r>
              <w:rPr>
                <w:color w:val="404040"/>
                <w:sz w:val="22"/>
                <w:szCs w:val="22"/>
              </w:rPr>
              <w:t>, launch, and develop, New World Communications his own global communications and learning consultancy and virtual enterprise.</w:t>
            </w:r>
            <w:r>
              <w:rPr>
                <w:color w:val="404040"/>
                <w:sz w:val="22"/>
                <w:szCs w:val="22"/>
              </w:rPr>
              <w:br/>
            </w:r>
            <w:r>
              <w:rPr>
                <w:color w:val="404040"/>
                <w:sz w:val="22"/>
                <w:szCs w:val="22"/>
              </w:rPr>
              <w:br/>
              <w:t>Art also served as Technology Ma</w:t>
            </w:r>
            <w:r>
              <w:rPr>
                <w:color w:val="404040"/>
                <w:sz w:val="22"/>
                <w:szCs w:val="22"/>
              </w:rPr>
              <w:t xml:space="preserve">nager, at First Place School, a Seattle inner-city K-6 private school and nonprofit serving youth and </w:t>
            </w:r>
            <w:r>
              <w:rPr>
                <w:color w:val="404040"/>
                <w:sz w:val="22"/>
                <w:szCs w:val="22"/>
              </w:rPr>
              <w:lastRenderedPageBreak/>
              <w:t>their families transitioning out of homelessness and poverty. He supported OSPI’s historic Washington State-wide “Building Bridges Project” focusing on dr</w:t>
            </w:r>
            <w:r>
              <w:rPr>
                <w:color w:val="404040"/>
                <w:sz w:val="22"/>
                <w:szCs w:val="22"/>
              </w:rPr>
              <w:t>opout prevention, intervention, and re-engagement led by Dr. Doreen Cato, Ph.D., Executive Director at First Place School, and Dr. Maxine Mimms, Executive Director of Tacoma’s Maxine Mimms Academy, a founder of the inner-city Hilltop campus of Evergreen St</w:t>
            </w:r>
            <w:r>
              <w:rPr>
                <w:color w:val="404040"/>
                <w:sz w:val="22"/>
                <w:szCs w:val="22"/>
              </w:rPr>
              <w:t xml:space="preserve">ate College. Project partners also included Tulalip Elementary on the Tulalip Reservation.  as well as a rural Eastern Washington partner serving re-entry students getting their GEDs, and the next phases of their lives together.  </w:t>
            </w:r>
            <w:r>
              <w:rPr>
                <w:color w:val="404040"/>
                <w:sz w:val="22"/>
                <w:szCs w:val="22"/>
              </w:rPr>
              <w:br/>
            </w:r>
            <w:r>
              <w:rPr>
                <w:color w:val="404040"/>
                <w:sz w:val="21"/>
                <w:szCs w:val="21"/>
              </w:rPr>
              <w:t xml:space="preserve"> </w:t>
            </w:r>
          </w:p>
          <w:p w14:paraId="65D19A91" w14:textId="77777777" w:rsidR="00326695" w:rsidRDefault="0032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1"/>
                <w:szCs w:val="21"/>
              </w:rPr>
            </w:pPr>
          </w:p>
          <w:p w14:paraId="3523986C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  <w:szCs w:val="20"/>
              </w:rPr>
              <w:t>1990</w:t>
            </w:r>
            <w:r>
              <w:rPr>
                <w:i/>
                <w:color w:val="404040"/>
                <w:sz w:val="20"/>
                <w:szCs w:val="20"/>
              </w:rPr>
              <w:t xml:space="preserve"> to </w:t>
            </w:r>
            <w:r>
              <w:rPr>
                <w:i/>
                <w:color w:val="404040"/>
                <w:sz w:val="20"/>
                <w:szCs w:val="20"/>
              </w:rPr>
              <w:t>1991</w:t>
            </w:r>
          </w:p>
          <w:p w14:paraId="319B48B8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Apple Bus</w:t>
            </w:r>
            <w:r>
              <w:rPr>
                <w:color w:val="404040"/>
                <w:sz w:val="22"/>
                <w:szCs w:val="22"/>
              </w:rPr>
              <w:t>iness Development Manager</w:t>
            </w:r>
          </w:p>
          <w:p w14:paraId="2D417A62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Art’s success as a former Apple-</w:t>
            </w:r>
            <w:proofErr w:type="spellStart"/>
            <w:r>
              <w:rPr>
                <w:color w:val="404040"/>
                <w:sz w:val="22"/>
                <w:szCs w:val="22"/>
              </w:rPr>
              <w:t>Certifed</w:t>
            </w:r>
            <w:proofErr w:type="spellEnd"/>
            <w:r>
              <w:rPr>
                <w:color w:val="404040"/>
                <w:sz w:val="22"/>
                <w:szCs w:val="22"/>
              </w:rPr>
              <w:t xml:space="preserve"> Consultant in the San Francisco Bay Area specializing in CRM landed him a position funded by Apple to develop Apple business in the Pacific Northwest. He managed an entire cadre of Apple-Certified Consultants and sh</w:t>
            </w:r>
            <w:r>
              <w:rPr>
                <w:color w:val="404040"/>
                <w:sz w:val="22"/>
                <w:szCs w:val="22"/>
              </w:rPr>
              <w:t>owcased their work in a series of high-powered Apple Business Solutions Seminars he produced and facilitated through Apple’s Marketing Centers in Seattle and Portland.</w:t>
            </w:r>
            <w:r>
              <w:rPr>
                <w:color w:val="404040"/>
                <w:sz w:val="22"/>
                <w:szCs w:val="22"/>
              </w:rPr>
              <w:br/>
            </w:r>
            <w:r>
              <w:rPr>
                <w:color w:val="404040"/>
                <w:sz w:val="22"/>
                <w:szCs w:val="22"/>
              </w:rPr>
              <w:br/>
              <w:t xml:space="preserve">For even more info about Art’s background and evolution, see his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video profile (2018)</w:t>
              </w:r>
            </w:hyperlink>
            <w:r>
              <w:rPr>
                <w:color w:val="404040"/>
                <w:sz w:val="22"/>
                <w:szCs w:val="22"/>
              </w:rPr>
              <w:t xml:space="preserve">, his </w:t>
            </w: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current services overview</w:t>
              </w:r>
            </w:hyperlink>
            <w:r>
              <w:rPr>
                <w:color w:val="404040"/>
                <w:sz w:val="22"/>
                <w:szCs w:val="22"/>
              </w:rPr>
              <w:t xml:space="preserve">, and his </w:t>
            </w: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recent tour</w:t>
              </w:r>
            </w:hyperlink>
            <w:r>
              <w:rPr>
                <w:color w:val="404040"/>
                <w:sz w:val="22"/>
                <w:szCs w:val="22"/>
              </w:rPr>
              <w:t xml:space="preserve"> of his Virbela enterprise metaverse resources </w:t>
            </w:r>
          </w:p>
          <w:p w14:paraId="4400DCA4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1"/>
                <w:szCs w:val="21"/>
              </w:rPr>
              <w:t xml:space="preserve"> </w:t>
            </w:r>
          </w:p>
        </w:tc>
      </w:tr>
      <w:tr w:rsidR="00326695" w14:paraId="61A6CC34" w14:textId="77777777">
        <w:trPr>
          <w:trHeight w:val="2375"/>
        </w:trPr>
        <w:tc>
          <w:tcPr>
            <w:tcW w:w="3601" w:type="dxa"/>
            <w:tcBorders>
              <w:right w:val="single" w:sz="18" w:space="0" w:color="648276"/>
            </w:tcBorders>
          </w:tcPr>
          <w:p w14:paraId="2F38E3D9" w14:textId="77777777" w:rsidR="00326695" w:rsidRDefault="00780108">
            <w:pPr>
              <w:pStyle w:val="Heading1"/>
            </w:pPr>
            <w:r>
              <w:lastRenderedPageBreak/>
              <w:t>Key Skills</w:t>
            </w:r>
          </w:p>
          <w:p w14:paraId="3489D021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Marketing</w:t>
            </w:r>
          </w:p>
          <w:p w14:paraId="260242BA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Project Management</w:t>
            </w:r>
          </w:p>
          <w:p w14:paraId="3FC6B103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Global Communications</w:t>
            </w:r>
            <w:r>
              <w:rPr>
                <w:color w:val="404040"/>
                <w:sz w:val="22"/>
                <w:szCs w:val="22"/>
              </w:rPr>
              <w:br/>
              <w:t>K-12 Educator Support</w:t>
            </w:r>
          </w:p>
          <w:p w14:paraId="448198F4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E-Learning</w:t>
            </w:r>
          </w:p>
          <w:p w14:paraId="3AD5B2D1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right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Program Development</w:t>
            </w:r>
          </w:p>
        </w:tc>
        <w:tc>
          <w:tcPr>
            <w:tcW w:w="7189" w:type="dxa"/>
            <w:tcBorders>
              <w:top w:val="single" w:sz="8" w:space="0" w:color="648276"/>
              <w:left w:val="single" w:sz="18" w:space="0" w:color="648276"/>
              <w:bottom w:val="single" w:sz="8" w:space="0" w:color="648276"/>
            </w:tcBorders>
          </w:tcPr>
          <w:p w14:paraId="3339BE2A" w14:textId="77777777" w:rsidR="00326695" w:rsidRDefault="00780108">
            <w:pPr>
              <w:pStyle w:val="Heading2"/>
            </w:pPr>
            <w:r>
              <w:t>Global Communications &amp; Learning</w:t>
            </w:r>
          </w:p>
          <w:p w14:paraId="49411A9D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 xml:space="preserve">For more than 25 years, through New World Communications, his own consulting practice and virtual enterprise, Art Johnson has been a front-runner in both global communications and learning.  </w:t>
            </w:r>
          </w:p>
        </w:tc>
      </w:tr>
      <w:tr w:rsidR="00326695" w14:paraId="505C6BB5" w14:textId="77777777">
        <w:trPr>
          <w:trHeight w:val="1604"/>
        </w:trPr>
        <w:tc>
          <w:tcPr>
            <w:tcW w:w="3601" w:type="dxa"/>
            <w:tcBorders>
              <w:right w:val="single" w:sz="18" w:space="0" w:color="648276"/>
            </w:tcBorders>
          </w:tcPr>
          <w:p w14:paraId="56F4D88E" w14:textId="77777777" w:rsidR="00326695" w:rsidRDefault="00326695"/>
        </w:tc>
        <w:tc>
          <w:tcPr>
            <w:tcW w:w="7189" w:type="dxa"/>
            <w:tcBorders>
              <w:left w:val="single" w:sz="18" w:space="0" w:color="648276"/>
              <w:bottom w:val="single" w:sz="8" w:space="0" w:color="648276"/>
            </w:tcBorders>
          </w:tcPr>
          <w:p w14:paraId="0A24AE7C" w14:textId="77777777" w:rsidR="00326695" w:rsidRDefault="00780108">
            <w:pPr>
              <w:pStyle w:val="Heading2"/>
            </w:pPr>
            <w:r>
              <w:t>Leadership</w:t>
            </w:r>
          </w:p>
          <w:p w14:paraId="3C4677EE" w14:textId="67225ED2" w:rsidR="00326695" w:rsidRDefault="00780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 leads New World Communications using his suite </w:t>
            </w:r>
            <w:r>
              <w:rPr>
                <w:sz w:val="22"/>
                <w:szCs w:val="22"/>
              </w:rPr>
              <w:t>of big-reach, learning-rich services to develop powerful global strategic partnerships locally, regionally, and across our planet. His leadership equitably serves all people, across generations, across genders, across communities, across market sectors, an</w:t>
            </w:r>
            <w:r>
              <w:rPr>
                <w:sz w:val="22"/>
                <w:szCs w:val="22"/>
              </w:rPr>
              <w:t>d across the planet</w:t>
            </w:r>
            <w:r w:rsidR="009B3173">
              <w:rPr>
                <w:sz w:val="22"/>
                <w:szCs w:val="22"/>
              </w:rPr>
              <w:t xml:space="preserve"> via his innovative big-reach, learning-rich ultra-affordable, ultra eco-friendly near-zero carbon footprint approach. </w:t>
            </w:r>
            <w:r>
              <w:rPr>
                <w:sz w:val="22"/>
                <w:szCs w:val="22"/>
              </w:rPr>
              <w:t xml:space="preserve">  </w:t>
            </w:r>
          </w:p>
          <w:p w14:paraId="7673B7BB" w14:textId="77777777" w:rsidR="00326695" w:rsidRDefault="00326695"/>
        </w:tc>
      </w:tr>
      <w:tr w:rsidR="00326695" w14:paraId="0D4A85F2" w14:textId="77777777">
        <w:trPr>
          <w:trHeight w:val="149"/>
        </w:trPr>
        <w:tc>
          <w:tcPr>
            <w:tcW w:w="3601" w:type="dxa"/>
            <w:tcBorders>
              <w:right w:val="single" w:sz="18" w:space="0" w:color="648276"/>
            </w:tcBorders>
          </w:tcPr>
          <w:p w14:paraId="049CD274" w14:textId="77777777" w:rsidR="00326695" w:rsidRDefault="00326695"/>
        </w:tc>
        <w:tc>
          <w:tcPr>
            <w:tcW w:w="7189" w:type="dxa"/>
            <w:tcBorders>
              <w:left w:val="single" w:sz="18" w:space="0" w:color="648276"/>
            </w:tcBorders>
          </w:tcPr>
          <w:p w14:paraId="0F425B80" w14:textId="77777777" w:rsidR="00326695" w:rsidRDefault="00780108">
            <w:pPr>
              <w:pStyle w:val="Heading2"/>
            </w:pPr>
            <w:r>
              <w:t>References</w:t>
            </w:r>
          </w:p>
          <w:p w14:paraId="7FBCE92E" w14:textId="77777777" w:rsidR="00326695" w:rsidRDefault="0078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[Available upon request.]</w:t>
            </w:r>
          </w:p>
        </w:tc>
      </w:tr>
    </w:tbl>
    <w:p w14:paraId="7F014EAE" w14:textId="77777777" w:rsidR="00326695" w:rsidRDefault="00326695"/>
    <w:sectPr w:rsidR="00326695">
      <w:footerReference w:type="default" r:id="rId10"/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56FF" w14:textId="77777777" w:rsidR="00780108" w:rsidRDefault="00780108">
      <w:r>
        <w:separator/>
      </w:r>
    </w:p>
  </w:endnote>
  <w:endnote w:type="continuationSeparator" w:id="0">
    <w:p w14:paraId="243AB8A5" w14:textId="77777777" w:rsidR="00780108" w:rsidRDefault="007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8FA4" w14:textId="77777777" w:rsidR="00326695" w:rsidRDefault="00780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1407A7C" wp14:editId="41A7B69F">
              <wp:simplePos x="0" y="0"/>
              <wp:positionH relativeFrom="column">
                <wp:posOffset>1</wp:posOffset>
              </wp:positionH>
              <wp:positionV relativeFrom="paragraph">
                <wp:posOffset>9588500</wp:posOffset>
              </wp:positionV>
              <wp:extent cx="6859905" cy="4679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0810" y="3550765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15C7DA" w14:textId="77777777" w:rsidR="00326695" w:rsidRDefault="0032669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9588500</wp:posOffset>
              </wp:positionV>
              <wp:extent cx="6859905" cy="46799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467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1C6D" w14:textId="77777777" w:rsidR="00780108" w:rsidRDefault="00780108">
      <w:r>
        <w:separator/>
      </w:r>
    </w:p>
  </w:footnote>
  <w:footnote w:type="continuationSeparator" w:id="0">
    <w:p w14:paraId="495344EB" w14:textId="77777777" w:rsidR="00780108" w:rsidRDefault="0078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95"/>
    <w:rsid w:val="00326695"/>
    <w:rsid w:val="00780108"/>
    <w:rsid w:val="009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6CF9"/>
  <w15:docId w15:val="{2E416CE9-5D08-448A-8F82-1D6564C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20" w:after="120"/>
      <w:jc w:val="right"/>
      <w:outlineLvl w:val="0"/>
    </w:pPr>
    <w:rPr>
      <w:rFonts w:ascii="Georgia" w:eastAsia="Georgia" w:hAnsi="Georgia" w:cs="Georgia"/>
      <w:b/>
      <w:color w:val="64827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 w:after="120"/>
      <w:outlineLvl w:val="1"/>
    </w:pPr>
    <w:rPr>
      <w:rFonts w:ascii="Georgia" w:eastAsia="Georgia" w:hAnsi="Georgia" w:cs="Georgia"/>
      <w:b/>
      <w:color w:val="64827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20"/>
    </w:pPr>
    <w:rPr>
      <w:rFonts w:ascii="Georgia" w:eastAsia="Georgia" w:hAnsi="Georgia" w:cs="Georgia"/>
      <w:sz w:val="90"/>
      <w:szCs w:val="90"/>
    </w:rPr>
  </w:style>
  <w:style w:type="paragraph" w:styleId="Subtitle">
    <w:name w:val="Subtitle"/>
    <w:basedOn w:val="Normal"/>
    <w:next w:val="Normal"/>
    <w:uiPriority w:val="11"/>
    <w:qFormat/>
    <w:pPr>
      <w:spacing w:before="120" w:after="120"/>
    </w:pPr>
    <w:rPr>
      <w:rFonts w:ascii="Georgia" w:eastAsia="Georgia" w:hAnsi="Georgia" w:cs="Georgia"/>
      <w:b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left w:w="142" w:type="dxa"/>
        <w:right w:w="14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42" w:type="dxa"/>
        <w:right w:w="14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89t82WqS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nZu2Ut5UG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worldcom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1bwnB3GlT_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 Johnson</cp:lastModifiedBy>
  <cp:revision>2</cp:revision>
  <dcterms:created xsi:type="dcterms:W3CDTF">2022-06-07T22:55:00Z</dcterms:created>
  <dcterms:modified xsi:type="dcterms:W3CDTF">2022-06-07T22:55:00Z</dcterms:modified>
</cp:coreProperties>
</file>