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54BF" w14:textId="6899B0F4" w:rsidR="0024439E" w:rsidRDefault="0024439E" w:rsidP="0024439E">
      <w:p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25, 2023</w:t>
      </w:r>
    </w:p>
    <w:p w14:paraId="01BD61C3" w14:textId="77777777" w:rsidR="0024439E" w:rsidRPr="0024439E" w:rsidRDefault="0024439E" w:rsidP="0024439E">
      <w:pPr>
        <w:rPr>
          <w:rFonts w:ascii="Times New Roman" w:eastAsia="Times New Roman" w:hAnsi="Times New Roman" w:cs="Times New Roman"/>
          <w:sz w:val="20"/>
          <w:szCs w:val="20"/>
        </w:rPr>
      </w:pPr>
    </w:p>
    <w:p w14:paraId="372609AA" w14:textId="1D20788C" w:rsidR="0024439E" w:rsidRDefault="0024439E" w:rsidP="0024439E">
      <w:pPr>
        <w:rPr>
          <w:rFonts w:ascii="Times New Roman" w:eastAsia="Times New Roman" w:hAnsi="Times New Roman" w:cs="Times New Roman"/>
          <w:sz w:val="24"/>
          <w:szCs w:val="24"/>
        </w:rPr>
      </w:pPr>
      <w:r w:rsidRPr="44A65989">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Harrison Ashby</w:t>
      </w:r>
    </w:p>
    <w:p w14:paraId="494D9646" w14:textId="5515FF6D" w:rsidR="0024439E" w:rsidRDefault="0024439E" w:rsidP="0024439E">
      <w:pPr>
        <w:rPr>
          <w:rFonts w:ascii="Times New Roman" w:eastAsia="Times New Roman" w:hAnsi="Times New Roman" w:cs="Times New Roman"/>
          <w:sz w:val="24"/>
          <w:szCs w:val="24"/>
        </w:rPr>
      </w:pPr>
      <w:r>
        <w:rPr>
          <w:rFonts w:ascii="Times New Roman" w:eastAsia="Times New Roman" w:hAnsi="Times New Roman" w:cs="Times New Roman"/>
          <w:sz w:val="24"/>
          <w:szCs w:val="24"/>
        </w:rPr>
        <w:t>Rulemaking Lead</w:t>
      </w:r>
    </w:p>
    <w:p w14:paraId="408ADB43" w14:textId="285EB5DD" w:rsidR="0024439E" w:rsidRDefault="0024439E" w:rsidP="0024439E">
      <w:pPr>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Department of Ecology</w:t>
      </w:r>
    </w:p>
    <w:p w14:paraId="1C964DB7" w14:textId="77777777" w:rsidR="0024439E" w:rsidRDefault="0024439E">
      <w:pPr>
        <w:rPr>
          <w:rFonts w:ascii="Times New Roman" w:eastAsia="Times New Roman" w:hAnsi="Times New Roman" w:cs="Times New Roman"/>
          <w:b/>
          <w:bCs/>
          <w:i/>
          <w:sz w:val="24"/>
          <w:szCs w:val="24"/>
        </w:rPr>
      </w:pPr>
    </w:p>
    <w:p w14:paraId="00000002" w14:textId="26797550" w:rsidR="000F7937" w:rsidRPr="0024439E" w:rsidRDefault="0024439E">
      <w:pPr>
        <w:rPr>
          <w:rFonts w:ascii="Times New Roman" w:eastAsia="Times New Roman" w:hAnsi="Times New Roman" w:cs="Times New Roman"/>
          <w:b/>
          <w:bCs/>
          <w:i/>
          <w:sz w:val="24"/>
          <w:szCs w:val="24"/>
        </w:rPr>
      </w:pPr>
      <w:r w:rsidRPr="0024439E">
        <w:rPr>
          <w:rFonts w:ascii="Times New Roman" w:eastAsia="Times New Roman" w:hAnsi="Times New Roman" w:cs="Times New Roman"/>
          <w:b/>
          <w:bCs/>
          <w:i/>
          <w:sz w:val="24"/>
          <w:szCs w:val="24"/>
        </w:rPr>
        <w:t xml:space="preserve">Re: </w:t>
      </w:r>
      <w:r w:rsidRPr="0024439E">
        <w:rPr>
          <w:rFonts w:ascii="Times New Roman" w:eastAsia="Times New Roman" w:hAnsi="Times New Roman" w:cs="Times New Roman"/>
          <w:b/>
          <w:bCs/>
          <w:i/>
          <w:sz w:val="24"/>
          <w:szCs w:val="24"/>
        </w:rPr>
        <w:t>CCA Funds Reporting Rulemaking Initial Input Survey</w:t>
      </w:r>
    </w:p>
    <w:p w14:paraId="1A99FE38" w14:textId="77777777" w:rsidR="0024439E" w:rsidRDefault="0024439E">
      <w:pPr>
        <w:rPr>
          <w:rFonts w:ascii="Times New Roman" w:eastAsia="Times New Roman" w:hAnsi="Times New Roman" w:cs="Times New Roman"/>
          <w:i/>
          <w:sz w:val="24"/>
          <w:szCs w:val="24"/>
        </w:rPr>
      </w:pPr>
    </w:p>
    <w:p w14:paraId="00000003" w14:textId="77777777" w:rsidR="000F7937" w:rsidRDefault="00691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Solutions appreciates the opportunity to share initial thoughts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the Department of Ecology as it begins its Climate Commitment Act Funds Reporting rulemaking process. We are grateful for the numerous opportunities to provide comments and engage a</w:t>
      </w:r>
      <w:r>
        <w:rPr>
          <w:rFonts w:ascii="Times New Roman" w:eastAsia="Times New Roman" w:hAnsi="Times New Roman" w:cs="Times New Roman"/>
          <w:sz w:val="24"/>
          <w:szCs w:val="24"/>
        </w:rPr>
        <w:t>s the rule evolves. Listed below are considerations and recommendations that touch on some of the questions outlined in the survey. We hope that Ecology keeps these points in mind as it formulates processes and methods for reporting.</w:t>
      </w:r>
    </w:p>
    <w:p w14:paraId="00000004" w14:textId="77777777" w:rsidR="000F7937" w:rsidRDefault="000F7937">
      <w:pPr>
        <w:rPr>
          <w:rFonts w:ascii="Times New Roman" w:eastAsia="Times New Roman" w:hAnsi="Times New Roman" w:cs="Times New Roman"/>
          <w:sz w:val="24"/>
          <w:szCs w:val="24"/>
        </w:rPr>
      </w:pPr>
    </w:p>
    <w:p w14:paraId="00000005" w14:textId="1C2180E8" w:rsidR="000F7937" w:rsidRDefault="006919F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 a centralized</w:t>
      </w:r>
      <w:r>
        <w:rPr>
          <w:rFonts w:ascii="Times New Roman" w:eastAsia="Times New Roman" w:hAnsi="Times New Roman" w:cs="Times New Roman"/>
          <w:b/>
          <w:sz w:val="24"/>
          <w:szCs w:val="24"/>
        </w:rPr>
        <w:t xml:space="preserve"> hub of information on CCA fund data and consider ways to make this data accessible and digestible. </w:t>
      </w:r>
      <w:r>
        <w:rPr>
          <w:rFonts w:ascii="Times New Roman" w:eastAsia="Times New Roman" w:hAnsi="Times New Roman" w:cs="Times New Roman"/>
          <w:sz w:val="24"/>
          <w:szCs w:val="24"/>
        </w:rPr>
        <w:t>As part of this rulemaking, it is important to consider ways to make the report information not only easily accessible, but easily digestible for both lawma</w:t>
      </w:r>
      <w:r>
        <w:rPr>
          <w:rFonts w:ascii="Times New Roman" w:eastAsia="Times New Roman" w:hAnsi="Times New Roman" w:cs="Times New Roman"/>
          <w:sz w:val="24"/>
          <w:szCs w:val="24"/>
        </w:rPr>
        <w:t>kers and the public. We recommend centralizing this information onto an online portal that offers visual aids, such as maps and graphs, to highlight investments, their impact on greenhouse gas</w:t>
      </w:r>
      <w:r w:rsidR="00881710">
        <w:rPr>
          <w:rFonts w:ascii="Times New Roman" w:eastAsia="Times New Roman" w:hAnsi="Times New Roman" w:cs="Times New Roman"/>
          <w:sz w:val="24"/>
          <w:szCs w:val="24"/>
        </w:rPr>
        <w:t xml:space="preserve"> (GHG) </w:t>
      </w:r>
      <w:r>
        <w:rPr>
          <w:rFonts w:ascii="Times New Roman" w:eastAsia="Times New Roman" w:hAnsi="Times New Roman" w:cs="Times New Roman"/>
          <w:sz w:val="24"/>
          <w:szCs w:val="24"/>
        </w:rPr>
        <w:t xml:space="preserve">reductions, and which communities they </w:t>
      </w:r>
      <w:proofErr w:type="gramStart"/>
      <w:r>
        <w:rPr>
          <w:rFonts w:ascii="Times New Roman" w:eastAsia="Times New Roman" w:hAnsi="Times New Roman" w:cs="Times New Roman"/>
          <w:sz w:val="24"/>
          <w:szCs w:val="24"/>
        </w:rPr>
        <w:t>benefit</w:t>
      </w:r>
      <w:proofErr w:type="gramEnd"/>
      <w:r>
        <w:rPr>
          <w:rFonts w:ascii="Times New Roman" w:eastAsia="Times New Roman" w:hAnsi="Times New Roman" w:cs="Times New Roman"/>
          <w:sz w:val="24"/>
          <w:szCs w:val="24"/>
        </w:rPr>
        <w:t xml:space="preserve"> and how. The Cal</w:t>
      </w:r>
      <w:r>
        <w:rPr>
          <w:rFonts w:ascii="Times New Roman" w:eastAsia="Times New Roman" w:hAnsi="Times New Roman" w:cs="Times New Roman"/>
          <w:sz w:val="24"/>
          <w:szCs w:val="24"/>
        </w:rPr>
        <w:t xml:space="preserve">ifornia Air Resources Board’s climate investments webpage, for example, includes </w:t>
      </w:r>
      <w:hyperlink r:id="rId6">
        <w:r>
          <w:rPr>
            <w:rFonts w:ascii="Times New Roman" w:eastAsia="Times New Roman" w:hAnsi="Times New Roman" w:cs="Times New Roman"/>
            <w:color w:val="1155CC"/>
            <w:sz w:val="24"/>
            <w:szCs w:val="24"/>
            <w:u w:val="single"/>
          </w:rPr>
          <w:t>a map of all investments</w:t>
        </w:r>
      </w:hyperlink>
      <w:r>
        <w:rPr>
          <w:rFonts w:ascii="Times New Roman" w:eastAsia="Times New Roman" w:hAnsi="Times New Roman" w:cs="Times New Roman"/>
          <w:sz w:val="24"/>
          <w:szCs w:val="24"/>
        </w:rPr>
        <w:t xml:space="preserve"> funded through its cap-and-invest program. This map includes a</w:t>
      </w:r>
      <w:r>
        <w:rPr>
          <w:rFonts w:ascii="Times New Roman" w:eastAsia="Times New Roman" w:hAnsi="Times New Roman" w:cs="Times New Roman"/>
          <w:sz w:val="24"/>
          <w:szCs w:val="24"/>
        </w:rPr>
        <w:t xml:space="preserve"> layer for priority populations, which are those populations that meet California’s law’s definition of “disadvantaged communities” and low-income communities. California’s annual reports also include case studies and a </w:t>
      </w:r>
      <w:hyperlink r:id="rId7">
        <w:proofErr w:type="spellStart"/>
        <w:r>
          <w:rPr>
            <w:rFonts w:ascii="Times New Roman" w:eastAsia="Times New Roman" w:hAnsi="Times New Roman" w:cs="Times New Roman"/>
            <w:color w:val="1155CC"/>
            <w:sz w:val="24"/>
            <w:szCs w:val="24"/>
            <w:u w:val="single"/>
          </w:rPr>
          <w:t>StoryMap</w:t>
        </w:r>
        <w:proofErr w:type="spellEnd"/>
      </w:hyperlink>
      <w:r>
        <w:rPr>
          <w:rFonts w:ascii="Times New Roman" w:eastAsia="Times New Roman" w:hAnsi="Times New Roman" w:cs="Times New Roman"/>
          <w:sz w:val="24"/>
          <w:szCs w:val="24"/>
        </w:rPr>
        <w:t xml:space="preserve"> – a resource similar to Ecology’s </w:t>
      </w:r>
      <w:proofErr w:type="spellStart"/>
      <w:r>
        <w:rPr>
          <w:rFonts w:ascii="Times New Roman" w:eastAsia="Times New Roman" w:hAnsi="Times New Roman" w:cs="Times New Roman"/>
          <w:sz w:val="24"/>
          <w:szCs w:val="24"/>
        </w:rPr>
        <w:t>StoryMap</w:t>
      </w:r>
      <w:proofErr w:type="spellEnd"/>
      <w:r>
        <w:rPr>
          <w:rFonts w:ascii="Times New Roman" w:eastAsia="Times New Roman" w:hAnsi="Times New Roman" w:cs="Times New Roman"/>
          <w:sz w:val="24"/>
          <w:szCs w:val="24"/>
        </w:rPr>
        <w:t xml:space="preserve"> for improving air quality in overburdened communities per RCW 70A.65.020</w:t>
      </w:r>
      <w:r w:rsidR="008817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to provide a na</w:t>
      </w:r>
      <w:r>
        <w:rPr>
          <w:rFonts w:ascii="Times New Roman" w:eastAsia="Times New Roman" w:hAnsi="Times New Roman" w:cs="Times New Roman"/>
          <w:sz w:val="24"/>
          <w:szCs w:val="24"/>
        </w:rPr>
        <w:t>rrative and demonstrate the real-world implications of investments alongside the data.</w:t>
      </w:r>
    </w:p>
    <w:p w14:paraId="00000006" w14:textId="77777777" w:rsidR="000F7937" w:rsidRDefault="000F7937">
      <w:pPr>
        <w:rPr>
          <w:rFonts w:ascii="Times New Roman" w:eastAsia="Times New Roman" w:hAnsi="Times New Roman" w:cs="Times New Roman"/>
          <w:sz w:val="24"/>
          <w:szCs w:val="24"/>
        </w:rPr>
      </w:pPr>
    </w:p>
    <w:p w14:paraId="00000007" w14:textId="1E7DE414" w:rsidR="000F7937" w:rsidRDefault="006919F9">
      <w:pPr>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Que</w:t>
        </w:r>
        <w:r>
          <w:rPr>
            <w:rFonts w:ascii="Times New Roman" w:eastAsia="Times New Roman" w:hAnsi="Times New Roman" w:cs="Times New Roman"/>
            <w:color w:val="1155CC"/>
            <w:sz w:val="24"/>
            <w:szCs w:val="24"/>
            <w:u w:val="single"/>
          </w:rPr>
          <w:t>bec’s data dashboard</w:t>
        </w:r>
      </w:hyperlink>
      <w:r>
        <w:rPr>
          <w:rFonts w:ascii="Times New Roman" w:eastAsia="Times New Roman" w:hAnsi="Times New Roman" w:cs="Times New Roman"/>
          <w:sz w:val="24"/>
          <w:szCs w:val="24"/>
        </w:rPr>
        <w:t>, which tracks investments stemming from their cap-and-invest system’s funds, offers another useful example. This resource aggregates spending and greenhouse gas reductions and compares them to Quebec’</w:t>
      </w:r>
      <w:r>
        <w:rPr>
          <w:rFonts w:ascii="Times New Roman" w:eastAsia="Times New Roman" w:hAnsi="Times New Roman" w:cs="Times New Roman"/>
          <w:sz w:val="24"/>
          <w:szCs w:val="24"/>
        </w:rPr>
        <w:t xml:space="preserve">s </w:t>
      </w:r>
      <w:r w:rsidR="00881710">
        <w:rPr>
          <w:rFonts w:ascii="Times New Roman" w:eastAsia="Times New Roman" w:hAnsi="Times New Roman" w:cs="Times New Roman"/>
          <w:sz w:val="24"/>
          <w:szCs w:val="24"/>
        </w:rPr>
        <w:t>GHG</w:t>
      </w:r>
      <w:r>
        <w:rPr>
          <w:rFonts w:ascii="Times New Roman" w:eastAsia="Times New Roman" w:hAnsi="Times New Roman" w:cs="Times New Roman"/>
          <w:sz w:val="24"/>
          <w:szCs w:val="24"/>
        </w:rPr>
        <w:t xml:space="preserve"> reduction targets. It is worth noting that Quebec does not have specific requirements around spending in overburdened communities or in alignment with Tribal priorities, but a similar resource in Washington would also need to highlight investments in</w:t>
      </w:r>
      <w:r>
        <w:rPr>
          <w:rFonts w:ascii="Times New Roman" w:eastAsia="Times New Roman" w:hAnsi="Times New Roman" w:cs="Times New Roman"/>
          <w:sz w:val="24"/>
          <w:szCs w:val="24"/>
        </w:rPr>
        <w:t xml:space="preserve"> these communities. </w:t>
      </w:r>
    </w:p>
    <w:p w14:paraId="00000008" w14:textId="77777777" w:rsidR="000F7937" w:rsidRDefault="000F7937">
      <w:pPr>
        <w:rPr>
          <w:rFonts w:ascii="Times New Roman" w:eastAsia="Times New Roman" w:hAnsi="Times New Roman" w:cs="Times New Roman"/>
          <w:sz w:val="24"/>
          <w:szCs w:val="24"/>
        </w:rPr>
      </w:pPr>
    </w:p>
    <w:p w14:paraId="00000009" w14:textId="07F38C06" w:rsidR="000F7937" w:rsidRDefault="00691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minimum, Ecology should share </w:t>
      </w:r>
      <w:r>
        <w:rPr>
          <w:rFonts w:ascii="Times New Roman" w:eastAsia="Times New Roman" w:hAnsi="Times New Roman" w:cs="Times New Roman"/>
          <w:sz w:val="24"/>
          <w:szCs w:val="24"/>
        </w:rPr>
        <w:t xml:space="preserve">critical elements of its annual report onto an easily accessible web page that highlights the amount of spending on projects, the geographies in which those investments have been made, and </w:t>
      </w:r>
      <w:r w:rsidR="006069FF">
        <w:rPr>
          <w:rFonts w:ascii="Times New Roman" w:eastAsia="Times New Roman" w:hAnsi="Times New Roman" w:cs="Times New Roman"/>
          <w:sz w:val="24"/>
          <w:szCs w:val="24"/>
        </w:rPr>
        <w:t>GHG</w:t>
      </w:r>
      <w:r>
        <w:rPr>
          <w:rFonts w:ascii="Times New Roman" w:eastAsia="Times New Roman" w:hAnsi="Times New Roman" w:cs="Times New Roman"/>
          <w:sz w:val="24"/>
          <w:szCs w:val="24"/>
        </w:rPr>
        <w:t xml:space="preserve"> reductions as they compare to Washington’s </w:t>
      </w:r>
      <w:r>
        <w:rPr>
          <w:rFonts w:ascii="Times New Roman" w:eastAsia="Times New Roman" w:hAnsi="Times New Roman" w:cs="Times New Roman"/>
          <w:sz w:val="24"/>
          <w:szCs w:val="24"/>
        </w:rPr>
        <w:t>targets</w:t>
      </w:r>
      <w:r w:rsidR="006069FF">
        <w:rPr>
          <w:rFonts w:ascii="Times New Roman" w:eastAsia="Times New Roman" w:hAnsi="Times New Roman" w:cs="Times New Roman"/>
          <w:sz w:val="24"/>
          <w:szCs w:val="24"/>
        </w:rPr>
        <w:t xml:space="preserve"> in statute</w:t>
      </w:r>
      <w:r>
        <w:rPr>
          <w:rFonts w:ascii="Times New Roman" w:eastAsia="Times New Roman" w:hAnsi="Times New Roman" w:cs="Times New Roman"/>
          <w:sz w:val="24"/>
          <w:szCs w:val="24"/>
        </w:rPr>
        <w:t>. Though not required by law, Ecology should also consider including co-</w:t>
      </w:r>
      <w:r>
        <w:rPr>
          <w:rFonts w:ascii="Times New Roman" w:eastAsia="Times New Roman" w:hAnsi="Times New Roman" w:cs="Times New Roman"/>
          <w:sz w:val="24"/>
          <w:szCs w:val="24"/>
        </w:rPr>
        <w:lastRenderedPageBreak/>
        <w:t>benefits of certain projects, particularly for air quality improvement and reduction of criteria pollutants.</w:t>
      </w:r>
    </w:p>
    <w:p w14:paraId="0000000A" w14:textId="77777777" w:rsidR="000F7937" w:rsidRDefault="000F7937">
      <w:pPr>
        <w:rPr>
          <w:rFonts w:ascii="Times New Roman" w:eastAsia="Times New Roman" w:hAnsi="Times New Roman" w:cs="Times New Roman"/>
          <w:sz w:val="24"/>
          <w:szCs w:val="24"/>
        </w:rPr>
      </w:pPr>
    </w:p>
    <w:p w14:paraId="0000000B" w14:textId="77777777" w:rsidR="000F7937" w:rsidRDefault="006919F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Additional reporting requirements and greenhouse gas emissions analysis will require additional agency capacity. </w:t>
      </w:r>
      <w:r>
        <w:rPr>
          <w:rFonts w:ascii="Times New Roman" w:eastAsia="Times New Roman" w:hAnsi="Times New Roman" w:cs="Times New Roman"/>
          <w:sz w:val="24"/>
          <w:szCs w:val="24"/>
        </w:rPr>
        <w:t>Monitoring and data reporting are key elements for tracking the efficacy and impact of new programs and highlighting where needs and opportuni</w:t>
      </w:r>
      <w:r>
        <w:rPr>
          <w:rFonts w:ascii="Times New Roman" w:eastAsia="Times New Roman" w:hAnsi="Times New Roman" w:cs="Times New Roman"/>
          <w:sz w:val="24"/>
          <w:szCs w:val="24"/>
        </w:rPr>
        <w:t>ties exist. However, with additional data tracking can come additional capacity needs from agencies, grant applicants, and grantees. Ecology’s guidance should consider ways to streamline reporting and utilize existing workflows where possible. For example,</w:t>
      </w:r>
      <w:r>
        <w:rPr>
          <w:rFonts w:ascii="Times New Roman" w:eastAsia="Times New Roman" w:hAnsi="Times New Roman" w:cs="Times New Roman"/>
          <w:sz w:val="24"/>
          <w:szCs w:val="24"/>
        </w:rPr>
        <w:t xml:space="preserve"> Ecology guidance could require that grant applications require identification of Environmental Health Disparities rank and a description of how the program meaningfully benefits overburdened communities–information that is already required of certain gran</w:t>
      </w:r>
      <w:r>
        <w:rPr>
          <w:rFonts w:ascii="Times New Roman" w:eastAsia="Times New Roman" w:hAnsi="Times New Roman" w:cs="Times New Roman"/>
          <w:sz w:val="24"/>
          <w:szCs w:val="24"/>
        </w:rPr>
        <w:t xml:space="preserve">t programs such as the Department of Commerce’s Electrification of Transportation Systems Grant Program. </w:t>
      </w:r>
    </w:p>
    <w:p w14:paraId="0000000C" w14:textId="77777777" w:rsidR="000F7937" w:rsidRDefault="000F7937">
      <w:pPr>
        <w:rPr>
          <w:rFonts w:ascii="Times New Roman" w:eastAsia="Times New Roman" w:hAnsi="Times New Roman" w:cs="Times New Roman"/>
          <w:sz w:val="24"/>
          <w:szCs w:val="24"/>
        </w:rPr>
      </w:pPr>
    </w:p>
    <w:p w14:paraId="0000000D" w14:textId="77777777" w:rsidR="000F7937" w:rsidRDefault="006919F9">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Ecology should consider offering training and/or technical assistance to support agency staff with new GHG tracking and reporting requi</w:t>
      </w:r>
      <w:r>
        <w:rPr>
          <w:rFonts w:ascii="Times New Roman" w:eastAsia="Times New Roman" w:hAnsi="Times New Roman" w:cs="Times New Roman"/>
          <w:sz w:val="24"/>
          <w:szCs w:val="24"/>
        </w:rPr>
        <w:t>rements that result from the rule.</w:t>
      </w:r>
    </w:p>
    <w:p w14:paraId="0000000E" w14:textId="77777777" w:rsidR="000F7937" w:rsidRDefault="000F7937">
      <w:pPr>
        <w:rPr>
          <w:rFonts w:ascii="Times New Roman" w:eastAsia="Times New Roman" w:hAnsi="Times New Roman" w:cs="Times New Roman"/>
          <w:b/>
          <w:sz w:val="24"/>
          <w:szCs w:val="24"/>
        </w:rPr>
      </w:pPr>
    </w:p>
    <w:p w14:paraId="0000000F" w14:textId="6759C9CF" w:rsidR="000F7937" w:rsidRDefault="006919F9">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Ecology staff should work with the Environmental Justice Council </w:t>
      </w:r>
      <w:r>
        <w:rPr>
          <w:rFonts w:ascii="Times New Roman" w:eastAsia="Times New Roman" w:hAnsi="Times New Roman" w:cs="Times New Roman"/>
          <w:b/>
          <w:sz w:val="24"/>
          <w:szCs w:val="24"/>
        </w:rPr>
        <w:t xml:space="preserve">to </w:t>
      </w:r>
      <w:r w:rsidR="009418FE">
        <w:rPr>
          <w:rFonts w:ascii="Times New Roman" w:eastAsia="Times New Roman" w:hAnsi="Times New Roman" w:cs="Times New Roman"/>
          <w:b/>
          <w:sz w:val="24"/>
          <w:szCs w:val="24"/>
        </w:rPr>
        <w:t>offer guidance to agencies on best practices for identifying overburdened communities and defining meaningful benefits</w:t>
      </w:r>
      <w:r w:rsidR="00AB48A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During the climate funds reporting public meeting held on Augu</w:t>
      </w:r>
      <w:r>
        <w:rPr>
          <w:rFonts w:ascii="Times New Roman" w:eastAsia="Times New Roman" w:hAnsi="Times New Roman" w:cs="Times New Roman"/>
          <w:sz w:val="24"/>
          <w:szCs w:val="24"/>
        </w:rPr>
        <w:t xml:space="preserve">st 10th, Ecology staff shared that each agency </w:t>
      </w:r>
      <w:r w:rsidR="00AB48A3">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have discretion to </w:t>
      </w:r>
      <w:r w:rsidR="009418FE">
        <w:rPr>
          <w:rFonts w:ascii="Times New Roman" w:eastAsia="Times New Roman" w:hAnsi="Times New Roman" w:cs="Times New Roman"/>
          <w:sz w:val="24"/>
          <w:szCs w:val="24"/>
        </w:rPr>
        <w:t>operationalize</w:t>
      </w:r>
      <w:r w:rsidR="00AB48A3">
        <w:rPr>
          <w:rFonts w:ascii="Times New Roman" w:eastAsia="Times New Roman" w:hAnsi="Times New Roman" w:cs="Times New Roman"/>
          <w:sz w:val="24"/>
          <w:szCs w:val="24"/>
        </w:rPr>
        <w:t xml:space="preserve"> the definition of </w:t>
      </w:r>
      <w:r>
        <w:rPr>
          <w:rFonts w:ascii="Times New Roman" w:eastAsia="Times New Roman" w:hAnsi="Times New Roman" w:cs="Times New Roman"/>
          <w:sz w:val="24"/>
          <w:szCs w:val="24"/>
        </w:rPr>
        <w:t xml:space="preserve">overburdened communities and determine whether a certain project brings </w:t>
      </w:r>
      <w:r w:rsidR="00C155FE">
        <w:rPr>
          <w:rFonts w:ascii="Times New Roman" w:eastAsia="Times New Roman" w:hAnsi="Times New Roman" w:cs="Times New Roman"/>
          <w:sz w:val="24"/>
          <w:szCs w:val="24"/>
        </w:rPr>
        <w:t xml:space="preserve">meaningful </w:t>
      </w:r>
      <w:r>
        <w:rPr>
          <w:rFonts w:ascii="Times New Roman" w:eastAsia="Times New Roman" w:hAnsi="Times New Roman" w:cs="Times New Roman"/>
          <w:sz w:val="24"/>
          <w:szCs w:val="24"/>
        </w:rPr>
        <w:t>benefits to those communities. While flexibility is important given the various types of programs that are</w:t>
      </w:r>
      <w:r>
        <w:rPr>
          <w:rFonts w:ascii="Times New Roman" w:eastAsia="Times New Roman" w:hAnsi="Times New Roman" w:cs="Times New Roman"/>
          <w:sz w:val="24"/>
          <w:szCs w:val="24"/>
        </w:rPr>
        <w:t xml:space="preserve"> funded through the CCA, Ecology should work with the Environmental Justice Council and </w:t>
      </w:r>
      <w:r w:rsidR="00AB48A3">
        <w:rPr>
          <w:rFonts w:ascii="Times New Roman" w:eastAsia="Times New Roman" w:hAnsi="Times New Roman" w:cs="Times New Roman"/>
          <w:sz w:val="24"/>
          <w:szCs w:val="24"/>
        </w:rPr>
        <w:t xml:space="preserve">solicit feedback from </w:t>
      </w:r>
      <w:r>
        <w:rPr>
          <w:rFonts w:ascii="Times New Roman" w:eastAsia="Times New Roman" w:hAnsi="Times New Roman" w:cs="Times New Roman"/>
          <w:sz w:val="24"/>
          <w:szCs w:val="24"/>
        </w:rPr>
        <w:t>highly impacted communities</w:t>
      </w:r>
      <w:r w:rsidR="00AB48A3">
        <w:rPr>
          <w:rFonts w:ascii="Times New Roman" w:eastAsia="Times New Roman" w:hAnsi="Times New Roman" w:cs="Times New Roman"/>
          <w:sz w:val="24"/>
          <w:szCs w:val="24"/>
        </w:rPr>
        <w:t xml:space="preserve"> and other interested parties</w:t>
      </w:r>
      <w:r>
        <w:rPr>
          <w:rFonts w:ascii="Times New Roman" w:eastAsia="Times New Roman" w:hAnsi="Times New Roman" w:cs="Times New Roman"/>
          <w:sz w:val="24"/>
          <w:szCs w:val="24"/>
        </w:rPr>
        <w:t xml:space="preserve"> </w:t>
      </w:r>
      <w:r w:rsidR="0024439E">
        <w:rPr>
          <w:rFonts w:ascii="Times New Roman" w:eastAsia="Times New Roman" w:hAnsi="Times New Roman" w:cs="Times New Roman"/>
          <w:sz w:val="24"/>
          <w:szCs w:val="24"/>
        </w:rPr>
        <w:t xml:space="preserve">to </w:t>
      </w:r>
      <w:r w:rsidR="00AB48A3">
        <w:rPr>
          <w:rFonts w:ascii="Times New Roman" w:eastAsia="Times New Roman" w:hAnsi="Times New Roman" w:cs="Times New Roman"/>
          <w:sz w:val="24"/>
          <w:szCs w:val="24"/>
        </w:rPr>
        <w:t xml:space="preserve">determine </w:t>
      </w:r>
      <w:r w:rsidR="009418FE">
        <w:rPr>
          <w:rFonts w:ascii="Times New Roman" w:eastAsia="Times New Roman" w:hAnsi="Times New Roman" w:cs="Times New Roman"/>
          <w:sz w:val="24"/>
          <w:szCs w:val="24"/>
        </w:rPr>
        <w:t xml:space="preserve">best practices for identifying overburdened communities and </w:t>
      </w:r>
      <w:r w:rsidR="00C155FE">
        <w:rPr>
          <w:rFonts w:ascii="Times New Roman" w:eastAsia="Times New Roman" w:hAnsi="Times New Roman" w:cs="Times New Roman"/>
          <w:sz w:val="24"/>
          <w:szCs w:val="24"/>
        </w:rPr>
        <w:t xml:space="preserve">offer guidance on </w:t>
      </w:r>
      <w:r w:rsidR="009418FE">
        <w:rPr>
          <w:rFonts w:ascii="Times New Roman" w:eastAsia="Times New Roman" w:hAnsi="Times New Roman" w:cs="Times New Roman"/>
          <w:sz w:val="24"/>
          <w:szCs w:val="24"/>
        </w:rPr>
        <w:t>defining meaningful benefits</w:t>
      </w:r>
      <w:r w:rsidR="00C155FE">
        <w:rPr>
          <w:rFonts w:ascii="Times New Roman" w:eastAsia="Times New Roman" w:hAnsi="Times New Roman" w:cs="Times New Roman"/>
          <w:sz w:val="24"/>
          <w:szCs w:val="24"/>
        </w:rPr>
        <w:t xml:space="preserve">. </w:t>
      </w:r>
      <w:r w:rsidR="00AB48A3">
        <w:rPr>
          <w:rFonts w:ascii="Times New Roman" w:eastAsia="Times New Roman" w:hAnsi="Times New Roman" w:cs="Times New Roman"/>
          <w:sz w:val="24"/>
          <w:szCs w:val="24"/>
        </w:rPr>
        <w:t>This will help</w:t>
      </w:r>
      <w:r w:rsidR="00C155FE">
        <w:rPr>
          <w:rFonts w:ascii="Times New Roman" w:eastAsia="Times New Roman" w:hAnsi="Times New Roman" w:cs="Times New Roman"/>
          <w:sz w:val="24"/>
          <w:szCs w:val="24"/>
        </w:rPr>
        <w:t xml:space="preserve"> ensure</w:t>
      </w:r>
      <w:r w:rsidR="00881710">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benefits are reaching intended communities and that the State meets </w:t>
      </w:r>
      <w:r w:rsidR="00AB48A3">
        <w:rPr>
          <w:rFonts w:ascii="Times New Roman" w:eastAsia="Times New Roman" w:hAnsi="Times New Roman" w:cs="Times New Roman"/>
          <w:sz w:val="24"/>
          <w:szCs w:val="24"/>
        </w:rPr>
        <w:t>requirements laid out in statute.</w:t>
      </w:r>
    </w:p>
    <w:p w14:paraId="00000010" w14:textId="77777777" w:rsidR="000F7937" w:rsidRDefault="000F7937">
      <w:pPr>
        <w:rPr>
          <w:rFonts w:ascii="Times New Roman" w:eastAsia="Times New Roman" w:hAnsi="Times New Roman" w:cs="Times New Roman"/>
          <w:sz w:val="24"/>
          <w:szCs w:val="24"/>
        </w:rPr>
      </w:pPr>
    </w:p>
    <w:p w14:paraId="00000011" w14:textId="324D60AA" w:rsidR="000F7937" w:rsidRDefault="00691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look forward to continuing to work with Ecology on this rulemaking </w:t>
      </w:r>
      <w:r w:rsidR="006069FF">
        <w:rPr>
          <w:rFonts w:ascii="Times New Roman" w:eastAsia="Times New Roman" w:hAnsi="Times New Roman" w:cs="Times New Roman"/>
          <w:sz w:val="24"/>
          <w:szCs w:val="24"/>
        </w:rPr>
        <w:t>and future rulemakings to support effective and equitable implementation of the</w:t>
      </w:r>
      <w:r>
        <w:rPr>
          <w:rFonts w:ascii="Times New Roman" w:eastAsia="Times New Roman" w:hAnsi="Times New Roman" w:cs="Times New Roman"/>
          <w:sz w:val="24"/>
          <w:szCs w:val="24"/>
        </w:rPr>
        <w:t xml:space="preserve"> Climate Commitment Act. Thank you again for the opportunity to provide input.</w:t>
      </w:r>
    </w:p>
    <w:p w14:paraId="00000012" w14:textId="77777777" w:rsidR="000F7937" w:rsidRDefault="000F7937">
      <w:pPr>
        <w:rPr>
          <w:rFonts w:ascii="Times New Roman" w:eastAsia="Times New Roman" w:hAnsi="Times New Roman" w:cs="Times New Roman"/>
          <w:sz w:val="24"/>
          <w:szCs w:val="24"/>
        </w:rPr>
      </w:pPr>
    </w:p>
    <w:p w14:paraId="00000013" w14:textId="77777777" w:rsidR="000F7937" w:rsidRDefault="006919F9">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4" w14:textId="77777777" w:rsidR="000F7937" w:rsidRDefault="000F7937">
      <w:pPr>
        <w:rPr>
          <w:rFonts w:ascii="Times New Roman" w:eastAsia="Times New Roman" w:hAnsi="Times New Roman" w:cs="Times New Roman"/>
          <w:sz w:val="24"/>
          <w:szCs w:val="24"/>
        </w:rPr>
      </w:pPr>
    </w:p>
    <w:p w14:paraId="52A36B14" w14:textId="624FC271" w:rsidR="00881710" w:rsidRDefault="00881710">
      <w:pPr>
        <w:rPr>
          <w:rFonts w:ascii="Times New Roman" w:eastAsia="Times New Roman" w:hAnsi="Times New Roman" w:cs="Times New Roman"/>
          <w:sz w:val="24"/>
          <w:szCs w:val="24"/>
        </w:rPr>
      </w:pPr>
      <w:r>
        <w:rPr>
          <w:noProof/>
        </w:rPr>
        <w:drawing>
          <wp:inline distT="0" distB="0" distL="0" distR="0" wp14:anchorId="28E363A3" wp14:editId="25157E28">
            <wp:extent cx="1568450" cy="552450"/>
            <wp:effectExtent l="0" t="0" r="0" b="0"/>
            <wp:docPr id="1182670940" name="Picture 1182670940"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2670940" name="Picture 1182670940"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9103" cy="552680"/>
                    </a:xfrm>
                    <a:prstGeom prst="rect">
                      <a:avLst/>
                    </a:prstGeom>
                    <a:ln/>
                  </pic:spPr>
                </pic:pic>
              </a:graphicData>
            </a:graphic>
          </wp:inline>
        </w:drawing>
      </w:r>
    </w:p>
    <w:p w14:paraId="00000015" w14:textId="77777777" w:rsidR="000F7937" w:rsidRDefault="006919F9">
      <w:pPr>
        <w:rPr>
          <w:rFonts w:ascii="Times New Roman" w:eastAsia="Times New Roman" w:hAnsi="Times New Roman" w:cs="Times New Roman"/>
          <w:sz w:val="24"/>
          <w:szCs w:val="24"/>
        </w:rPr>
      </w:pPr>
      <w:r>
        <w:rPr>
          <w:rFonts w:ascii="Times New Roman" w:eastAsia="Times New Roman" w:hAnsi="Times New Roman" w:cs="Times New Roman"/>
          <w:sz w:val="24"/>
          <w:szCs w:val="24"/>
        </w:rPr>
        <w:t>Altinay Karasapan</w:t>
      </w:r>
    </w:p>
    <w:p w14:paraId="00000016" w14:textId="77777777" w:rsidR="000F7937" w:rsidRDefault="006919F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Washington Regulatory Policy Manager</w:t>
      </w:r>
    </w:p>
    <w:p w14:paraId="5BDB5B2B" w14:textId="19D7DEE8" w:rsidR="00881710" w:rsidRPr="00881710" w:rsidRDefault="0088171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Climate Solutions</w:t>
      </w:r>
    </w:p>
    <w:sectPr w:rsidR="00881710" w:rsidRPr="00881710">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8C02" w14:textId="77777777" w:rsidR="006919F9" w:rsidRDefault="006919F9">
      <w:pPr>
        <w:spacing w:line="240" w:lineRule="auto"/>
      </w:pPr>
      <w:r>
        <w:separator/>
      </w:r>
    </w:p>
  </w:endnote>
  <w:endnote w:type="continuationSeparator" w:id="0">
    <w:p w14:paraId="3870D7A9" w14:textId="77777777" w:rsidR="006919F9" w:rsidRDefault="00691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53E9" w14:textId="77777777" w:rsidR="006919F9" w:rsidRDefault="006919F9">
      <w:pPr>
        <w:spacing w:line="240" w:lineRule="auto"/>
      </w:pPr>
      <w:r>
        <w:separator/>
      </w:r>
    </w:p>
  </w:footnote>
  <w:footnote w:type="continuationSeparator" w:id="0">
    <w:p w14:paraId="06489A3E" w14:textId="77777777" w:rsidR="006919F9" w:rsidRDefault="006919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505E0F9" w:rsidR="000F7937" w:rsidRPr="0024439E" w:rsidRDefault="0024439E" w:rsidP="0024439E">
    <w:pPr>
      <w:pStyle w:val="Header"/>
    </w:pPr>
    <w:r>
      <w:rPr>
        <w:noProof/>
        <w:color w:val="2B579A"/>
        <w:shd w:val="clear" w:color="auto" w:fill="E6E6E6"/>
      </w:rPr>
      <w:drawing>
        <wp:inline distT="114300" distB="114300" distL="114300" distR="114300" wp14:anchorId="7D94B933" wp14:editId="03CE51B0">
          <wp:extent cx="1854200" cy="438150"/>
          <wp:effectExtent l="0" t="0" r="0" b="0"/>
          <wp:docPr id="1"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referRelativeResize="0"/>
                </pic:nvPicPr>
                <pic:blipFill>
                  <a:blip r:embed="rId1"/>
                  <a:srcRect/>
                  <a:stretch>
                    <a:fillRect/>
                  </a:stretch>
                </pic:blipFill>
                <pic:spPr>
                  <a:xfrm>
                    <a:off x="0" y="0"/>
                    <a:ext cx="1854396" cy="43819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37"/>
    <w:rsid w:val="000F7937"/>
    <w:rsid w:val="0024439E"/>
    <w:rsid w:val="006069FF"/>
    <w:rsid w:val="006919F9"/>
    <w:rsid w:val="00881710"/>
    <w:rsid w:val="009418FE"/>
    <w:rsid w:val="00AB48A3"/>
    <w:rsid w:val="00C155FE"/>
    <w:rsid w:val="00CB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6208"/>
  <w15:docId w15:val="{1682A92F-9588-4530-BADC-53065E70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4439E"/>
    <w:pPr>
      <w:tabs>
        <w:tab w:val="center" w:pos="4680"/>
        <w:tab w:val="right" w:pos="9360"/>
      </w:tabs>
      <w:spacing w:line="240" w:lineRule="auto"/>
    </w:pPr>
  </w:style>
  <w:style w:type="character" w:customStyle="1" w:styleId="HeaderChar">
    <w:name w:val="Header Char"/>
    <w:basedOn w:val="DefaultParagraphFont"/>
    <w:link w:val="Header"/>
    <w:uiPriority w:val="99"/>
    <w:rsid w:val="0024439E"/>
  </w:style>
  <w:style w:type="paragraph" w:styleId="Footer">
    <w:name w:val="footer"/>
    <w:basedOn w:val="Normal"/>
    <w:link w:val="FooterChar"/>
    <w:uiPriority w:val="99"/>
    <w:unhideWhenUsed/>
    <w:rsid w:val="0024439E"/>
    <w:pPr>
      <w:tabs>
        <w:tab w:val="center" w:pos="4680"/>
        <w:tab w:val="right" w:pos="9360"/>
      </w:tabs>
      <w:spacing w:line="240" w:lineRule="auto"/>
    </w:pPr>
  </w:style>
  <w:style w:type="character" w:customStyle="1" w:styleId="FooterChar">
    <w:name w:val="Footer Char"/>
    <w:basedOn w:val="DefaultParagraphFont"/>
    <w:link w:val="Footer"/>
    <w:uiPriority w:val="99"/>
    <w:rsid w:val="0024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07805">
      <w:bodyDiv w:val="1"/>
      <w:marLeft w:val="0"/>
      <w:marRight w:val="0"/>
      <w:marTop w:val="0"/>
      <w:marBottom w:val="0"/>
      <w:divBdr>
        <w:top w:val="none" w:sz="0" w:space="0" w:color="auto"/>
        <w:left w:val="none" w:sz="0" w:space="0" w:color="auto"/>
        <w:bottom w:val="none" w:sz="0" w:space="0" w:color="auto"/>
        <w:right w:val="none" w:sz="0" w:space="0" w:color="auto"/>
      </w:divBdr>
      <w:divsChild>
        <w:div w:id="1486504448">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NhYTE3MWUtNzRhNC00OTg1LWI1OWMtZTg3MjkyNmM1NDY0IiwidCI6IjQyNjJkNGVjLTVhNjctNDk1Ny1hYmI2LWJmNzhhY2E2YTZmNSJ9" TargetMode="External"/><Relationship Id="rId3" Type="http://schemas.openxmlformats.org/officeDocument/2006/relationships/webSettings" Target="webSettings.xml"/><Relationship Id="rId7" Type="http://schemas.openxmlformats.org/officeDocument/2006/relationships/hyperlink" Target="https://ww2.arb.ca.gov/sites/default/files/auction-proceeds/cci_annual_report_2023.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ps.arb.ca.gov/ccima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Climate Solutions</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Altinay Karasapan</cp:lastModifiedBy>
  <cp:revision>2</cp:revision>
  <dcterms:created xsi:type="dcterms:W3CDTF">2023-08-25T23:21:00Z</dcterms:created>
  <dcterms:modified xsi:type="dcterms:W3CDTF">2023-08-25T23:21:00Z</dcterms:modified>
</cp:coreProperties>
</file>