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3C19" w14:textId="77777777" w:rsidR="001D64A4" w:rsidRPr="001D64A4" w:rsidRDefault="001D64A4" w:rsidP="001D64A4">
      <w:pPr>
        <w:jc w:val="center"/>
        <w:rPr>
          <w:rFonts w:ascii="Calisto MT" w:hAnsi="Calisto MT"/>
          <w:kern w:val="0"/>
          <w14:ligatures w14:val="none"/>
        </w:rPr>
      </w:pPr>
      <w:r w:rsidRPr="001D64A4">
        <w:rPr>
          <w:noProof/>
          <w:kern w:val="0"/>
          <w14:ligatures w14:val="none"/>
        </w:rPr>
        <w:drawing>
          <wp:inline distT="0" distB="0" distL="0" distR="0" wp14:anchorId="7DD19930" wp14:editId="6CEEB388">
            <wp:extent cx="1121791" cy="695325"/>
            <wp:effectExtent l="0" t="0" r="2540" b="0"/>
            <wp:docPr id="1317698845" name="Picture 1317698845" descr="A cow head with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98845" name="Picture 1317698845" descr="A cow head with a building in th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22995" cy="696072"/>
                    </a:xfrm>
                    <a:prstGeom prst="rect">
                      <a:avLst/>
                    </a:prstGeom>
                  </pic:spPr>
                </pic:pic>
              </a:graphicData>
            </a:graphic>
          </wp:inline>
        </w:drawing>
      </w:r>
    </w:p>
    <w:p w14:paraId="2DAA6AD8" w14:textId="77777777" w:rsidR="001D64A4" w:rsidRDefault="001D64A4" w:rsidP="001D64A4">
      <w:pPr>
        <w:spacing w:line="240" w:lineRule="auto"/>
        <w:jc w:val="center"/>
        <w:rPr>
          <w:rFonts w:ascii="Century" w:eastAsia="Calibri Light" w:hAnsi="Century" w:cs="Calibri Light"/>
          <w:color w:val="000000" w:themeColor="text1"/>
          <w:kern w:val="0"/>
          <w14:ligatures w14:val="none"/>
        </w:rPr>
      </w:pPr>
      <w:r w:rsidRPr="001D64A4">
        <w:rPr>
          <w:rFonts w:ascii="Century" w:eastAsia="Calibri Light" w:hAnsi="Century" w:cs="Calibri Light"/>
          <w:color w:val="000000" w:themeColor="text1"/>
          <w:kern w:val="0"/>
          <w14:ligatures w14:val="none"/>
        </w:rPr>
        <w:t xml:space="preserve">Washington State Dairy Federation </w:t>
      </w:r>
    </w:p>
    <w:p w14:paraId="0AF83097" w14:textId="77777777" w:rsidR="00DF794C" w:rsidRDefault="00DF794C" w:rsidP="001D64A4">
      <w:pPr>
        <w:spacing w:line="240" w:lineRule="auto"/>
        <w:jc w:val="center"/>
        <w:rPr>
          <w:rFonts w:ascii="Century" w:eastAsia="Calibri Light" w:hAnsi="Century" w:cs="Calibri Light"/>
          <w:color w:val="000000" w:themeColor="text1"/>
          <w:kern w:val="0"/>
          <w14:ligatures w14:val="none"/>
        </w:rPr>
      </w:pPr>
    </w:p>
    <w:p w14:paraId="2EFA1B59" w14:textId="2581B7C6" w:rsidR="001D029B" w:rsidRDefault="006F41A5" w:rsidP="00AD16A1">
      <w:pPr>
        <w:spacing w:after="0" w:line="240" w:lineRule="auto"/>
      </w:pPr>
      <w:r>
        <w:t>December 13, 2024</w:t>
      </w:r>
    </w:p>
    <w:p w14:paraId="00FFCF73" w14:textId="77777777" w:rsidR="001D029B" w:rsidRDefault="001D029B" w:rsidP="00AD16A1">
      <w:pPr>
        <w:spacing w:after="0" w:line="240" w:lineRule="auto"/>
      </w:pPr>
    </w:p>
    <w:p w14:paraId="1DCBE6F6" w14:textId="22A8560E" w:rsidR="00AD16A1" w:rsidRDefault="00AD16A1" w:rsidP="00AD16A1">
      <w:pPr>
        <w:spacing w:after="0" w:line="240" w:lineRule="auto"/>
      </w:pPr>
      <w:r w:rsidRPr="0072021A">
        <w:t>Washington Department of Ecology</w:t>
      </w:r>
      <w:r w:rsidRPr="0072021A">
        <w:br/>
      </w:r>
      <w:r>
        <w:t xml:space="preserve">Attn: </w:t>
      </w:r>
      <w:r w:rsidRPr="0072021A">
        <w:t>Ms. Abbey Brown</w:t>
      </w:r>
      <w:r w:rsidRPr="0072021A">
        <w:br/>
        <w:t>Clean Fuel Standard Technical Lead</w:t>
      </w:r>
      <w:r w:rsidRPr="0072021A">
        <w:br/>
        <w:t>Post Office Box 47600</w:t>
      </w:r>
      <w:r w:rsidRPr="0072021A">
        <w:br/>
        <w:t>Olympia, WA 98504-7600</w:t>
      </w:r>
    </w:p>
    <w:p w14:paraId="533A0B79" w14:textId="35442674" w:rsidR="001D029B" w:rsidRDefault="001D029B" w:rsidP="00AD16A1">
      <w:pPr>
        <w:spacing w:after="0" w:line="240" w:lineRule="auto"/>
      </w:pPr>
    </w:p>
    <w:p w14:paraId="63E942CC" w14:textId="77777777" w:rsidR="00AD16A1" w:rsidRPr="0072021A" w:rsidRDefault="00AD16A1" w:rsidP="00AD16A1">
      <w:pPr>
        <w:spacing w:after="0" w:line="240" w:lineRule="auto"/>
      </w:pPr>
    </w:p>
    <w:p w14:paraId="06B47311" w14:textId="1D5CBF65" w:rsidR="00AD16A1" w:rsidRDefault="00AD16A1" w:rsidP="00AD16A1">
      <w:pPr>
        <w:spacing w:after="0" w:line="240" w:lineRule="auto"/>
      </w:pPr>
      <w:r w:rsidRPr="0072021A">
        <w:rPr>
          <w:b/>
          <w:bCs/>
        </w:rPr>
        <w:t>Subject:</w:t>
      </w:r>
      <w:r w:rsidRPr="0072021A">
        <w:t xml:space="preserve"> Comments on</w:t>
      </w:r>
      <w:r w:rsidR="004C075E">
        <w:t xml:space="preserve"> Proposed</w:t>
      </w:r>
      <w:r w:rsidRPr="0072021A">
        <w:t xml:space="preserve"> Amendments to Chapter 173-424 WAC Clean Fuels Program Rule</w:t>
      </w:r>
    </w:p>
    <w:p w14:paraId="53AEF651" w14:textId="77777777" w:rsidR="00AD16A1" w:rsidRPr="0072021A" w:rsidRDefault="00AD16A1" w:rsidP="00AD16A1">
      <w:pPr>
        <w:spacing w:after="0" w:line="240" w:lineRule="auto"/>
      </w:pPr>
    </w:p>
    <w:p w14:paraId="7A2C6288" w14:textId="77777777" w:rsidR="00AD16A1" w:rsidRDefault="00AD16A1" w:rsidP="00AD16A1">
      <w:pPr>
        <w:spacing w:after="0" w:line="240" w:lineRule="auto"/>
      </w:pPr>
      <w:r w:rsidRPr="0072021A">
        <w:t>Dear Ms. Brown,</w:t>
      </w:r>
    </w:p>
    <w:p w14:paraId="13CCE4D5" w14:textId="77777777" w:rsidR="00AD16A1" w:rsidRPr="0072021A" w:rsidRDefault="00AD16A1" w:rsidP="00AD16A1">
      <w:pPr>
        <w:spacing w:after="0" w:line="240" w:lineRule="auto"/>
      </w:pPr>
    </w:p>
    <w:p w14:paraId="67CFEA1F" w14:textId="2F1196B8" w:rsidR="005F0B7A" w:rsidRDefault="005F0B7A" w:rsidP="005F0B7A">
      <w:pPr>
        <w:spacing w:after="0" w:line="240" w:lineRule="auto"/>
      </w:pPr>
      <w:r>
        <w:t xml:space="preserve">Thank you for the opportunity to comment on the proposed </w:t>
      </w:r>
      <w:r w:rsidR="004C075E">
        <w:t>a</w:t>
      </w:r>
      <w:r w:rsidRPr="0072021A">
        <w:t>mendments to Chapter 173-424 WAC Clean Fuels Program Rule</w:t>
      </w:r>
      <w:r>
        <w:t>.</w:t>
      </w:r>
      <w:r w:rsidR="001D64A4">
        <w:t xml:space="preserve"> The Washington State Dairy Federation </w:t>
      </w:r>
      <w:r w:rsidR="00B524E3">
        <w:t>has represented</w:t>
      </w:r>
      <w:r w:rsidR="001D64A4">
        <w:t xml:space="preserve"> our member dairy farmers since 1892. This topic is certainly not one dairy </w:t>
      </w:r>
      <w:proofErr w:type="gramStart"/>
      <w:r w:rsidR="001D64A4">
        <w:t>farmers</w:t>
      </w:r>
      <w:proofErr w:type="gramEnd"/>
      <w:r w:rsidR="001D64A4">
        <w:t xml:space="preserve"> would have been interested in only a few decades ago</w:t>
      </w:r>
      <w:r w:rsidR="007453B9">
        <w:t>,</w:t>
      </w:r>
      <w:r w:rsidR="001D64A4">
        <w:t xml:space="preserve"> let alone in 1892. However</w:t>
      </w:r>
      <w:r w:rsidR="00794E90">
        <w:t xml:space="preserve">, </w:t>
      </w:r>
      <w:r w:rsidR="001D64A4">
        <w:t>we have members who own, operate or partner with digesters on their farms</w:t>
      </w:r>
      <w:r w:rsidR="00794E90">
        <w:t>,</w:t>
      </w:r>
      <w:r w:rsidR="001D64A4">
        <w:t xml:space="preserve"> some in operation for almost 25 years. Dairy farms have proven they can be an excellent source of clean renewable fuels. Dairy farmers in Washington and across the country are producing renewable electricity from </w:t>
      </w:r>
      <w:r w:rsidR="0088733D">
        <w:t>biogas</w:t>
      </w:r>
      <w:r w:rsidR="00C54EDD">
        <w:t xml:space="preserve"> </w:t>
      </w:r>
      <w:r w:rsidR="001D64A4">
        <w:t xml:space="preserve">engine </w:t>
      </w:r>
      <w:r w:rsidR="00C54EDD">
        <w:t xml:space="preserve">generators or </w:t>
      </w:r>
      <w:r w:rsidR="001D64A4">
        <w:t>fuel cells, they are producing renewable pipeline quality natural gas and lately converting bio methane to hydrogen.</w:t>
      </w:r>
      <w:r w:rsidR="001241F5">
        <w:t xml:space="preserve"> </w:t>
      </w:r>
      <w:r w:rsidR="001D64A4">
        <w:t xml:space="preserve">   </w:t>
      </w:r>
    </w:p>
    <w:p w14:paraId="09516779" w14:textId="77777777" w:rsidR="00AD16A1" w:rsidRPr="0072021A" w:rsidRDefault="00AD16A1" w:rsidP="00AD16A1">
      <w:pPr>
        <w:spacing w:after="0" w:line="240" w:lineRule="auto"/>
      </w:pPr>
    </w:p>
    <w:p w14:paraId="67E31772" w14:textId="572942F6" w:rsidR="005742DA" w:rsidRDefault="00AD16A1" w:rsidP="00AD16A1">
      <w:pPr>
        <w:spacing w:after="0" w:line="240" w:lineRule="auto"/>
      </w:pPr>
      <w:r w:rsidRPr="0072021A">
        <w:t xml:space="preserve">We have concerns </w:t>
      </w:r>
      <w:r w:rsidR="001D64A4">
        <w:t xml:space="preserve">with </w:t>
      </w:r>
      <w:r w:rsidRPr="0072021A">
        <w:t>the proposed rules, particularly the limitations on avoided methane crediting periods</w:t>
      </w:r>
      <w:r w:rsidR="00B90DED">
        <w:t>,</w:t>
      </w:r>
      <w:r w:rsidR="004C075E">
        <w:t xml:space="preserve"> deliverability requirements, and </w:t>
      </w:r>
      <w:r w:rsidRPr="0072021A">
        <w:t>restrictive eligibility criteri</w:t>
      </w:r>
      <w:r w:rsidR="004C075E">
        <w:t>a</w:t>
      </w:r>
      <w:r w:rsidR="001D64A4">
        <w:t>. All</w:t>
      </w:r>
      <w:r w:rsidR="004C075E">
        <w:t xml:space="preserve"> </w:t>
      </w:r>
      <w:r w:rsidRPr="0072021A">
        <w:t>will significantly discourage investment in</w:t>
      </w:r>
      <w:r w:rsidR="001D64A4">
        <w:t xml:space="preserve"> fuel production under </w:t>
      </w:r>
      <w:r w:rsidRPr="0072021A">
        <w:t xml:space="preserve">Washington's Clean Fuel Standard (CFS) program. The </w:t>
      </w:r>
      <w:r>
        <w:t xml:space="preserve">proposed </w:t>
      </w:r>
      <w:r w:rsidR="006143A5">
        <w:t>amendments</w:t>
      </w:r>
      <w:r w:rsidRPr="0072021A">
        <w:t xml:space="preserve"> </w:t>
      </w:r>
      <w:r w:rsidR="006143A5" w:rsidRPr="006143A5">
        <w:t>do not adequately account for the economic realities of biogas projects, particularly the challenges faced by small and medium-sized farms, and risk stifling the growth of the biogas industry in the state.</w:t>
      </w:r>
      <w:r w:rsidR="005742DA">
        <w:t xml:space="preserve"> </w:t>
      </w:r>
    </w:p>
    <w:p w14:paraId="4A7E9CDA" w14:textId="77777777" w:rsidR="005742DA" w:rsidRDefault="005742DA" w:rsidP="00AD16A1">
      <w:pPr>
        <w:spacing w:after="0" w:line="240" w:lineRule="auto"/>
      </w:pPr>
    </w:p>
    <w:p w14:paraId="09EB8247" w14:textId="77777777" w:rsidR="00B37C2D" w:rsidRDefault="005742DA" w:rsidP="00AD16A1">
      <w:pPr>
        <w:spacing w:after="0" w:line="240" w:lineRule="auto"/>
      </w:pPr>
      <w:r w:rsidRPr="001D64A4">
        <w:rPr>
          <w:b/>
          <w:bCs/>
        </w:rPr>
        <w:t>We have process concerns.</w:t>
      </w:r>
      <w:r>
        <w:t xml:space="preserve"> The addition of these new </w:t>
      </w:r>
      <w:r w:rsidR="00687FAD">
        <w:t xml:space="preserve">policy </w:t>
      </w:r>
      <w:r>
        <w:t xml:space="preserve">conditions on renewable biogas have been very </w:t>
      </w:r>
      <w:r w:rsidR="001D64A4">
        <w:t>‘</w:t>
      </w:r>
      <w:r>
        <w:t>last minute</w:t>
      </w:r>
      <w:r w:rsidR="001D64A4">
        <w:t>’</w:t>
      </w:r>
      <w:r>
        <w:t>. Just last week the draft language changed</w:t>
      </w:r>
      <w:r w:rsidR="00E83668">
        <w:t xml:space="preserve"> (December 4)</w:t>
      </w:r>
      <w:r>
        <w:t xml:space="preserve"> from a maximum of 14 years of crediting (2 seven year periods) for new construction to 15 years. </w:t>
      </w:r>
      <w:r w:rsidR="00E83668">
        <w:t xml:space="preserve">All of these biomethane </w:t>
      </w:r>
      <w:r w:rsidR="000B441D">
        <w:t xml:space="preserve">limitations only appeared in drafts in late October and are not outlined in your original CR 101. </w:t>
      </w:r>
    </w:p>
    <w:p w14:paraId="4B0A362A" w14:textId="4572E654" w:rsidR="00AE6CE2" w:rsidRDefault="000B441D" w:rsidP="00AD16A1">
      <w:pPr>
        <w:spacing w:after="0" w:line="240" w:lineRule="auto"/>
      </w:pPr>
      <w:r>
        <w:t xml:space="preserve">These </w:t>
      </w:r>
      <w:r w:rsidR="009F7BAB">
        <w:t>last-minute</w:t>
      </w:r>
      <w:r>
        <w:t xml:space="preserve"> policy changes in the draft have made it hard to have conversations between us – the stakeholders </w:t>
      </w:r>
      <w:r w:rsidR="00E850B7">
        <w:t xml:space="preserve">- </w:t>
      </w:r>
      <w:r>
        <w:t>and your staff. For example, w</w:t>
      </w:r>
      <w:r w:rsidR="005742DA">
        <w:t xml:space="preserve">e don’t know how </w:t>
      </w:r>
      <w:r>
        <w:t xml:space="preserve">or why </w:t>
      </w:r>
      <w:r w:rsidR="005742DA">
        <w:t xml:space="preserve">your staff determined that 14 years was appropriate, and we certainly do not know why suddenly 15 years is </w:t>
      </w:r>
      <w:r>
        <w:t>“the right incentive” or</w:t>
      </w:r>
      <w:r w:rsidR="005742DA">
        <w:t xml:space="preserve"> limit. We don’t understand why you are placing limits on renewable natural gas in the first place – other than CARB seems to have </w:t>
      </w:r>
      <w:r>
        <w:t xml:space="preserve">recently </w:t>
      </w:r>
      <w:r w:rsidR="005742DA">
        <w:t xml:space="preserve">done that. We are not </w:t>
      </w:r>
      <w:r>
        <w:t>California</w:t>
      </w:r>
      <w:r w:rsidR="00E83668">
        <w:t xml:space="preserve"> but we can learn from their successes</w:t>
      </w:r>
      <w:r>
        <w:t>;</w:t>
      </w:r>
      <w:r w:rsidR="005742DA">
        <w:t xml:space="preserve"> they </w:t>
      </w:r>
      <w:r>
        <w:t xml:space="preserve">are </w:t>
      </w:r>
      <w:r w:rsidR="005742DA">
        <w:t xml:space="preserve">10 years </w:t>
      </w:r>
      <w:r>
        <w:t xml:space="preserve">ahead of us. California has had </w:t>
      </w:r>
      <w:r w:rsidR="00B8155C">
        <w:t xml:space="preserve">the </w:t>
      </w:r>
      <w:r>
        <w:t xml:space="preserve">time and incentives in place such that </w:t>
      </w:r>
      <w:r w:rsidR="005742DA">
        <w:t xml:space="preserve">farmers and developers </w:t>
      </w:r>
      <w:r>
        <w:t xml:space="preserve">have </w:t>
      </w:r>
      <w:r w:rsidR="005742DA">
        <w:t>buil</w:t>
      </w:r>
      <w:r>
        <w:t>t</w:t>
      </w:r>
      <w:r w:rsidR="005742DA">
        <w:t xml:space="preserve"> </w:t>
      </w:r>
      <w:r w:rsidR="00E83668">
        <w:t xml:space="preserve">bio </w:t>
      </w:r>
      <w:r w:rsidR="005742DA">
        <w:t>methane collection and treatment</w:t>
      </w:r>
      <w:r>
        <w:t xml:space="preserve">, </w:t>
      </w:r>
      <w:r w:rsidR="00B8155C">
        <w:t xml:space="preserve">and </w:t>
      </w:r>
      <w:r>
        <w:t>supply</w:t>
      </w:r>
      <w:r w:rsidR="00B8155C">
        <w:t>/</w:t>
      </w:r>
      <w:r>
        <w:t xml:space="preserve"> retail dispensing </w:t>
      </w:r>
      <w:r w:rsidR="00E83668">
        <w:lastRenderedPageBreak/>
        <w:t xml:space="preserve">infrastructure </w:t>
      </w:r>
      <w:r>
        <w:t xml:space="preserve">to supply negative carbon intensity </w:t>
      </w:r>
      <w:r w:rsidR="00E83668">
        <w:t xml:space="preserve">bio methane </w:t>
      </w:r>
      <w:r>
        <w:t>for transportation fuels. Th</w:t>
      </w:r>
      <w:r w:rsidR="00FB2ABF">
        <w:t>e</w:t>
      </w:r>
      <w:r>
        <w:t xml:space="preserve"> </w:t>
      </w:r>
      <w:r w:rsidR="00E8255E">
        <w:t>California “</w:t>
      </w:r>
      <w:r>
        <w:t>system</w:t>
      </w:r>
      <w:r w:rsidR="00E8255E">
        <w:t>”</w:t>
      </w:r>
      <w:r>
        <w:t xml:space="preserve"> is a success in all regards for </w:t>
      </w:r>
      <w:r w:rsidR="00E8255E">
        <w:t xml:space="preserve">development of a renewable fuels </w:t>
      </w:r>
      <w:r w:rsidR="00F960D8">
        <w:t xml:space="preserve">program </w:t>
      </w:r>
      <w:r w:rsidR="007A32E0">
        <w:t xml:space="preserve">and </w:t>
      </w:r>
      <w:r w:rsidR="00E8255E">
        <w:t xml:space="preserve">has tremendously </w:t>
      </w:r>
      <w:r>
        <w:t>reduc</w:t>
      </w:r>
      <w:r w:rsidR="00E8255E">
        <w:t>ed</w:t>
      </w:r>
      <w:r>
        <w:t xml:space="preserve"> the average CI of motor fuels</w:t>
      </w:r>
      <w:r w:rsidR="00E8255E">
        <w:t xml:space="preserve">. </w:t>
      </w:r>
      <w:r w:rsidR="00E83668">
        <w:t xml:space="preserve">See: </w:t>
      </w:r>
      <w:r w:rsidR="00E8255E">
        <w:t xml:space="preserve"> </w:t>
      </w:r>
      <w:r>
        <w:t xml:space="preserve"> </w:t>
      </w:r>
      <w:hyperlink r:id="rId9" w:history="1">
        <w:r w:rsidR="00E83668" w:rsidRPr="00933462">
          <w:rPr>
            <w:rStyle w:val="Hyperlink"/>
          </w:rPr>
          <w:t>https://ww2.arb.ca.gov/resources/documents/lcfs-data-dashboard</w:t>
        </w:r>
      </w:hyperlink>
      <w:r w:rsidR="00E83668">
        <w:t xml:space="preserve"> </w:t>
      </w:r>
    </w:p>
    <w:p w14:paraId="49B60D16" w14:textId="0885A9FB" w:rsidR="00AD16A1" w:rsidRDefault="001D64A4" w:rsidP="00AD16A1">
      <w:pPr>
        <w:spacing w:after="0" w:line="240" w:lineRule="auto"/>
      </w:pPr>
      <w:r>
        <w:t xml:space="preserve">We </w:t>
      </w:r>
      <w:r w:rsidR="00F960D8">
        <w:t xml:space="preserve">should </w:t>
      </w:r>
      <w:r w:rsidR="00A33281">
        <w:t xml:space="preserve">consider </w:t>
      </w:r>
      <w:r>
        <w:t xml:space="preserve">how California </w:t>
      </w:r>
      <w:r w:rsidR="00736FF3">
        <w:t xml:space="preserve">made </w:t>
      </w:r>
      <w:r>
        <w:t>polic</w:t>
      </w:r>
      <w:r w:rsidR="00A33281">
        <w:t>ies</w:t>
      </w:r>
      <w:r w:rsidR="00DD0B54">
        <w:t xml:space="preserve"> (in some case ten years ago) </w:t>
      </w:r>
      <w:r w:rsidR="00736FF3">
        <w:t xml:space="preserve">that established </w:t>
      </w:r>
      <w:r>
        <w:t>the conditions for success</w:t>
      </w:r>
      <w:r w:rsidR="00A33281">
        <w:t xml:space="preserve">, </w:t>
      </w:r>
      <w:r>
        <w:t>learn where they made mistakes</w:t>
      </w:r>
      <w:r w:rsidR="00683067">
        <w:t xml:space="preserve"> and consider together how we can also </w:t>
      </w:r>
      <w:proofErr w:type="gramStart"/>
      <w:r w:rsidR="00683067">
        <w:t>establish</w:t>
      </w:r>
      <w:r w:rsidR="002D33AB">
        <w:t xml:space="preserve"> </w:t>
      </w:r>
      <w:r w:rsidR="00683067">
        <w:t xml:space="preserve"> a</w:t>
      </w:r>
      <w:proofErr w:type="gramEnd"/>
      <w:r w:rsidR="00683067">
        <w:t xml:space="preserve"> successful </w:t>
      </w:r>
      <w:r w:rsidR="002D33AB">
        <w:t xml:space="preserve">renewable fuels program. </w:t>
      </w:r>
      <w:r>
        <w:t xml:space="preserve"> </w:t>
      </w:r>
    </w:p>
    <w:p w14:paraId="3E3DD7BE" w14:textId="77777777" w:rsidR="006143A5" w:rsidRPr="0072021A" w:rsidRDefault="006143A5" w:rsidP="00AD16A1">
      <w:pPr>
        <w:spacing w:after="0" w:line="240" w:lineRule="auto"/>
      </w:pPr>
    </w:p>
    <w:p w14:paraId="6820D83C" w14:textId="77777777" w:rsidR="00AD16A1" w:rsidRPr="0072021A" w:rsidRDefault="00AD16A1" w:rsidP="00AD16A1">
      <w:pPr>
        <w:spacing w:after="0" w:line="240" w:lineRule="auto"/>
      </w:pPr>
      <w:r w:rsidRPr="0072021A">
        <w:t>Specifically:</w:t>
      </w:r>
    </w:p>
    <w:p w14:paraId="4C898ADC" w14:textId="098D124F" w:rsidR="00E8255E" w:rsidRDefault="00AD16A1" w:rsidP="00AD16A1">
      <w:pPr>
        <w:numPr>
          <w:ilvl w:val="0"/>
          <w:numId w:val="2"/>
        </w:numPr>
        <w:spacing w:after="0" w:line="240" w:lineRule="auto"/>
      </w:pPr>
      <w:r w:rsidRPr="735D853A">
        <w:rPr>
          <w:b/>
          <w:bCs/>
        </w:rPr>
        <w:t xml:space="preserve">Crediting Periods: </w:t>
      </w:r>
      <w:r>
        <w:t>The 15-year crediting period for avoided methane is</w:t>
      </w:r>
      <w:r w:rsidR="00DD0B54">
        <w:t xml:space="preserve"> completely</w:t>
      </w:r>
      <w:r>
        <w:t xml:space="preserve"> insufficient to incentivize investment. Anaerobic digesters typically operate for 25-30</w:t>
      </w:r>
      <w:r w:rsidR="00A66665">
        <w:t xml:space="preserve"> +</w:t>
      </w:r>
      <w:r>
        <w:t xml:space="preserve"> years, capturing methane and reducing emissions throughout their lifespan. Limiting credits to such a short</w:t>
      </w:r>
      <w:r w:rsidR="00D40453">
        <w:t xml:space="preserve"> </w:t>
      </w:r>
      <w:r w:rsidR="00366FCD">
        <w:t>15-year</w:t>
      </w:r>
      <w:r>
        <w:t xml:space="preserve"> period undermines project viability and fails to account for the long-term environmental benefits these systems provide. </w:t>
      </w:r>
    </w:p>
    <w:p w14:paraId="5E2F1C41" w14:textId="086F9D9E" w:rsidR="00E8255E" w:rsidRDefault="00E8255E" w:rsidP="00C76457">
      <w:pPr>
        <w:numPr>
          <w:ilvl w:val="1"/>
          <w:numId w:val="2"/>
        </w:numPr>
        <w:spacing w:after="0" w:line="240" w:lineRule="auto"/>
      </w:pPr>
      <w:r>
        <w:t xml:space="preserve">A </w:t>
      </w:r>
      <w:proofErr w:type="gramStart"/>
      <w:r>
        <w:t>15 year</w:t>
      </w:r>
      <w:proofErr w:type="gramEnd"/>
      <w:r w:rsidR="00C4185C">
        <w:t xml:space="preserve"> limitation will </w:t>
      </w:r>
      <w:r w:rsidR="00E83668">
        <w:t xml:space="preserve">not stimulate </w:t>
      </w:r>
      <w:r w:rsidR="00102EB1">
        <w:t xml:space="preserve">investment </w:t>
      </w:r>
      <w:r w:rsidR="00E83668">
        <w:t xml:space="preserve">renewable fuel projects! </w:t>
      </w:r>
      <w:r w:rsidR="00021C30">
        <w:t xml:space="preserve">It will stymie investment from </w:t>
      </w:r>
      <w:proofErr w:type="gramStart"/>
      <w:r w:rsidR="00021C30">
        <w:t>farm</w:t>
      </w:r>
      <w:proofErr w:type="gramEnd"/>
      <w:r w:rsidR="0005004B">
        <w:t xml:space="preserve"> to retail. </w:t>
      </w:r>
    </w:p>
    <w:p w14:paraId="7224BE7E" w14:textId="79364E0D" w:rsidR="00E8255E" w:rsidRDefault="00021C30" w:rsidP="00E8255E">
      <w:pPr>
        <w:numPr>
          <w:ilvl w:val="1"/>
          <w:numId w:val="2"/>
        </w:numPr>
        <w:spacing w:after="0" w:line="240" w:lineRule="auto"/>
      </w:pPr>
      <w:r>
        <w:t xml:space="preserve">Remember </w:t>
      </w:r>
      <w:r w:rsidR="00E8255E">
        <w:t xml:space="preserve">California has had a </w:t>
      </w:r>
      <w:r w:rsidR="00E83668">
        <w:t>10-year</w:t>
      </w:r>
      <w:r w:rsidR="00E8255E">
        <w:t xml:space="preserve"> head start on us. </w:t>
      </w:r>
    </w:p>
    <w:p w14:paraId="6C040B28" w14:textId="1A0FBE4B" w:rsidR="00E8255E" w:rsidRDefault="00021C30">
      <w:pPr>
        <w:numPr>
          <w:ilvl w:val="1"/>
          <w:numId w:val="2"/>
        </w:numPr>
        <w:spacing w:after="0" w:line="240" w:lineRule="auto"/>
      </w:pPr>
      <w:r>
        <w:t xml:space="preserve">If </w:t>
      </w:r>
      <w:r w:rsidR="00E8255E">
        <w:t>we recall correctly</w:t>
      </w:r>
      <w:r w:rsidR="00C4185C">
        <w:t xml:space="preserve"> CARB</w:t>
      </w:r>
      <w:r w:rsidR="00E8255E">
        <w:t xml:space="preserve"> grants a longer credit if the pathway is </w:t>
      </w:r>
      <w:r w:rsidR="00C7283B">
        <w:t>biogas</w:t>
      </w:r>
      <w:r w:rsidR="00E8255E">
        <w:t xml:space="preserve"> to either fuel cell or hydrogen production. </w:t>
      </w:r>
      <w:r w:rsidR="001D64A4">
        <w:t>(2050?)</w:t>
      </w:r>
    </w:p>
    <w:p w14:paraId="09AD87CB" w14:textId="1DF40C52" w:rsidR="00F378BF" w:rsidRDefault="00AD16A1" w:rsidP="00F378BF">
      <w:pPr>
        <w:spacing w:after="0" w:line="240" w:lineRule="auto"/>
        <w:ind w:left="720"/>
      </w:pPr>
      <w:r>
        <w:t>Developers assess projects based on asset lifespan</w:t>
      </w:r>
      <w:r w:rsidR="005742DA">
        <w:t xml:space="preserve">, </w:t>
      </w:r>
      <w:r>
        <w:t>market value</w:t>
      </w:r>
      <w:r w:rsidR="005742DA">
        <w:t xml:space="preserve">, return </w:t>
      </w:r>
      <w:r>
        <w:t xml:space="preserve">on investment (ROI) calculations </w:t>
      </w:r>
      <w:r w:rsidR="000B441D">
        <w:t xml:space="preserve">which </w:t>
      </w:r>
      <w:r>
        <w:t>fluctuate with market prices and projects specifics. A longer crediting period is essential to ensure stability, attract investment, support sustainable biogas development, and ensure biogas projects continue capturing methane emissions.</w:t>
      </w:r>
      <w:r w:rsidR="00E8255E">
        <w:t xml:space="preserve"> </w:t>
      </w:r>
    </w:p>
    <w:p w14:paraId="50B63A68" w14:textId="177A51FD" w:rsidR="00F378BF" w:rsidRDefault="00F378BF" w:rsidP="00F378BF">
      <w:pPr>
        <w:pStyle w:val="ListParagraph"/>
        <w:numPr>
          <w:ilvl w:val="0"/>
          <w:numId w:val="5"/>
        </w:numPr>
        <w:spacing w:after="0" w:line="240" w:lineRule="auto"/>
      </w:pPr>
      <w:r>
        <w:t>Additionally</w:t>
      </w:r>
      <w:r w:rsidR="00D050A8">
        <w:t xml:space="preserve">, </w:t>
      </w:r>
      <w:r>
        <w:t xml:space="preserve">a concern with limitations of 15 years comes on the </w:t>
      </w:r>
      <w:r w:rsidR="008B3CD9">
        <w:t xml:space="preserve">demand or retail side of </w:t>
      </w:r>
      <w:r>
        <w:t>the equation.</w:t>
      </w:r>
      <w:r w:rsidR="00AE0316">
        <w:t xml:space="preserve"> It is hard to</w:t>
      </w:r>
      <w:r w:rsidR="003974C2">
        <w:t xml:space="preserve"> envision</w:t>
      </w:r>
      <w:r w:rsidR="00AE0316">
        <w:t xml:space="preserve"> any significant investment will be made in </w:t>
      </w:r>
      <w:r w:rsidR="008B3CD9">
        <w:t xml:space="preserve">pipelines and fueling infrastructure if the credit period is limited to 15 </w:t>
      </w:r>
      <w:r w:rsidR="00981CB5">
        <w:t>years</w:t>
      </w:r>
      <w:r w:rsidR="007B0308">
        <w:t>.</w:t>
      </w:r>
      <w:r w:rsidR="00981CB5">
        <w:t xml:space="preserve"> Additionally</w:t>
      </w:r>
      <w:r w:rsidR="003974C2">
        <w:t>, i</w:t>
      </w:r>
      <w:r>
        <w:t>t is our understanding that in California the limitation</w:t>
      </w:r>
      <w:r w:rsidR="00AB711F">
        <w:t>s</w:t>
      </w:r>
      <w:r>
        <w:t xml:space="preserve"> on crediting biogas </w:t>
      </w:r>
      <w:r w:rsidR="00AB711F">
        <w:t xml:space="preserve">may </w:t>
      </w:r>
      <w:r w:rsidR="003974C2">
        <w:t xml:space="preserve">already </w:t>
      </w:r>
      <w:r w:rsidR="00AB711F">
        <w:t xml:space="preserve">be </w:t>
      </w:r>
      <w:r>
        <w:t xml:space="preserve">having a negative impact on investment by fleets in </w:t>
      </w:r>
      <w:r w:rsidR="00D050A8">
        <w:t>bio</w:t>
      </w:r>
      <w:r w:rsidR="00981271">
        <w:t xml:space="preserve"> methane </w:t>
      </w:r>
      <w:r>
        <w:t xml:space="preserve">powered trucks. There are no current good options for battery powered large trucks and </w:t>
      </w:r>
      <w:r w:rsidR="00981271">
        <w:t xml:space="preserve">there </w:t>
      </w:r>
      <w:r w:rsidR="00D050A8">
        <w:t xml:space="preserve">may </w:t>
      </w:r>
      <w:r w:rsidR="001D64A4">
        <w:t xml:space="preserve">never </w:t>
      </w:r>
      <w:r>
        <w:t xml:space="preserve">be good options for battery powered </w:t>
      </w:r>
      <w:r w:rsidR="00D050A8">
        <w:t>heavy trucks</w:t>
      </w:r>
      <w:r w:rsidR="00981271">
        <w:t>,</w:t>
      </w:r>
      <w:r w:rsidR="00D050A8">
        <w:t xml:space="preserve"> especially long haul. Hydrogen trucks are still a </w:t>
      </w:r>
      <w:r w:rsidR="00C7283B">
        <w:t>way</w:t>
      </w:r>
      <w:r w:rsidR="00D050A8">
        <w:t xml:space="preserve"> off from commercial availability, which leaves natural gas</w:t>
      </w:r>
      <w:r w:rsidR="006B02F0">
        <w:t xml:space="preserve"> fueled </w:t>
      </w:r>
      <w:r w:rsidR="00D050A8">
        <w:t>internal combustion engines as</w:t>
      </w:r>
      <w:r w:rsidR="00D050A8" w:rsidRPr="001D64A4">
        <w:rPr>
          <w:b/>
          <w:bCs/>
        </w:rPr>
        <w:t xml:space="preserve"> </w:t>
      </w:r>
      <w:r w:rsidR="00E40B9B">
        <w:rPr>
          <w:b/>
          <w:bCs/>
        </w:rPr>
        <w:t xml:space="preserve">the </w:t>
      </w:r>
      <w:r w:rsidR="00D050A8">
        <w:t>current</w:t>
      </w:r>
      <w:r w:rsidR="00E40B9B">
        <w:t xml:space="preserve"> best </w:t>
      </w:r>
      <w:r w:rsidR="00D050A8">
        <w:t>option to reduce fleet CI scores. However, truck purchasing decisions are made by looking out over a longer time frame. We would suggest your staff confer with your California counterparts about not only the supply side but also the reactions to policy changes on the demand side (such as from trucking companies</w:t>
      </w:r>
      <w:r w:rsidR="003E1FEA">
        <w:t xml:space="preserve"> or building out fueling infrastructure</w:t>
      </w:r>
      <w:r w:rsidR="00D050A8">
        <w:t xml:space="preserve">). </w:t>
      </w:r>
    </w:p>
    <w:p w14:paraId="56E11B5F" w14:textId="77777777" w:rsidR="00F378BF" w:rsidRDefault="00F378BF" w:rsidP="00F378BF">
      <w:pPr>
        <w:spacing w:after="0" w:line="240" w:lineRule="auto"/>
      </w:pPr>
    </w:p>
    <w:p w14:paraId="103B6BEC" w14:textId="2C559BD0" w:rsidR="00AD16A1" w:rsidRDefault="00AD16A1" w:rsidP="00AD16A1">
      <w:pPr>
        <w:numPr>
          <w:ilvl w:val="0"/>
          <w:numId w:val="2"/>
        </w:numPr>
        <w:spacing w:after="0" w:line="240" w:lineRule="auto"/>
      </w:pPr>
      <w:r w:rsidRPr="0059498B">
        <w:rPr>
          <w:b/>
          <w:bCs/>
        </w:rPr>
        <w:t xml:space="preserve">Deliverability: </w:t>
      </w:r>
      <w:r w:rsidRPr="0059498B">
        <w:t>Establishing a 50% physical flow requirement for biomethane used in transportation fuels, electricity generation, or as a feedstock for hydrogen, jet fuel, or renewable diesel is unnecessary at this early stage of Washington’s Clean Fuel Program. These restrictions</w:t>
      </w:r>
      <w:r w:rsidR="00025EB3">
        <w:t xml:space="preserve"> </w:t>
      </w:r>
      <w:r w:rsidRPr="0059498B">
        <w:t xml:space="preserve">add complexity, deter investment, and limit flexibility. Additionally, restricting REC sourcing to Washington, Oregon, or Idaho is overly narrow. </w:t>
      </w:r>
      <w:r w:rsidR="00025EB3">
        <w:t>Maintaining</w:t>
      </w:r>
      <w:r w:rsidRPr="0059498B">
        <w:t xml:space="preserve"> eligibility to the Western Electricity Coordinating Council (WECC) region align</w:t>
      </w:r>
      <w:r w:rsidR="001D335D">
        <w:t>s</w:t>
      </w:r>
      <w:r w:rsidRPr="0059498B">
        <w:t xml:space="preserve"> with other West Coast programs, </w:t>
      </w:r>
      <w:r w:rsidR="00E27CA6" w:rsidRPr="0059498B">
        <w:t>supports</w:t>
      </w:r>
      <w:r w:rsidRPr="0059498B">
        <w:t xml:space="preserve"> broader market participation, and foster</w:t>
      </w:r>
      <w:r w:rsidR="00E27CA6">
        <w:t>s</w:t>
      </w:r>
      <w:r w:rsidRPr="0059498B">
        <w:t xml:space="preserve"> the program’s growth.</w:t>
      </w:r>
    </w:p>
    <w:p w14:paraId="5A13EC76" w14:textId="77777777" w:rsidR="005A3DDF" w:rsidRDefault="005A3DDF" w:rsidP="005A3DDF">
      <w:pPr>
        <w:spacing w:after="0" w:line="240" w:lineRule="auto"/>
        <w:ind w:left="720"/>
      </w:pPr>
    </w:p>
    <w:p w14:paraId="6E943951" w14:textId="013E3AB2" w:rsidR="00F61BA2" w:rsidRDefault="00F61BA2" w:rsidP="00AD16A1">
      <w:pPr>
        <w:numPr>
          <w:ilvl w:val="0"/>
          <w:numId w:val="2"/>
        </w:numPr>
        <w:spacing w:after="0" w:line="240" w:lineRule="auto"/>
      </w:pPr>
      <w:r>
        <w:t xml:space="preserve">We need clarification about what you </w:t>
      </w:r>
      <w:r w:rsidR="00E97E92">
        <w:t>mean</w:t>
      </w:r>
      <w:r w:rsidR="003C4546">
        <w:t xml:space="preserve"> and why you added the conditions </w:t>
      </w:r>
      <w:r w:rsidR="00465AA2">
        <w:t xml:space="preserve">in </w:t>
      </w:r>
      <w:r>
        <w:t>the following wording</w:t>
      </w:r>
      <w:r w:rsidR="00465AA2">
        <w:t xml:space="preserve">, </w:t>
      </w:r>
      <w:r w:rsidR="00642AA4">
        <w:t>found on page 102</w:t>
      </w:r>
      <w:r w:rsidR="00D32199">
        <w:t xml:space="preserve">, </w:t>
      </w:r>
      <w:r w:rsidR="00E7060C">
        <w:t>(</w:t>
      </w:r>
      <w:r w:rsidR="00D32199">
        <w:t>some natural gas pipelines only flow one way when they pass by or near our farms</w:t>
      </w:r>
      <w:r w:rsidR="00E7060C">
        <w:t>)</w:t>
      </w:r>
      <w:r w:rsidR="00642AA4">
        <w:t xml:space="preserve">: </w:t>
      </w:r>
    </w:p>
    <w:p w14:paraId="38717F48" w14:textId="65908C7E" w:rsidR="00F61BA2" w:rsidRPr="00642AA4" w:rsidRDefault="00F61BA2" w:rsidP="00F61BA2">
      <w:pPr>
        <w:numPr>
          <w:ilvl w:val="1"/>
          <w:numId w:val="2"/>
        </w:numPr>
        <w:spacing w:after="0" w:line="240" w:lineRule="auto"/>
        <w:rPr>
          <w:i/>
          <w:iCs/>
        </w:rPr>
      </w:pPr>
      <w:proofErr w:type="spellStart"/>
      <w:r w:rsidRPr="00642AA4">
        <w:rPr>
          <w:i/>
          <w:iCs/>
        </w:rPr>
        <w:lastRenderedPageBreak/>
        <w:t>i</w:t>
      </w:r>
      <w:proofErr w:type="spellEnd"/>
      <w:r w:rsidRPr="00642AA4">
        <w:rPr>
          <w:i/>
          <w:iCs/>
        </w:rPr>
        <w:t>) Starting January 1, 2032, for reporting bio-CNG, bio-LNG, and bio-L-CNG used as</w:t>
      </w:r>
    </w:p>
    <w:p w14:paraId="64D7D603" w14:textId="1AA5258D" w:rsidR="00F61BA2" w:rsidRDefault="00F61BA2" w:rsidP="00642AA4">
      <w:pPr>
        <w:spacing w:after="0" w:line="240" w:lineRule="auto"/>
        <w:ind w:left="1440"/>
        <w:rPr>
          <w:i/>
          <w:iCs/>
        </w:rPr>
      </w:pPr>
      <w:r w:rsidRPr="00642AA4">
        <w:rPr>
          <w:i/>
          <w:iCs/>
        </w:rPr>
        <w:t>transportation fuel, entities must demonstrate that the pipeline or pipelines along the delivery path physically flow from the initial injection point toward the fuel dispensing facility at least 50 percent of the time on an annual basis.</w:t>
      </w:r>
    </w:p>
    <w:p w14:paraId="29BFEF3C" w14:textId="77777777" w:rsidR="00994F70" w:rsidRPr="00642AA4" w:rsidRDefault="00994F70" w:rsidP="00642AA4">
      <w:pPr>
        <w:spacing w:after="0" w:line="240" w:lineRule="auto"/>
        <w:ind w:left="1440"/>
        <w:rPr>
          <w:i/>
          <w:iCs/>
        </w:rPr>
      </w:pPr>
    </w:p>
    <w:p w14:paraId="4D2861B6" w14:textId="15AE083E" w:rsidR="004C075E" w:rsidRDefault="004C075E" w:rsidP="004C075E">
      <w:pPr>
        <w:numPr>
          <w:ilvl w:val="0"/>
          <w:numId w:val="2"/>
        </w:numPr>
        <w:spacing w:after="0" w:line="240" w:lineRule="auto"/>
      </w:pPr>
      <w:r w:rsidRPr="735D853A">
        <w:rPr>
          <w:b/>
          <w:bCs/>
        </w:rPr>
        <w:t xml:space="preserve">Early </w:t>
      </w:r>
      <w:r w:rsidR="00F378BF">
        <w:rPr>
          <w:b/>
          <w:bCs/>
        </w:rPr>
        <w:t>adopter/innovator leaders p</w:t>
      </w:r>
      <w:r w:rsidRPr="735D853A">
        <w:rPr>
          <w:b/>
          <w:bCs/>
        </w:rPr>
        <w:t>enalized</w:t>
      </w:r>
      <w:r>
        <w:t>: Projects operational before 2023 continue to reduce emissions but are unfairly penalized with reduced crediting periods, despite their ongoing contributions to methane abatement.</w:t>
      </w:r>
      <w:r w:rsidR="000B441D">
        <w:t xml:space="preserve"> The limitation on established digesters is a penalty that will close their facilities, you will be punishing our early</w:t>
      </w:r>
      <w:r w:rsidR="00E8255E">
        <w:t xml:space="preserve"> adopters. These existing farmers and developers </w:t>
      </w:r>
      <w:r w:rsidR="00D050A8">
        <w:t xml:space="preserve">with digesters </w:t>
      </w:r>
      <w:r w:rsidR="00E8255E">
        <w:t xml:space="preserve">are the </w:t>
      </w:r>
      <w:r w:rsidR="00D050A8">
        <w:t>leaders</w:t>
      </w:r>
      <w:r w:rsidR="00E8255E">
        <w:t xml:space="preserve"> </w:t>
      </w:r>
      <w:r w:rsidR="00D050A8">
        <w:t xml:space="preserve">that </w:t>
      </w:r>
      <w:r w:rsidR="00E8255E">
        <w:t>other farmers learn from</w:t>
      </w:r>
      <w:r w:rsidR="00E83668">
        <w:t>,</w:t>
      </w:r>
      <w:r w:rsidR="00E8255E">
        <w:t xml:space="preserve"> listen to</w:t>
      </w:r>
      <w:r w:rsidR="00E83668">
        <w:t xml:space="preserve">, visit their facilities </w:t>
      </w:r>
      <w:r w:rsidR="00E8255E">
        <w:t xml:space="preserve">and gain wisdom from. </w:t>
      </w:r>
      <w:r w:rsidR="00E83668">
        <w:t xml:space="preserve">The whole notion of a look back from 2022 and reducing or eliminating credits will put these </w:t>
      </w:r>
      <w:r w:rsidR="00E8255E">
        <w:t xml:space="preserve">early innovators and </w:t>
      </w:r>
      <w:r w:rsidR="000B441D">
        <w:t xml:space="preserve">leaders </w:t>
      </w:r>
      <w:r w:rsidR="00E8255E">
        <w:t>out of business</w:t>
      </w:r>
      <w:r w:rsidR="00E83668">
        <w:t xml:space="preserve">. </w:t>
      </w:r>
      <w:r w:rsidR="0093200A">
        <w:t xml:space="preserve">Which </w:t>
      </w:r>
      <w:r w:rsidR="00E8255E">
        <w:t xml:space="preserve">sends a </w:t>
      </w:r>
      <w:r w:rsidR="00E8255E" w:rsidRPr="00E83668">
        <w:rPr>
          <w:u w:val="single"/>
        </w:rPr>
        <w:t>really bad message</w:t>
      </w:r>
      <w:r w:rsidR="00E8255E">
        <w:t xml:space="preserve"> to the rest of the farms in the state. </w:t>
      </w:r>
    </w:p>
    <w:p w14:paraId="7B3E0B3B" w14:textId="77777777" w:rsidR="00994F70" w:rsidRDefault="00994F70" w:rsidP="00994F70">
      <w:pPr>
        <w:spacing w:after="0" w:line="240" w:lineRule="auto"/>
        <w:ind w:left="720"/>
      </w:pPr>
    </w:p>
    <w:p w14:paraId="582C6657" w14:textId="21095564" w:rsidR="001D64A4" w:rsidRDefault="00C72627" w:rsidP="00AD16A1">
      <w:pPr>
        <w:numPr>
          <w:ilvl w:val="0"/>
          <w:numId w:val="2"/>
        </w:numPr>
        <w:spacing w:after="0" w:line="240" w:lineRule="auto"/>
      </w:pPr>
      <w:r w:rsidRPr="00C72627">
        <w:rPr>
          <w:b/>
          <w:bCs/>
        </w:rPr>
        <w:t>Extreme penalties -</w:t>
      </w:r>
      <w:r>
        <w:t xml:space="preserve"> </w:t>
      </w:r>
      <w:r w:rsidR="00053753">
        <w:t xml:space="preserve">As many commenters noted </w:t>
      </w:r>
      <w:r>
        <w:t xml:space="preserve">in previous </w:t>
      </w:r>
      <w:r w:rsidR="003B4A19">
        <w:t xml:space="preserve">comments, </w:t>
      </w:r>
      <w:r w:rsidR="00053753">
        <w:t xml:space="preserve">the </w:t>
      </w:r>
      <w:r w:rsidR="00CC6D94">
        <w:t xml:space="preserve">penalties (4x) for CI exceedance </w:t>
      </w:r>
      <w:r w:rsidR="00FE062C">
        <w:t xml:space="preserve">(page 110) </w:t>
      </w:r>
      <w:proofErr w:type="gramStart"/>
      <w:r w:rsidR="00CC6D94">
        <w:t>is</w:t>
      </w:r>
      <w:proofErr w:type="gramEnd"/>
      <w:r w:rsidR="00CC6D94">
        <w:t xml:space="preserve"> too extreme</w:t>
      </w:r>
      <w:r w:rsidR="003B4A19">
        <w:t>. O</w:t>
      </w:r>
      <w:r w:rsidR="00CC6D94">
        <w:t>ur farmers</w:t>
      </w:r>
      <w:r w:rsidR="003B4A19">
        <w:t>/operators</w:t>
      </w:r>
      <w:r w:rsidR="00CC6D94">
        <w:t xml:space="preserve"> </w:t>
      </w:r>
      <w:r w:rsidR="0098747B">
        <w:t>whether</w:t>
      </w:r>
      <w:r w:rsidR="0009490B">
        <w:t xml:space="preserve"> they are operating mixed feed (co</w:t>
      </w:r>
      <w:r w:rsidR="003B4A19">
        <w:t>-</w:t>
      </w:r>
      <w:r w:rsidR="0009490B">
        <w:t>digestion with food waste) or strictly manure only digesters oft</w:t>
      </w:r>
      <w:r w:rsidR="000341AA">
        <w:t>en see fluctuations in gas production</w:t>
      </w:r>
      <w:r w:rsidR="002F7138">
        <w:t xml:space="preserve"> due to a variety of reasons, please don’t overly penalize inadvertent change</w:t>
      </w:r>
      <w:r w:rsidR="007242A1">
        <w:t>s that will affect the CI score</w:t>
      </w:r>
      <w:r w:rsidR="00507A7C">
        <w:t>s.</w:t>
      </w:r>
    </w:p>
    <w:p w14:paraId="3374CFB1" w14:textId="77777777" w:rsidR="0093200A" w:rsidRPr="001D64A4" w:rsidRDefault="0093200A" w:rsidP="0093200A">
      <w:pPr>
        <w:spacing w:after="0" w:line="240" w:lineRule="auto"/>
      </w:pPr>
    </w:p>
    <w:p w14:paraId="0E0DAC6F" w14:textId="304E9570" w:rsidR="00AD16A1" w:rsidRDefault="00AD16A1" w:rsidP="00DA28F6">
      <w:pPr>
        <w:numPr>
          <w:ilvl w:val="0"/>
          <w:numId w:val="2"/>
        </w:numPr>
        <w:spacing w:after="0" w:line="240" w:lineRule="auto"/>
      </w:pPr>
      <w:r w:rsidRPr="00410D96">
        <w:rPr>
          <w:b/>
          <w:bCs/>
        </w:rPr>
        <w:t>Economic Viability</w:t>
      </w:r>
      <w:r>
        <w:t xml:space="preserve">: The draft rules disproportionately impact smaller dairy farms, which make up 75% of Washington’s dairies, leaving </w:t>
      </w:r>
      <w:r w:rsidR="004D567B">
        <w:t xml:space="preserve">very few </w:t>
      </w:r>
      <w:r>
        <w:t xml:space="preserve">farms </w:t>
      </w:r>
      <w:r w:rsidR="00AC1C87">
        <w:t>viable</w:t>
      </w:r>
      <w:r>
        <w:t xml:space="preserve"> for digester participation. </w:t>
      </w:r>
    </w:p>
    <w:p w14:paraId="52C6326A" w14:textId="77777777" w:rsidR="00410D96" w:rsidRDefault="00410D96" w:rsidP="00410D96">
      <w:pPr>
        <w:spacing w:after="0" w:line="240" w:lineRule="auto"/>
      </w:pPr>
    </w:p>
    <w:p w14:paraId="3D9CCD74" w14:textId="77777777" w:rsidR="00AD16A1" w:rsidRDefault="00AD16A1" w:rsidP="00AD16A1">
      <w:pPr>
        <w:spacing w:after="0" w:line="240" w:lineRule="auto"/>
      </w:pPr>
      <w:r>
        <w:t>Washington’s program must recognize its early-stage development compared to California's mature market. Policies should incentivize participation and long-term investment rather than imposing restrictions that dissuade new projects. Expanding crediting periods and revisiting eligibility requirements are critical to ensuring the success of Washington's CFS and support for in-state biogas production.</w:t>
      </w:r>
    </w:p>
    <w:p w14:paraId="4382BEA5" w14:textId="77777777" w:rsidR="00AD16A1" w:rsidRPr="0072021A" w:rsidRDefault="00AD16A1" w:rsidP="00AD16A1">
      <w:pPr>
        <w:spacing w:after="0" w:line="240" w:lineRule="auto"/>
      </w:pPr>
    </w:p>
    <w:p w14:paraId="09D8A22D" w14:textId="01022B5F" w:rsidR="00AD16A1" w:rsidRDefault="00D050A8" w:rsidP="00AD16A1">
      <w:pPr>
        <w:spacing w:after="0" w:line="240" w:lineRule="auto"/>
      </w:pPr>
      <w:r>
        <w:t>Our farmers are very interested in reducing GHG emissions, renewable energy and</w:t>
      </w:r>
      <w:r w:rsidR="005A3531">
        <w:t xml:space="preserve"> </w:t>
      </w:r>
      <w:r w:rsidR="00E7794E">
        <w:t>successfully participating</w:t>
      </w:r>
      <w:r>
        <w:t xml:space="preserve"> in these markets just </w:t>
      </w:r>
      <w:r w:rsidR="00F44318">
        <w:t xml:space="preserve">as </w:t>
      </w:r>
      <w:r>
        <w:t xml:space="preserve">their farmer </w:t>
      </w:r>
      <w:r w:rsidR="006704CC">
        <w:t>counterparts</w:t>
      </w:r>
      <w:r>
        <w:t xml:space="preserve"> </w:t>
      </w:r>
      <w:r w:rsidR="005A3531">
        <w:t xml:space="preserve">have done </w:t>
      </w:r>
      <w:r>
        <w:t xml:space="preserve">in California. </w:t>
      </w:r>
      <w:r w:rsidR="005A3531">
        <w:t>W</w:t>
      </w:r>
      <w:r>
        <w:t xml:space="preserve">e </w:t>
      </w:r>
      <w:r w:rsidR="00AD16A1" w:rsidRPr="0072021A">
        <w:t>urge Ecology to reconsider the proposed rules to better align with the state’s climate goals and economic realities</w:t>
      </w:r>
      <w:r>
        <w:t xml:space="preserve"> of incentivizing </w:t>
      </w:r>
      <w:r w:rsidR="00C069BE">
        <w:t>biogas</w:t>
      </w:r>
      <w:r>
        <w:t xml:space="preserve"> based energy sources</w:t>
      </w:r>
      <w:r w:rsidR="00AD16A1" w:rsidRPr="0072021A">
        <w:t xml:space="preserve">. </w:t>
      </w:r>
    </w:p>
    <w:p w14:paraId="350CEDCC" w14:textId="77777777" w:rsidR="00F378BF" w:rsidRDefault="00F378BF" w:rsidP="00AD16A1">
      <w:pPr>
        <w:spacing w:after="0" w:line="240" w:lineRule="auto"/>
      </w:pPr>
    </w:p>
    <w:p w14:paraId="6CB10138" w14:textId="46D5E532" w:rsidR="00F378BF" w:rsidRDefault="00F378BF" w:rsidP="00AD16A1">
      <w:pPr>
        <w:spacing w:after="0" w:line="240" w:lineRule="auto"/>
      </w:pPr>
      <w:r>
        <w:t xml:space="preserve">Finally, </w:t>
      </w:r>
      <w:r w:rsidR="00D050A8">
        <w:t>we</w:t>
      </w:r>
      <w:r>
        <w:t xml:space="preserve"> would ask that your agency consider discussions with the legislature on granting your agency better more timely tools in which to keep the market in a range that works to balance the supply of debits and credits. Once again</w:t>
      </w:r>
      <w:r w:rsidR="00D050A8">
        <w:t>,</w:t>
      </w:r>
      <w:r>
        <w:t xml:space="preserve"> we should learn from the experiences of our neighbors to the south</w:t>
      </w:r>
      <w:r w:rsidR="00A40D2C">
        <w:t xml:space="preserve">. </w:t>
      </w:r>
      <w:r>
        <w:t xml:space="preserve">CARB has agency authority </w:t>
      </w:r>
      <w:r w:rsidR="00F65372">
        <w:t>(automatic accelerat</w:t>
      </w:r>
      <w:r w:rsidR="00CB16FC">
        <w:t xml:space="preserve">ion mechanism) </w:t>
      </w:r>
      <w:r>
        <w:t>that your agency does not have</w:t>
      </w:r>
      <w:r w:rsidR="004A1FEC">
        <w:t xml:space="preserve">, </w:t>
      </w:r>
      <w:r>
        <w:t xml:space="preserve">that </w:t>
      </w:r>
      <w:r w:rsidR="00A40D2C">
        <w:t xml:space="preserve">seems to be </w:t>
      </w:r>
      <w:r>
        <w:t>help</w:t>
      </w:r>
      <w:r w:rsidR="00A40D2C">
        <w:t>ing</w:t>
      </w:r>
      <w:r>
        <w:t xml:space="preserve"> </w:t>
      </w:r>
      <w:r w:rsidR="0041097F">
        <w:t xml:space="preserve">keep a </w:t>
      </w:r>
      <w:r w:rsidR="00212C05">
        <w:t xml:space="preserve">‘healthy’ </w:t>
      </w:r>
      <w:r>
        <w:t>market</w:t>
      </w:r>
      <w:r w:rsidR="004A1FEC">
        <w:t xml:space="preserve"> </w:t>
      </w:r>
      <w:r w:rsidR="00212C05">
        <w:t xml:space="preserve">in </w:t>
      </w:r>
      <w:r w:rsidR="004A1FEC">
        <w:t>balance</w:t>
      </w:r>
      <w:r w:rsidR="00212C05">
        <w:t>.</w:t>
      </w:r>
      <w:r>
        <w:t xml:space="preserve"> </w:t>
      </w:r>
    </w:p>
    <w:p w14:paraId="254DF48E" w14:textId="77777777" w:rsidR="00F378BF" w:rsidRDefault="00F378BF" w:rsidP="00AD16A1">
      <w:pPr>
        <w:spacing w:after="0" w:line="240" w:lineRule="auto"/>
      </w:pPr>
    </w:p>
    <w:p w14:paraId="56D250D8" w14:textId="77777777" w:rsidR="00AD16A1" w:rsidRPr="0072021A" w:rsidRDefault="00AD16A1" w:rsidP="00AD16A1">
      <w:pPr>
        <w:spacing w:after="0" w:line="240" w:lineRule="auto"/>
      </w:pPr>
    </w:p>
    <w:p w14:paraId="5D7446A8" w14:textId="77777777" w:rsidR="00AD16A1" w:rsidRPr="0072021A" w:rsidRDefault="00AD16A1" w:rsidP="00AD16A1">
      <w:pPr>
        <w:spacing w:after="0" w:line="240" w:lineRule="auto"/>
      </w:pPr>
      <w:r w:rsidRPr="0072021A">
        <w:t>Sincerely,</w:t>
      </w:r>
    </w:p>
    <w:p w14:paraId="60E9F9F6" w14:textId="5C8C2FB4" w:rsidR="0058118D" w:rsidRDefault="006704CC" w:rsidP="00AD16A1">
      <w:pPr>
        <w:rPr>
          <w:noProof/>
        </w:rPr>
      </w:pPr>
      <w:r>
        <w:rPr>
          <w:noProof/>
        </w:rPr>
        <w:drawing>
          <wp:anchor distT="0" distB="0" distL="114300" distR="114300" simplePos="0" relativeHeight="251658240" behindDoc="1" locked="0" layoutInCell="1" allowOverlap="1" wp14:anchorId="1F3EDCEB" wp14:editId="61C02AE6">
            <wp:simplePos x="0" y="0"/>
            <wp:positionH relativeFrom="margin">
              <wp:align>left</wp:align>
            </wp:positionH>
            <wp:positionV relativeFrom="paragraph">
              <wp:posOffset>18415</wp:posOffset>
            </wp:positionV>
            <wp:extent cx="1219200" cy="647247"/>
            <wp:effectExtent l="0" t="0" r="0" b="635"/>
            <wp:wrapNone/>
            <wp:docPr id="1581199822" name="Picture 158119982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99822" name="Picture 1581199822"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2450" cy="648972"/>
                    </a:xfrm>
                    <a:prstGeom prst="rect">
                      <a:avLst/>
                    </a:prstGeom>
                  </pic:spPr>
                </pic:pic>
              </a:graphicData>
            </a:graphic>
            <wp14:sizeRelH relativeFrom="margin">
              <wp14:pctWidth>0</wp14:pctWidth>
            </wp14:sizeRelH>
            <wp14:sizeRelV relativeFrom="margin">
              <wp14:pctHeight>0</wp14:pctHeight>
            </wp14:sizeRelV>
          </wp:anchor>
        </w:drawing>
      </w:r>
    </w:p>
    <w:p w14:paraId="1CFD117F" w14:textId="56282123" w:rsidR="00503DEF" w:rsidRDefault="00503DEF" w:rsidP="00AD16A1">
      <w:pPr>
        <w:rPr>
          <w:noProof/>
        </w:rPr>
      </w:pPr>
    </w:p>
    <w:p w14:paraId="0C7B1D99" w14:textId="2CBBAB32" w:rsidR="00503DEF" w:rsidRPr="00AD16A1" w:rsidRDefault="00503DEF" w:rsidP="00AD16A1">
      <w:r>
        <w:rPr>
          <w:noProof/>
        </w:rPr>
        <w:t xml:space="preserve">W. Jay Gordon, Policy Director </w:t>
      </w:r>
    </w:p>
    <w:sectPr w:rsidR="00503DEF" w:rsidRPr="00AD1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3478"/>
    <w:multiLevelType w:val="multilevel"/>
    <w:tmpl w:val="5D9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06555"/>
    <w:multiLevelType w:val="hybridMultilevel"/>
    <w:tmpl w:val="6556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2C228A"/>
    <w:multiLevelType w:val="hybridMultilevel"/>
    <w:tmpl w:val="8AD6A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304EC1"/>
    <w:multiLevelType w:val="hybridMultilevel"/>
    <w:tmpl w:val="08E6B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3F5238"/>
    <w:multiLevelType w:val="multilevel"/>
    <w:tmpl w:val="D88E6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902917">
    <w:abstractNumId w:val="0"/>
  </w:num>
  <w:num w:numId="2" w16cid:durableId="1436705376">
    <w:abstractNumId w:val="4"/>
  </w:num>
  <w:num w:numId="3" w16cid:durableId="2095393039">
    <w:abstractNumId w:val="3"/>
  </w:num>
  <w:num w:numId="4" w16cid:durableId="1651251903">
    <w:abstractNumId w:val="2"/>
  </w:num>
  <w:num w:numId="5" w16cid:durableId="111479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1A"/>
    <w:rsid w:val="00021C30"/>
    <w:rsid w:val="00025EB3"/>
    <w:rsid w:val="000341AA"/>
    <w:rsid w:val="0005004B"/>
    <w:rsid w:val="00053753"/>
    <w:rsid w:val="0006652B"/>
    <w:rsid w:val="0009490B"/>
    <w:rsid w:val="000B441D"/>
    <w:rsid w:val="00101599"/>
    <w:rsid w:val="00102EB1"/>
    <w:rsid w:val="0011063C"/>
    <w:rsid w:val="001241F5"/>
    <w:rsid w:val="00172213"/>
    <w:rsid w:val="001D029B"/>
    <w:rsid w:val="001D335D"/>
    <w:rsid w:val="001D64A4"/>
    <w:rsid w:val="001E36A7"/>
    <w:rsid w:val="00212C05"/>
    <w:rsid w:val="002333EB"/>
    <w:rsid w:val="002A68F2"/>
    <w:rsid w:val="002D33AB"/>
    <w:rsid w:val="002F7138"/>
    <w:rsid w:val="00366FCD"/>
    <w:rsid w:val="003768A7"/>
    <w:rsid w:val="003974C2"/>
    <w:rsid w:val="003B4A19"/>
    <w:rsid w:val="003C4546"/>
    <w:rsid w:val="003D3B57"/>
    <w:rsid w:val="003E1FEA"/>
    <w:rsid w:val="0041097F"/>
    <w:rsid w:val="00410D96"/>
    <w:rsid w:val="00465AA2"/>
    <w:rsid w:val="004733CB"/>
    <w:rsid w:val="004A1FEC"/>
    <w:rsid w:val="004C075E"/>
    <w:rsid w:val="004C6B51"/>
    <w:rsid w:val="004D567B"/>
    <w:rsid w:val="00503DEF"/>
    <w:rsid w:val="00507A7C"/>
    <w:rsid w:val="005742DA"/>
    <w:rsid w:val="0058118D"/>
    <w:rsid w:val="0059498B"/>
    <w:rsid w:val="005A3531"/>
    <w:rsid w:val="005A3DDF"/>
    <w:rsid w:val="005F0B7A"/>
    <w:rsid w:val="006143A5"/>
    <w:rsid w:val="00632E57"/>
    <w:rsid w:val="00642AA4"/>
    <w:rsid w:val="006704CC"/>
    <w:rsid w:val="00683067"/>
    <w:rsid w:val="00687FAD"/>
    <w:rsid w:val="006B02F0"/>
    <w:rsid w:val="006F41A5"/>
    <w:rsid w:val="0071245B"/>
    <w:rsid w:val="0072021A"/>
    <w:rsid w:val="007242A1"/>
    <w:rsid w:val="00736FF3"/>
    <w:rsid w:val="007453B9"/>
    <w:rsid w:val="007632B9"/>
    <w:rsid w:val="00794E90"/>
    <w:rsid w:val="007A32E0"/>
    <w:rsid w:val="007B0308"/>
    <w:rsid w:val="00811313"/>
    <w:rsid w:val="0088733D"/>
    <w:rsid w:val="008A1A9C"/>
    <w:rsid w:val="008B3CD9"/>
    <w:rsid w:val="0093200A"/>
    <w:rsid w:val="00981271"/>
    <w:rsid w:val="00981CB5"/>
    <w:rsid w:val="0098747B"/>
    <w:rsid w:val="00994F70"/>
    <w:rsid w:val="009C329A"/>
    <w:rsid w:val="009F7BAB"/>
    <w:rsid w:val="00A33281"/>
    <w:rsid w:val="00A40D2C"/>
    <w:rsid w:val="00A41A4B"/>
    <w:rsid w:val="00A66665"/>
    <w:rsid w:val="00A75713"/>
    <w:rsid w:val="00AB1E38"/>
    <w:rsid w:val="00AB711F"/>
    <w:rsid w:val="00AC1C87"/>
    <w:rsid w:val="00AD16A1"/>
    <w:rsid w:val="00AE0316"/>
    <w:rsid w:val="00AE6CE2"/>
    <w:rsid w:val="00AF2F05"/>
    <w:rsid w:val="00B37C2D"/>
    <w:rsid w:val="00B524E3"/>
    <w:rsid w:val="00B8155C"/>
    <w:rsid w:val="00B90DED"/>
    <w:rsid w:val="00B97709"/>
    <w:rsid w:val="00BC3E1D"/>
    <w:rsid w:val="00C069BE"/>
    <w:rsid w:val="00C4185C"/>
    <w:rsid w:val="00C54EDD"/>
    <w:rsid w:val="00C72627"/>
    <w:rsid w:val="00C7283B"/>
    <w:rsid w:val="00CB16FC"/>
    <w:rsid w:val="00CC6D94"/>
    <w:rsid w:val="00CE1F8E"/>
    <w:rsid w:val="00D050A8"/>
    <w:rsid w:val="00D32199"/>
    <w:rsid w:val="00D40453"/>
    <w:rsid w:val="00D466D8"/>
    <w:rsid w:val="00D73FE3"/>
    <w:rsid w:val="00D868B5"/>
    <w:rsid w:val="00DD0B54"/>
    <w:rsid w:val="00DF794C"/>
    <w:rsid w:val="00E27CA6"/>
    <w:rsid w:val="00E40B9B"/>
    <w:rsid w:val="00E7060C"/>
    <w:rsid w:val="00E7794E"/>
    <w:rsid w:val="00E8255E"/>
    <w:rsid w:val="00E83668"/>
    <w:rsid w:val="00E850B7"/>
    <w:rsid w:val="00E97E92"/>
    <w:rsid w:val="00F378BF"/>
    <w:rsid w:val="00F44318"/>
    <w:rsid w:val="00F61BA2"/>
    <w:rsid w:val="00F65372"/>
    <w:rsid w:val="00F960D8"/>
    <w:rsid w:val="00FB2ABF"/>
    <w:rsid w:val="00FE062C"/>
    <w:rsid w:val="0529E7CC"/>
    <w:rsid w:val="0D73B53B"/>
    <w:rsid w:val="0FF2413E"/>
    <w:rsid w:val="124179A6"/>
    <w:rsid w:val="126E6896"/>
    <w:rsid w:val="14EBC55A"/>
    <w:rsid w:val="1B1FB6B9"/>
    <w:rsid w:val="22332036"/>
    <w:rsid w:val="26C635D3"/>
    <w:rsid w:val="28F2D482"/>
    <w:rsid w:val="34E6C0F2"/>
    <w:rsid w:val="3BB2EEA2"/>
    <w:rsid w:val="4187D049"/>
    <w:rsid w:val="45BE3AD8"/>
    <w:rsid w:val="4802EF32"/>
    <w:rsid w:val="497546CA"/>
    <w:rsid w:val="50185FCC"/>
    <w:rsid w:val="51AD206E"/>
    <w:rsid w:val="53F985A8"/>
    <w:rsid w:val="5AFE273E"/>
    <w:rsid w:val="5B5641A2"/>
    <w:rsid w:val="5BC6CCE3"/>
    <w:rsid w:val="605CA652"/>
    <w:rsid w:val="6689543F"/>
    <w:rsid w:val="672FFA49"/>
    <w:rsid w:val="6D54142E"/>
    <w:rsid w:val="71F2FD33"/>
    <w:rsid w:val="72F52AF0"/>
    <w:rsid w:val="734CD656"/>
    <w:rsid w:val="735D853A"/>
    <w:rsid w:val="770232BA"/>
    <w:rsid w:val="7B12E094"/>
    <w:rsid w:val="7BA5E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5327"/>
  <w15:chartTrackingRefBased/>
  <w15:docId w15:val="{7BBC550D-A874-4FFC-B223-DF5856B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A1"/>
  </w:style>
  <w:style w:type="paragraph" w:styleId="Heading1">
    <w:name w:val="heading 1"/>
    <w:basedOn w:val="Normal"/>
    <w:next w:val="Normal"/>
    <w:link w:val="Heading1Char"/>
    <w:uiPriority w:val="9"/>
    <w:qFormat/>
    <w:rsid w:val="00720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0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0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2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21A"/>
    <w:rPr>
      <w:rFonts w:eastAsiaTheme="majorEastAsia" w:cstheme="majorBidi"/>
      <w:color w:val="272727" w:themeColor="text1" w:themeTint="D8"/>
    </w:rPr>
  </w:style>
  <w:style w:type="paragraph" w:styleId="Title">
    <w:name w:val="Title"/>
    <w:basedOn w:val="Normal"/>
    <w:next w:val="Normal"/>
    <w:link w:val="TitleChar"/>
    <w:uiPriority w:val="10"/>
    <w:qFormat/>
    <w:rsid w:val="00720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21A"/>
    <w:pPr>
      <w:spacing w:before="160"/>
      <w:jc w:val="center"/>
    </w:pPr>
    <w:rPr>
      <w:i/>
      <w:iCs/>
      <w:color w:val="404040" w:themeColor="text1" w:themeTint="BF"/>
    </w:rPr>
  </w:style>
  <w:style w:type="character" w:customStyle="1" w:styleId="QuoteChar">
    <w:name w:val="Quote Char"/>
    <w:basedOn w:val="DefaultParagraphFont"/>
    <w:link w:val="Quote"/>
    <w:uiPriority w:val="29"/>
    <w:rsid w:val="0072021A"/>
    <w:rPr>
      <w:i/>
      <w:iCs/>
      <w:color w:val="404040" w:themeColor="text1" w:themeTint="BF"/>
    </w:rPr>
  </w:style>
  <w:style w:type="paragraph" w:styleId="ListParagraph">
    <w:name w:val="List Paragraph"/>
    <w:basedOn w:val="Normal"/>
    <w:uiPriority w:val="34"/>
    <w:qFormat/>
    <w:rsid w:val="0072021A"/>
    <w:pPr>
      <w:ind w:left="720"/>
      <w:contextualSpacing/>
    </w:pPr>
  </w:style>
  <w:style w:type="character" w:styleId="IntenseEmphasis">
    <w:name w:val="Intense Emphasis"/>
    <w:basedOn w:val="DefaultParagraphFont"/>
    <w:uiPriority w:val="21"/>
    <w:qFormat/>
    <w:rsid w:val="0072021A"/>
    <w:rPr>
      <w:i/>
      <w:iCs/>
      <w:color w:val="2F5496" w:themeColor="accent1" w:themeShade="BF"/>
    </w:rPr>
  </w:style>
  <w:style w:type="paragraph" w:styleId="IntenseQuote">
    <w:name w:val="Intense Quote"/>
    <w:basedOn w:val="Normal"/>
    <w:next w:val="Normal"/>
    <w:link w:val="IntenseQuoteChar"/>
    <w:uiPriority w:val="30"/>
    <w:qFormat/>
    <w:rsid w:val="00720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21A"/>
    <w:rPr>
      <w:i/>
      <w:iCs/>
      <w:color w:val="2F5496" w:themeColor="accent1" w:themeShade="BF"/>
    </w:rPr>
  </w:style>
  <w:style w:type="character" w:styleId="IntenseReference">
    <w:name w:val="Intense Reference"/>
    <w:basedOn w:val="DefaultParagraphFont"/>
    <w:uiPriority w:val="32"/>
    <w:qFormat/>
    <w:rsid w:val="0072021A"/>
    <w:rPr>
      <w:b/>
      <w:bCs/>
      <w:smallCaps/>
      <w:color w:val="2F5496" w:themeColor="accent1" w:themeShade="BF"/>
      <w:spacing w:val="5"/>
    </w:rPr>
  </w:style>
  <w:style w:type="character" w:styleId="Hyperlink">
    <w:name w:val="Hyperlink"/>
    <w:basedOn w:val="DefaultParagraphFont"/>
    <w:uiPriority w:val="99"/>
    <w:unhideWhenUsed/>
    <w:rsid w:val="00E83668"/>
    <w:rPr>
      <w:color w:val="0563C1" w:themeColor="hyperlink"/>
      <w:u w:val="single"/>
    </w:rPr>
  </w:style>
  <w:style w:type="character" w:styleId="UnresolvedMention">
    <w:name w:val="Unresolved Mention"/>
    <w:basedOn w:val="DefaultParagraphFont"/>
    <w:uiPriority w:val="99"/>
    <w:semiHidden/>
    <w:unhideWhenUsed/>
    <w:rsid w:val="00E8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93649">
      <w:bodyDiv w:val="1"/>
      <w:marLeft w:val="0"/>
      <w:marRight w:val="0"/>
      <w:marTop w:val="0"/>
      <w:marBottom w:val="0"/>
      <w:divBdr>
        <w:top w:val="none" w:sz="0" w:space="0" w:color="auto"/>
        <w:left w:val="none" w:sz="0" w:space="0" w:color="auto"/>
        <w:bottom w:val="none" w:sz="0" w:space="0" w:color="auto"/>
        <w:right w:val="none" w:sz="0" w:space="0" w:color="auto"/>
      </w:divBdr>
    </w:div>
    <w:div w:id="551648546">
      <w:bodyDiv w:val="1"/>
      <w:marLeft w:val="0"/>
      <w:marRight w:val="0"/>
      <w:marTop w:val="0"/>
      <w:marBottom w:val="0"/>
      <w:divBdr>
        <w:top w:val="none" w:sz="0" w:space="0" w:color="auto"/>
        <w:left w:val="none" w:sz="0" w:space="0" w:color="auto"/>
        <w:bottom w:val="none" w:sz="0" w:space="0" w:color="auto"/>
        <w:right w:val="none" w:sz="0" w:space="0" w:color="auto"/>
      </w:divBdr>
    </w:div>
    <w:div w:id="11270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2.arb.ca.gov/resources/documents/lcfs-data-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252605F954C4389232934CE25ED60" ma:contentTypeVersion="18" ma:contentTypeDescription="Create a new document." ma:contentTypeScope="" ma:versionID="a4cae158b01072e190faae1144cbb20a">
  <xsd:schema xmlns:xsd="http://www.w3.org/2001/XMLSchema" xmlns:xs="http://www.w3.org/2001/XMLSchema" xmlns:p="http://schemas.microsoft.com/office/2006/metadata/properties" xmlns:ns2="cad4d6b6-cc7a-4a06-b7be-a088d78919e4" xmlns:ns3="7e3e9e12-fd5e-4b68-a9aa-40610dac18be" targetNamespace="http://schemas.microsoft.com/office/2006/metadata/properties" ma:root="true" ma:fieldsID="38655bede96dcfd122265c6577235fe3" ns2:_="" ns3:_="">
    <xsd:import namespace="cad4d6b6-cc7a-4a06-b7be-a088d78919e4"/>
    <xsd:import namespace="7e3e9e12-fd5e-4b68-a9aa-40610dac18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4d6b6-cc7a-4a06-b7be-a088d7891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c5db01f-a6d6-49d8-9543-1b3d83e2cd2d}" ma:internalName="TaxCatchAll" ma:showField="CatchAllData" ma:web="cad4d6b6-cc7a-4a06-b7be-a088d78919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e9e12-fd5e-4b68-a9aa-40610dac18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2cd1f-7900-47cf-9548-e10258b9b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4d6b6-cc7a-4a06-b7be-a088d78919e4" xsi:nil="true"/>
    <lcf76f155ced4ddcb4097134ff3c332f xmlns="7e3e9e12-fd5e-4b68-a9aa-40610dac18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8E143-3308-4AC0-81F8-26C46529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4d6b6-cc7a-4a06-b7be-a088d78919e4"/>
    <ds:schemaRef ds:uri="7e3e9e12-fd5e-4b68-a9aa-40610dac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65C39-A491-44B6-A4CC-2AA61075517A}">
  <ds:schemaRefs>
    <ds:schemaRef ds:uri="http://schemas.microsoft.com/office/2006/metadata/properties"/>
    <ds:schemaRef ds:uri="http://schemas.microsoft.com/office/infopath/2007/PartnerControls"/>
    <ds:schemaRef ds:uri="cad4d6b6-cc7a-4a06-b7be-a088d78919e4"/>
    <ds:schemaRef ds:uri="7e3e9e12-fd5e-4b68-a9aa-40610dac18be"/>
  </ds:schemaRefs>
</ds:datastoreItem>
</file>

<file path=customXml/itemProps3.xml><?xml version="1.0" encoding="utf-8"?>
<ds:datastoreItem xmlns:ds="http://schemas.openxmlformats.org/officeDocument/2006/customXml" ds:itemID="{D4FCB9D2-A94A-442D-9534-FB31A2CC2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Harding</dc:creator>
  <cp:keywords/>
  <dc:description/>
  <cp:lastModifiedBy>Jay Gordon</cp:lastModifiedBy>
  <cp:revision>2</cp:revision>
  <cp:lastPrinted>2024-12-14T05:59:00Z</cp:lastPrinted>
  <dcterms:created xsi:type="dcterms:W3CDTF">2024-12-14T06:03:00Z</dcterms:created>
  <dcterms:modified xsi:type="dcterms:W3CDTF">2024-12-14T06:03:00Z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0x010100F0E252605F954C4389232934CE25ED60</vt:lpwstr>
  </property>
</Properties>
</file>