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48B4" w14:textId="77777777" w:rsidR="009239F7" w:rsidRPr="002F6A28" w:rsidRDefault="0066690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1C0785" w14:textId="77777777" w:rsidR="009239F7" w:rsidRPr="002F6A28" w:rsidRDefault="0066690D" w:rsidP="002F6A28">
      <w:pPr>
        <w:jc w:val="center"/>
      </w:pPr>
      <w:r w:rsidRPr="002F6A28">
        <w:t>The following notification is being circulated in accordance with Article 10.6</w:t>
      </w:r>
    </w:p>
    <w:p w14:paraId="775942F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D662E" w14:paraId="7E8D666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66B1323" w14:textId="77777777" w:rsidR="00F85C99" w:rsidRPr="002F6A28" w:rsidRDefault="006669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4CA070C" w14:textId="77777777" w:rsidR="00F85C99" w:rsidRPr="002F6A28" w:rsidRDefault="0066690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STATES OF AMERICA</w:t>
            </w:r>
            <w:bookmarkEnd w:id="1"/>
          </w:p>
          <w:p w14:paraId="157D2F54" w14:textId="77777777" w:rsidR="00F85C99" w:rsidRPr="002F6A28" w:rsidRDefault="0066690D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State of Washington</w:t>
            </w:r>
            <w:bookmarkEnd w:id="3"/>
          </w:p>
        </w:tc>
      </w:tr>
      <w:tr w:rsidR="009D662E" w14:paraId="2F5EF0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F7DA7" w14:textId="77777777" w:rsidR="00F85C99" w:rsidRPr="002F6A28" w:rsidRDefault="006669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43487" w14:textId="77777777" w:rsidR="00F85C99" w:rsidRPr="002F6A28" w:rsidRDefault="0066690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C7FF61B" w14:textId="77777777" w:rsidR="00EE3A11" w:rsidRPr="00C379C8" w:rsidRDefault="0066690D" w:rsidP="00155128">
            <w:pPr>
              <w:spacing w:after="120"/>
            </w:pPr>
            <w:r w:rsidRPr="00C379C8">
              <w:t>Department of Ecology, State of Washington [1989]</w:t>
            </w:r>
            <w:bookmarkEnd w:id="5"/>
          </w:p>
          <w:p w14:paraId="04116C90" w14:textId="77777777" w:rsidR="00F85C99" w:rsidRPr="002F6A28" w:rsidRDefault="0066690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B7E8271" w14:textId="77777777" w:rsidR="00AC6C6E" w:rsidRPr="00C379C8" w:rsidRDefault="0066690D" w:rsidP="00AA646C">
            <w:pPr>
              <w:spacing w:after="120"/>
            </w:pPr>
            <w:r w:rsidRPr="00C379C8">
              <w:t xml:space="preserve">Please submit comments to: USA WTO TBT Enquiry Point,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9D662E" w14:paraId="609507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8B671" w14:textId="77777777" w:rsidR="00F85C99" w:rsidRPr="002F6A28" w:rsidRDefault="006669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BFAE5" w14:textId="77777777" w:rsidR="00F85C99" w:rsidRPr="0058336F" w:rsidRDefault="0066690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X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D662E" w14:paraId="6DE22A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F9AB2" w14:textId="77777777" w:rsidR="00F85C99" w:rsidRPr="002F6A28" w:rsidRDefault="006669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E8430" w14:textId="77777777" w:rsidR="00F85C99" w:rsidRPr="002F6A28" w:rsidRDefault="0066690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Toxic chemicals in consumer products; Environmental protection (ICS code(s): 13.020); Domestic safety (ICS code(s): 13.120); Products of the textile industry (ICS code(s): 59.080); Leather products (ICS code(s): 59.140.35); Production in the chemical industry (ICS code(s): 71.020); Products of the chemical industry (ICS code(s): 71.100); Furniture (ICS code(s): 97.140); Non-textile floor coverings (ICS code(s): 97.150)</w:t>
            </w:r>
            <w:bookmarkEnd w:id="22"/>
          </w:p>
        </w:tc>
      </w:tr>
      <w:tr w:rsidR="009D662E" w14:paraId="0B8388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FEE41" w14:textId="77777777" w:rsidR="00F85C99" w:rsidRPr="002F6A28" w:rsidRDefault="0066690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3FD90" w14:textId="77777777" w:rsidR="00F85C99" w:rsidRPr="002F6A28" w:rsidRDefault="0066690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Safer Products Restrictions and Reporting; (17 page(s), in English)</w:t>
            </w:r>
            <w:bookmarkEnd w:id="24"/>
          </w:p>
        </w:tc>
      </w:tr>
      <w:tr w:rsidR="009D662E" w14:paraId="25B4EE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E1048" w14:textId="77777777" w:rsidR="00F85C99" w:rsidRPr="002F6A28" w:rsidRDefault="006669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3739F" w14:textId="77777777" w:rsidR="00F85C99" w:rsidRPr="002F6A28" w:rsidRDefault="0066690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Proposed rule - The Washington Department of Ecology proposes a new rule, Chapter 173-337 WAC – Safer Products Restrictions and Reporting; Washington Administrative Code (WAC). This new chapter aims to reduce toxic chemicals in consumer products and implements </w:t>
            </w:r>
            <w:hyperlink r:id="rId8" w:history="1">
              <w:r w:rsidR="00FE448B" w:rsidRPr="00C379C8">
                <w:rPr>
                  <w:color w:val="0000FF"/>
                  <w:u w:val="single"/>
                </w:rPr>
                <w:t>Chapter 70A.350 RCW</w:t>
              </w:r>
            </w:hyperlink>
            <w:r w:rsidR="00FE448B" w:rsidRPr="00C379C8">
              <w:t>; Revised Code of Washington (RCW). Ecology started the second phase of this rulemaking which opens the formal public comment period.</w:t>
            </w:r>
          </w:p>
          <w:p w14:paraId="21C76FF5" w14:textId="77777777" w:rsidR="00FE448B" w:rsidRPr="00C379C8" w:rsidRDefault="0066690D" w:rsidP="002F6A28">
            <w:pPr>
              <w:spacing w:before="120" w:after="120"/>
            </w:pPr>
            <w:r w:rsidRPr="00C379C8">
              <w:t>This rulemaking proposes to:</w:t>
            </w:r>
          </w:p>
          <w:p w14:paraId="7B1ED1A2" w14:textId="77777777" w:rsidR="00FE448B" w:rsidRPr="00C379C8" w:rsidRDefault="0066690D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Implement regulatory actions reported to the Washington State Legislature in June 2022. </w:t>
            </w:r>
            <w:hyperlink r:id="rId9" w:history="1">
              <w:r w:rsidRPr="00C379C8">
                <w:rPr>
                  <w:color w:val="0000FF"/>
                  <w:u w:val="single"/>
                </w:rPr>
                <w:t>Review the Final Regulatory Determinations Report</w:t>
              </w:r>
            </w:hyperlink>
            <w:r w:rsidRPr="00C379C8">
              <w:t>.</w:t>
            </w:r>
          </w:p>
          <w:p w14:paraId="685D2691" w14:textId="77777777" w:rsidR="00FE448B" w:rsidRPr="00C379C8" w:rsidRDefault="0066690D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Create reporting requirements or restrictions that apply to priority consumer products that contain priority chemicals. These include:</w:t>
            </w:r>
          </w:p>
          <w:p w14:paraId="589D661C" w14:textId="77777777" w:rsidR="00FE448B" w:rsidRPr="00C379C8" w:rsidRDefault="0066690D" w:rsidP="002F6A28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PFAS in aftermarket stain- and water-resistance treatments, carpets and rugs, and leather and textile furnishings.</w:t>
            </w:r>
          </w:p>
          <w:p w14:paraId="29632D6B" w14:textId="77777777" w:rsidR="00FE448B" w:rsidRPr="00C379C8" w:rsidRDefault="0066690D" w:rsidP="002F6A28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Ortho-phthalates in personal care products (fragrances) and vinyl flooring.</w:t>
            </w:r>
          </w:p>
          <w:p w14:paraId="5CD23544" w14:textId="77777777" w:rsidR="00FE448B" w:rsidRPr="00C379C8" w:rsidRDefault="0066690D" w:rsidP="002F6A28">
            <w:pPr>
              <w:numPr>
                <w:ilvl w:val="1"/>
                <w:numId w:val="16"/>
              </w:numPr>
              <w:spacing w:before="120" w:after="120"/>
            </w:pPr>
            <w:proofErr w:type="spellStart"/>
            <w:r w:rsidRPr="00C379C8">
              <w:t>Organohalogen</w:t>
            </w:r>
            <w:proofErr w:type="spellEnd"/>
            <w:r w:rsidRPr="00C379C8">
              <w:t xml:space="preserve"> flame retardants in electric and electronic products.</w:t>
            </w:r>
          </w:p>
          <w:p w14:paraId="075251EA" w14:textId="77777777" w:rsidR="00FE448B" w:rsidRPr="00C379C8" w:rsidRDefault="0066690D" w:rsidP="002F6A28">
            <w:pPr>
              <w:numPr>
                <w:ilvl w:val="1"/>
                <w:numId w:val="16"/>
              </w:numPr>
              <w:spacing w:before="120" w:after="120"/>
            </w:pPr>
            <w:r w:rsidRPr="00C379C8">
              <w:lastRenderedPageBreak/>
              <w:t>Flame retardants (as defined in RCW 70A.350.010) in recreational polyurethane foam.</w:t>
            </w:r>
          </w:p>
          <w:p w14:paraId="7C1D3A2C" w14:textId="77777777" w:rsidR="00FE448B" w:rsidRPr="00C379C8" w:rsidRDefault="0066690D" w:rsidP="002F6A28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Phenolic compounds in laundry detergent, food and drink can linings, and thermal paper.</w:t>
            </w:r>
          </w:p>
          <w:p w14:paraId="084DA4B8" w14:textId="77777777" w:rsidR="00FE448B" w:rsidRPr="00C379C8" w:rsidRDefault="0066690D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Include provisions for repair and replacement parts, refurbished products, and previously owned products.</w:t>
            </w:r>
            <w:bookmarkEnd w:id="26"/>
          </w:p>
        </w:tc>
      </w:tr>
      <w:tr w:rsidR="009D662E" w14:paraId="27F0C6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62A49" w14:textId="77777777" w:rsidR="00F85C99" w:rsidRPr="002F6A28" w:rsidRDefault="006669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10385" w14:textId="77777777" w:rsidR="00F85C99" w:rsidRPr="002F6A28" w:rsidRDefault="0066690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Protection of human health or safety; Protection of the environment</w:t>
            </w:r>
            <w:bookmarkEnd w:id="28"/>
          </w:p>
        </w:tc>
      </w:tr>
      <w:tr w:rsidR="009D662E" w14:paraId="32D4B3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65E02" w14:textId="77777777" w:rsidR="00F85C99" w:rsidRPr="002F6A28" w:rsidRDefault="0066690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16179" w14:textId="77777777" w:rsidR="00072B36" w:rsidRPr="002F6A28" w:rsidRDefault="0066690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6852444" w14:textId="77777777" w:rsidR="00F85C99" w:rsidRPr="002F6A28" w:rsidRDefault="0066690D" w:rsidP="009E75ED">
            <w:pPr>
              <w:spacing w:before="120" w:after="120"/>
            </w:pPr>
            <w:bookmarkStart w:id="30" w:name="sps9a"/>
            <w:r w:rsidRPr="002F6A28">
              <w:t>Chapter 173-337 WAC – Safer Products Restrictions and Reporting</w:t>
            </w:r>
          </w:p>
          <w:p w14:paraId="4CCD1F37" w14:textId="77777777" w:rsidR="00F85C99" w:rsidRPr="002F6A28" w:rsidRDefault="00000000" w:rsidP="009E75ED">
            <w:pPr>
              <w:spacing w:before="120" w:after="120"/>
            </w:pPr>
            <w:hyperlink r:id="rId10" w:history="1">
              <w:r w:rsidR="0066690D" w:rsidRPr="002F6A28">
                <w:rPr>
                  <w:color w:val="0000FF"/>
                  <w:u w:val="single"/>
                </w:rPr>
                <w:t>https://ecology.wa.gov/Regulations-Permits/Laws-rules-rulemaking/Rulemaking/WAC-173-337</w:t>
              </w:r>
            </w:hyperlink>
          </w:p>
          <w:p w14:paraId="74336B00" w14:textId="77777777" w:rsidR="00F85C99" w:rsidRPr="002F6A28" w:rsidRDefault="0066690D" w:rsidP="009E75ED">
            <w:pPr>
              <w:spacing w:before="120" w:after="120"/>
            </w:pPr>
            <w:r w:rsidRPr="002F6A28">
              <w:rPr>
                <w:b/>
                <w:bCs/>
              </w:rPr>
              <w:t>Rule proposal documents:</w:t>
            </w:r>
          </w:p>
          <w:p w14:paraId="739CE006" w14:textId="77777777" w:rsidR="00F85C99" w:rsidRPr="002F6A28" w:rsidRDefault="00000000" w:rsidP="009E75ED">
            <w:pPr>
              <w:numPr>
                <w:ilvl w:val="0"/>
                <w:numId w:val="17"/>
              </w:numPr>
              <w:spacing w:before="120" w:after="120"/>
            </w:pPr>
            <w:hyperlink r:id="rId11" w:history="1">
              <w:r w:rsidR="0066690D" w:rsidRPr="002F6A28">
                <w:rPr>
                  <w:color w:val="0000FF"/>
                  <w:u w:val="single"/>
                </w:rPr>
                <w:t>Proposal Notice – CR-102 form</w:t>
              </w:r>
            </w:hyperlink>
          </w:p>
          <w:p w14:paraId="644B3E4A" w14:textId="77777777" w:rsidR="00F85C99" w:rsidRPr="002F6A28" w:rsidRDefault="00000000" w:rsidP="009E75ED">
            <w:pPr>
              <w:numPr>
                <w:ilvl w:val="0"/>
                <w:numId w:val="17"/>
              </w:numPr>
              <w:spacing w:before="120" w:after="120"/>
            </w:pPr>
            <w:hyperlink r:id="rId12" w:history="1">
              <w:r w:rsidR="0066690D" w:rsidRPr="002F6A28">
                <w:rPr>
                  <w:color w:val="0000FF"/>
                  <w:u w:val="single"/>
                </w:rPr>
                <w:t>Proposed rule language</w:t>
              </w:r>
            </w:hyperlink>
            <w:r w:rsidR="0066690D" w:rsidRPr="002F6A28">
              <w:t xml:space="preserve"> (attached as WA_Safer_Products_Restrictions_and_Reporting.pdf)</w:t>
            </w:r>
          </w:p>
          <w:p w14:paraId="35A17D51" w14:textId="77777777" w:rsidR="00F85C99" w:rsidRPr="002F6A28" w:rsidRDefault="00000000" w:rsidP="009E75ED">
            <w:pPr>
              <w:numPr>
                <w:ilvl w:val="0"/>
                <w:numId w:val="17"/>
              </w:numPr>
              <w:spacing w:before="120" w:after="120"/>
            </w:pPr>
            <w:hyperlink r:id="rId13" w:history="1">
              <w:r w:rsidR="0066690D" w:rsidRPr="002F6A28">
                <w:rPr>
                  <w:color w:val="0000FF"/>
                  <w:u w:val="single"/>
                </w:rPr>
                <w:t>Preliminary Regulatory Analyses</w:t>
              </w:r>
            </w:hyperlink>
          </w:p>
          <w:p w14:paraId="0F515D80" w14:textId="77777777" w:rsidR="00F85C99" w:rsidRPr="002F6A28" w:rsidRDefault="00000000" w:rsidP="009E75ED">
            <w:pPr>
              <w:numPr>
                <w:ilvl w:val="0"/>
                <w:numId w:val="17"/>
              </w:numPr>
              <w:spacing w:before="120" w:after="120"/>
            </w:pPr>
            <w:hyperlink r:id="rId14" w:history="1">
              <w:r w:rsidR="0066690D" w:rsidRPr="002F6A28">
                <w:rPr>
                  <w:color w:val="0000FF"/>
                  <w:u w:val="single"/>
                </w:rPr>
                <w:t xml:space="preserve">SEPA Determination of </w:t>
              </w:r>
              <w:proofErr w:type="spellStart"/>
              <w:r w:rsidR="0066690D" w:rsidRPr="002F6A28">
                <w:rPr>
                  <w:color w:val="0000FF"/>
                  <w:u w:val="single"/>
                </w:rPr>
                <w:t>Nonsignificance</w:t>
              </w:r>
              <w:proofErr w:type="spellEnd"/>
              <w:r w:rsidR="0066690D" w:rsidRPr="002F6A28">
                <w:rPr>
                  <w:color w:val="0000FF"/>
                  <w:u w:val="single"/>
                </w:rPr>
                <w:t xml:space="preserve"> (DNS) and Environmental Checklist (draft)</w:t>
              </w:r>
            </w:hyperlink>
          </w:p>
          <w:p w14:paraId="3F7CBF82" w14:textId="77777777" w:rsidR="00F85C99" w:rsidRPr="002F6A28" w:rsidRDefault="0066690D" w:rsidP="009E75ED">
            <w:pPr>
              <w:spacing w:before="120" w:after="120"/>
            </w:pPr>
            <w:r w:rsidRPr="002F6A28">
              <w:t xml:space="preserve">Washington Administrative Code Department of Ecology, Title 173: </w:t>
            </w:r>
            <w:hyperlink r:id="rId15" w:history="1">
              <w:r w:rsidRPr="002F6A28">
                <w:rPr>
                  <w:color w:val="0000FF"/>
                  <w:u w:val="single"/>
                </w:rPr>
                <w:t>https://app.leg.wa.gov/wac/default.aspx?dispo=true&amp;cite=173</w:t>
              </w:r>
            </w:hyperlink>
          </w:p>
          <w:p w14:paraId="2FCBA70F" w14:textId="77777777" w:rsidR="00F85C99" w:rsidRPr="002F6A28" w:rsidRDefault="0066690D" w:rsidP="009E75ED">
            <w:pPr>
              <w:spacing w:before="120" w:after="120"/>
            </w:pPr>
            <w:r w:rsidRPr="002F6A28">
              <w:t xml:space="preserve">WTO Members and their stakeholders are asked to submit comments to the </w:t>
            </w:r>
            <w:hyperlink r:id="rId16" w:history="1">
              <w:r w:rsidRPr="002F6A28">
                <w:rPr>
                  <w:color w:val="0000FF"/>
                  <w:u w:val="single"/>
                </w:rPr>
                <w:t>USA TBT Enquiry Point</w:t>
              </w:r>
            </w:hyperlink>
            <w:r w:rsidRPr="002F6A28">
              <w:t xml:space="preserve">. Comments received by the USA TBT Enquiry Point from WTO Members and their stakeholders by </w:t>
            </w:r>
            <w:hyperlink r:id="rId17" w:history="1">
              <w:r w:rsidRPr="002F6A28">
                <w:rPr>
                  <w:color w:val="0000FF"/>
                  <w:u w:val="single"/>
                </w:rPr>
                <w:t>4pm</w:t>
              </w:r>
            </w:hyperlink>
            <w:r w:rsidRPr="002F6A28">
              <w:t xml:space="preserve"> </w:t>
            </w:r>
            <w:hyperlink r:id="rId18" w:history="1">
              <w:r w:rsidRPr="002F6A28">
                <w:rPr>
                  <w:color w:val="0000FF"/>
                  <w:u w:val="single"/>
                </w:rPr>
                <w:t>Eastern Time</w:t>
              </w:r>
            </w:hyperlink>
            <w:r w:rsidRPr="002F6A28">
              <w:t xml:space="preserve"> on 5 February 2023 will be shared with the regulator.</w:t>
            </w:r>
            <w:bookmarkEnd w:id="30"/>
          </w:p>
        </w:tc>
      </w:tr>
      <w:tr w:rsidR="009D662E" w14:paraId="720284F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BBA0B" w14:textId="77777777" w:rsidR="00EE3A11" w:rsidRPr="002F6A28" w:rsidRDefault="006669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CFDE9" w14:textId="77777777" w:rsidR="00EE3A11" w:rsidRPr="002F6A28" w:rsidRDefault="0066690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EB572D0" w14:textId="77777777" w:rsidR="00EE3A11" w:rsidRPr="002F6A28" w:rsidRDefault="0066690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D662E" w14:paraId="1174F7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485D8" w14:textId="77777777" w:rsidR="00F85C99" w:rsidRPr="002F6A28" w:rsidRDefault="0066690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FA8A0" w14:textId="77777777" w:rsidR="00F85C99" w:rsidRPr="002F6A28" w:rsidRDefault="0066690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5 February 2023</w:t>
            </w:r>
            <w:bookmarkEnd w:id="38"/>
          </w:p>
        </w:tc>
      </w:tr>
      <w:tr w:rsidR="009D662E" w14:paraId="7AEF561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409533" w14:textId="77777777" w:rsidR="00F85C99" w:rsidRPr="002F6A28" w:rsidRDefault="0066690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BA896E5" w14:textId="77777777" w:rsidR="00F85C99" w:rsidRPr="002F6A28" w:rsidRDefault="0066690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DB1D970" w14:textId="77777777" w:rsidR="00EE3A11" w:rsidRPr="00A12DDE" w:rsidRDefault="00000000" w:rsidP="00B16145">
            <w:pPr>
              <w:keepNext/>
              <w:keepLines/>
              <w:spacing w:after="120"/>
              <w:rPr>
                <w:bCs/>
              </w:rPr>
            </w:pPr>
            <w:hyperlink r:id="rId19" w:tgtFrame="_blank" w:history="1">
              <w:r w:rsidR="0066690D" w:rsidRPr="00A12DDE">
                <w:rPr>
                  <w:bCs/>
                  <w:color w:val="0000FF"/>
                  <w:u w:val="single"/>
                </w:rPr>
                <w:t>https://members.wto.org/crnattachments/2023/TBT/USA/23_0249_00_e.pdf</w:t>
              </w:r>
            </w:hyperlink>
            <w:bookmarkEnd w:id="42"/>
          </w:p>
        </w:tc>
      </w:tr>
    </w:tbl>
    <w:p w14:paraId="4AC74165" w14:textId="77777777" w:rsidR="00EE3A11" w:rsidRPr="002F6A28" w:rsidRDefault="00EE3A11" w:rsidP="002F6A28"/>
    <w:sectPr w:rsidR="00EE3A11" w:rsidRPr="002F6A28" w:rsidSect="00760D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4010" w14:textId="77777777" w:rsidR="00B91300" w:rsidRDefault="00B91300">
      <w:r>
        <w:separator/>
      </w:r>
    </w:p>
  </w:endnote>
  <w:endnote w:type="continuationSeparator" w:id="0">
    <w:p w14:paraId="16F5908D" w14:textId="77777777" w:rsidR="00B91300" w:rsidRDefault="00B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21E" w14:textId="77777777" w:rsidR="009239F7" w:rsidRPr="002F6A28" w:rsidRDefault="0066690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C31" w14:textId="77777777" w:rsidR="009239F7" w:rsidRPr="002F6A28" w:rsidRDefault="0066690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91E5" w14:textId="77777777" w:rsidR="00EE3A11" w:rsidRPr="002F6A28" w:rsidRDefault="0066690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42A2" w14:textId="77777777" w:rsidR="00B91300" w:rsidRDefault="00B91300">
      <w:r>
        <w:separator/>
      </w:r>
    </w:p>
  </w:footnote>
  <w:footnote w:type="continuationSeparator" w:id="0">
    <w:p w14:paraId="25B8F888" w14:textId="77777777" w:rsidR="00B91300" w:rsidRDefault="00B9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1243" w14:textId="77777777" w:rsidR="009239F7" w:rsidRPr="002F6A28" w:rsidRDefault="006669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CB993B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64CB97" w14:textId="77777777" w:rsidR="009239F7" w:rsidRPr="002F6A28" w:rsidRDefault="006669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E3403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01E" w14:textId="77777777" w:rsidR="009239F7" w:rsidRPr="002F6A28" w:rsidRDefault="006669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G/TBT/N/USA/1958</w:t>
    </w:r>
    <w:bookmarkEnd w:id="43"/>
  </w:p>
  <w:p w14:paraId="3355ADB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F64681" w14:textId="77777777" w:rsidR="009239F7" w:rsidRPr="002F6A28" w:rsidRDefault="0066690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FBBA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662E" w14:paraId="0604B94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796D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A1DF6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D662E" w14:paraId="00F81FE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44B57A" w14:textId="77777777" w:rsidR="00ED54E0" w:rsidRPr="009239F7" w:rsidRDefault="0066690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DACB0E" wp14:editId="31ACAED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4489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F2FD9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D662E" w14:paraId="016E46E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ED307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694AFB" w14:textId="77777777" w:rsidR="009239F7" w:rsidRPr="002F6A28" w:rsidRDefault="0066690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G/TBT/N/USA/1958</w:t>
          </w:r>
          <w:bookmarkEnd w:id="45"/>
        </w:p>
      </w:tc>
    </w:tr>
    <w:tr w:rsidR="009D662E" w14:paraId="1CAFE34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26C2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BC70C" w14:textId="63DCA6C4" w:rsidR="00ED54E0" w:rsidRPr="009239F7" w:rsidRDefault="0066690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January 2023</w:t>
          </w:r>
        </w:p>
      </w:tc>
    </w:tr>
    <w:tr w:rsidR="009D662E" w14:paraId="25A383E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AE5B42" w14:textId="47291C25" w:rsidR="00ED54E0" w:rsidRPr="009239F7" w:rsidRDefault="0066690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560E16">
            <w:rPr>
              <w:color w:val="FF0000"/>
              <w:szCs w:val="16"/>
            </w:rPr>
            <w:t>226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EFA542" w14:textId="77777777" w:rsidR="00ED54E0" w:rsidRPr="009239F7" w:rsidRDefault="0066690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D662E" w14:paraId="7366697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0743B4" w14:textId="77777777" w:rsidR="00ED54E0" w:rsidRPr="009239F7" w:rsidRDefault="0066690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BD189F" w14:textId="77777777" w:rsidR="00ED54E0" w:rsidRPr="002F6A28" w:rsidRDefault="0066690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3AEA0F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481E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264A0C" w:tentative="1">
      <w:start w:val="1"/>
      <w:numFmt w:val="lowerLetter"/>
      <w:lvlText w:val="%2."/>
      <w:lvlJc w:val="left"/>
      <w:pPr>
        <w:ind w:left="1080" w:hanging="360"/>
      </w:pPr>
    </w:lvl>
    <w:lvl w:ilvl="2" w:tplc="42BEE870" w:tentative="1">
      <w:start w:val="1"/>
      <w:numFmt w:val="lowerRoman"/>
      <w:lvlText w:val="%3."/>
      <w:lvlJc w:val="right"/>
      <w:pPr>
        <w:ind w:left="1800" w:hanging="180"/>
      </w:pPr>
    </w:lvl>
    <w:lvl w:ilvl="3" w:tplc="9D4028F6" w:tentative="1">
      <w:start w:val="1"/>
      <w:numFmt w:val="decimal"/>
      <w:lvlText w:val="%4."/>
      <w:lvlJc w:val="left"/>
      <w:pPr>
        <w:ind w:left="2520" w:hanging="360"/>
      </w:pPr>
    </w:lvl>
    <w:lvl w:ilvl="4" w:tplc="A8182F60" w:tentative="1">
      <w:start w:val="1"/>
      <w:numFmt w:val="lowerLetter"/>
      <w:lvlText w:val="%5."/>
      <w:lvlJc w:val="left"/>
      <w:pPr>
        <w:ind w:left="3240" w:hanging="360"/>
      </w:pPr>
    </w:lvl>
    <w:lvl w:ilvl="5" w:tplc="D5305100" w:tentative="1">
      <w:start w:val="1"/>
      <w:numFmt w:val="lowerRoman"/>
      <w:lvlText w:val="%6."/>
      <w:lvlJc w:val="right"/>
      <w:pPr>
        <w:ind w:left="3960" w:hanging="180"/>
      </w:pPr>
    </w:lvl>
    <w:lvl w:ilvl="6" w:tplc="DFEAACA8" w:tentative="1">
      <w:start w:val="1"/>
      <w:numFmt w:val="decimal"/>
      <w:lvlText w:val="%7."/>
      <w:lvlJc w:val="left"/>
      <w:pPr>
        <w:ind w:left="4680" w:hanging="360"/>
      </w:pPr>
    </w:lvl>
    <w:lvl w:ilvl="7" w:tplc="222400C0" w:tentative="1">
      <w:start w:val="1"/>
      <w:numFmt w:val="lowerLetter"/>
      <w:lvlText w:val="%8."/>
      <w:lvlJc w:val="left"/>
      <w:pPr>
        <w:ind w:left="5400" w:hanging="360"/>
      </w:pPr>
    </w:lvl>
    <w:lvl w:ilvl="8" w:tplc="34AC2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E90E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F64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382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342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6E0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D0A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9A8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02E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3C07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90327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6EB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4A7D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744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BAAF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3EE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FA52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DE0E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6EF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69543621">
    <w:abstractNumId w:val="9"/>
  </w:num>
  <w:num w:numId="2" w16cid:durableId="46759478">
    <w:abstractNumId w:val="7"/>
  </w:num>
  <w:num w:numId="3" w16cid:durableId="487942884">
    <w:abstractNumId w:val="6"/>
  </w:num>
  <w:num w:numId="4" w16cid:durableId="1694843273">
    <w:abstractNumId w:val="5"/>
  </w:num>
  <w:num w:numId="5" w16cid:durableId="1753160606">
    <w:abstractNumId w:val="4"/>
  </w:num>
  <w:num w:numId="6" w16cid:durableId="1260676127">
    <w:abstractNumId w:val="12"/>
  </w:num>
  <w:num w:numId="7" w16cid:durableId="1218124467">
    <w:abstractNumId w:val="11"/>
  </w:num>
  <w:num w:numId="8" w16cid:durableId="868639887">
    <w:abstractNumId w:val="10"/>
  </w:num>
  <w:num w:numId="9" w16cid:durableId="8236187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2215347">
    <w:abstractNumId w:val="13"/>
  </w:num>
  <w:num w:numId="11" w16cid:durableId="94831279">
    <w:abstractNumId w:val="8"/>
  </w:num>
  <w:num w:numId="12" w16cid:durableId="2106345297">
    <w:abstractNumId w:val="3"/>
  </w:num>
  <w:num w:numId="13" w16cid:durableId="1438216280">
    <w:abstractNumId w:val="2"/>
  </w:num>
  <w:num w:numId="14" w16cid:durableId="282424686">
    <w:abstractNumId w:val="1"/>
  </w:num>
  <w:num w:numId="15" w16cid:durableId="594939761">
    <w:abstractNumId w:val="0"/>
  </w:num>
  <w:num w:numId="16" w16cid:durableId="66418105">
    <w:abstractNumId w:val="14"/>
  </w:num>
  <w:num w:numId="17" w16cid:durableId="21355596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2064"/>
    <w:rsid w:val="002D21E3"/>
    <w:rsid w:val="002D2AF6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E16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90D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D662E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1300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7A66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50DB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44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70A.350" TargetMode="External"/><Relationship Id="rId13" Type="http://schemas.openxmlformats.org/officeDocument/2006/relationships/hyperlink" Target="https://apps.ecology.wa.gov/publications/SummaryPages/2204042.html" TargetMode="External"/><Relationship Id="rId18" Type="http://schemas.openxmlformats.org/officeDocument/2006/relationships/hyperlink" Target="https://24timezones.com/time-zone/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ecology.wa.gov/Asset-Collections/Doc-Assets/Rulemaking/HWTR/WAC173-337_-21-01/Rulemaking-proposed-language-WAC-173-337-12-07-22" TargetMode="External"/><Relationship Id="rId17" Type="http://schemas.openxmlformats.org/officeDocument/2006/relationships/hyperlink" Target="http://time-time.net/times/time-zones/usa-canada/current-eastern-time-est.php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usatbtep@nist.go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logy.wa.gov/Asset-Collections/Doc-Assets/Rulemaking/HWTR/WAC173-337_-21-01/Rulemaking-Proposal-WAC-173-337-12-07-22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dispo=true&amp;cite=17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cology.wa.gov/Regulations-Permits/Laws-rules-rulemaking/Rulemaking/WAC-173-337" TargetMode="External"/><Relationship Id="rId19" Type="http://schemas.openxmlformats.org/officeDocument/2006/relationships/hyperlink" Target="https://members.wto.org/crnattachments/2023/TBT/USA/23_024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ecology.wa.gov/publications/summarypages/2204018.html" TargetMode="External"/><Relationship Id="rId14" Type="http://schemas.openxmlformats.org/officeDocument/2006/relationships/hyperlink" Target="https://apps.ecology.wa.gov/separ/Main/SEPA/Record.aspx?SEPANumber=20220603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2023-02-01T17:42:00Z</dcterms:created>
  <dcterms:modified xsi:type="dcterms:W3CDTF">2023-02-01T17:42:00Z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