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BBC4D" w14:textId="5552D9A0" w:rsidR="00C357B4" w:rsidRPr="006F5BCC" w:rsidRDefault="00C357B4" w:rsidP="006F5BCC">
      <w:pPr>
        <w:rPr>
          <w:rFonts w:ascii="Lato" w:hAnsi="Lato"/>
          <w:i w:val="0"/>
          <w:sz w:val="22"/>
        </w:rPr>
      </w:pPr>
      <w:r w:rsidRPr="006F5BCC">
        <w:rPr>
          <w:rFonts w:ascii="Lato" w:hAnsi="Lato"/>
          <w:i w:val="0"/>
          <w:sz w:val="22"/>
        </w:rPr>
        <w:t xml:space="preserve">WAC 173-905-110 </w:t>
      </w:r>
    </w:p>
    <w:p w14:paraId="5143810E" w14:textId="77777777" w:rsidR="00C357B4" w:rsidRPr="006F5BCC" w:rsidRDefault="00C357B4" w:rsidP="00C357B4">
      <w:pPr>
        <w:rPr>
          <w:rFonts w:ascii="Lato" w:hAnsi="Lato"/>
          <w:i w:val="0"/>
          <w:color w:val="2F5496" w:themeColor="accent1" w:themeShade="BF"/>
          <w:sz w:val="22"/>
        </w:rPr>
      </w:pPr>
      <w:r w:rsidRPr="006F5BCC">
        <w:rPr>
          <w:rFonts w:ascii="Lato" w:hAnsi="Lato"/>
          <w:i w:val="0"/>
          <w:color w:val="2F5496" w:themeColor="accent1" w:themeShade="BF"/>
          <w:sz w:val="22"/>
        </w:rPr>
        <w:t>Education and outreach</w:t>
      </w:r>
    </w:p>
    <w:p w14:paraId="25BAE0F0" w14:textId="77777777" w:rsidR="00C357B4" w:rsidRPr="006F5BCC" w:rsidRDefault="00C357B4" w:rsidP="00C357B4">
      <w:pPr>
        <w:rPr>
          <w:rFonts w:ascii="Lato" w:hAnsi="Lato"/>
          <w:i w:val="0"/>
          <w:sz w:val="22"/>
        </w:rPr>
      </w:pPr>
    </w:p>
    <w:p w14:paraId="0D540B6A" w14:textId="77777777" w:rsidR="00C357B4" w:rsidRPr="006F5BCC" w:rsidRDefault="00C357B4" w:rsidP="00C357B4">
      <w:pPr>
        <w:rPr>
          <w:rFonts w:ascii="Lato" w:hAnsi="Lato"/>
          <w:i w:val="0"/>
          <w:sz w:val="22"/>
        </w:rPr>
      </w:pPr>
      <w:r w:rsidRPr="006F5BCC">
        <w:rPr>
          <w:rFonts w:ascii="Lato" w:hAnsi="Lato"/>
          <w:i w:val="0"/>
          <w:sz w:val="22"/>
        </w:rPr>
        <w:t>(1) Each battery stewardship organization shall carry out promotional activities in support of plan implementation that are conceptually, linguistically, and culturally accurate for the communities served...</w:t>
      </w:r>
    </w:p>
    <w:p w14:paraId="6C46AC22" w14:textId="77777777" w:rsidR="00C357B4" w:rsidRPr="006F5BCC" w:rsidRDefault="00C357B4" w:rsidP="00C357B4">
      <w:pPr>
        <w:rPr>
          <w:rFonts w:ascii="Lato" w:hAnsi="Lato"/>
          <w:i w:val="0"/>
          <w:sz w:val="22"/>
        </w:rPr>
      </w:pPr>
    </w:p>
    <w:p w14:paraId="6E469141" w14:textId="77777777" w:rsidR="00C357B4" w:rsidRPr="006F5BCC" w:rsidRDefault="00C357B4" w:rsidP="3513476E">
      <w:pPr>
        <w:rPr>
          <w:rFonts w:ascii="Lato" w:hAnsi="Lato"/>
          <w:b/>
          <w:bCs/>
          <w:i w:val="0"/>
          <w:sz w:val="22"/>
        </w:rPr>
      </w:pPr>
      <w:r w:rsidRPr="006F5BCC">
        <w:rPr>
          <w:rFonts w:ascii="Lato" w:hAnsi="Lato"/>
          <w:b/>
          <w:bCs/>
          <w:i w:val="0"/>
          <w:sz w:val="22"/>
        </w:rPr>
        <w:t>Comment: Define how overburdened communities will be identified and what accountability measures will be in place.</w:t>
      </w:r>
    </w:p>
    <w:p w14:paraId="58E9F0DD" w14:textId="36E33912" w:rsidR="3513476E" w:rsidRPr="006F5BCC" w:rsidRDefault="3513476E" w:rsidP="3513476E">
      <w:pPr>
        <w:rPr>
          <w:rFonts w:ascii="Lato" w:hAnsi="Lato"/>
          <w:b/>
          <w:bCs/>
          <w:i w:val="0"/>
          <w:sz w:val="22"/>
        </w:rPr>
      </w:pPr>
    </w:p>
    <w:p w14:paraId="4346F79B" w14:textId="0773B412" w:rsidR="6BB4CF6E" w:rsidRPr="006F5BCC" w:rsidRDefault="6BB4CF6E" w:rsidP="3513476E">
      <w:pPr>
        <w:rPr>
          <w:rFonts w:ascii="Lato" w:hAnsi="Lato"/>
          <w:b/>
          <w:bCs/>
          <w:i w:val="0"/>
          <w:sz w:val="22"/>
        </w:rPr>
      </w:pPr>
      <w:r w:rsidRPr="006F5BCC">
        <w:rPr>
          <w:rFonts w:ascii="Lato" w:hAnsi="Lato"/>
          <w:i w:val="0"/>
          <w:sz w:val="22"/>
        </w:rPr>
        <w:t xml:space="preserve">(2)(b) </w:t>
      </w:r>
      <w:r w:rsidRPr="006F5BCC">
        <w:rPr>
          <w:rFonts w:ascii="Lato" w:eastAsia="Lato" w:hAnsi="Lato" w:cs="Lato"/>
          <w:i w:val="0"/>
          <w:sz w:val="22"/>
        </w:rPr>
        <w:t>Safety information related to covered battery collection activities to the operator of each collection site, including appropriate protocols to reduce risks of spills or fires and response protocols in the event of a spill or fire; and</w:t>
      </w:r>
    </w:p>
    <w:p w14:paraId="4D680535" w14:textId="3F045692" w:rsidR="3513476E" w:rsidRPr="006F5BCC" w:rsidRDefault="3513476E" w:rsidP="3513476E">
      <w:pPr>
        <w:rPr>
          <w:rFonts w:ascii="Lato" w:eastAsia="Lato" w:hAnsi="Lato" w:cs="Lato"/>
          <w:i w:val="0"/>
          <w:sz w:val="22"/>
        </w:rPr>
      </w:pPr>
    </w:p>
    <w:p w14:paraId="35C31983" w14:textId="0D235170" w:rsidR="6BB4CF6E" w:rsidRPr="006F5BCC" w:rsidRDefault="6BB4CF6E" w:rsidP="3513476E">
      <w:pPr>
        <w:rPr>
          <w:rFonts w:ascii="Lato" w:eastAsia="Lato" w:hAnsi="Lato" w:cs="Lato"/>
          <w:b/>
          <w:bCs/>
          <w:i w:val="0"/>
          <w:sz w:val="22"/>
        </w:rPr>
      </w:pPr>
      <w:r w:rsidRPr="006F5BCC">
        <w:rPr>
          <w:rFonts w:ascii="Lato" w:eastAsia="Lato" w:hAnsi="Lato" w:cs="Lato"/>
          <w:b/>
          <w:bCs/>
          <w:i w:val="0"/>
          <w:sz w:val="22"/>
        </w:rPr>
        <w:t xml:space="preserve">Comment: Safety information </w:t>
      </w:r>
      <w:r w:rsidRPr="006F5BCC">
        <w:rPr>
          <w:rFonts w:ascii="Lato" w:eastAsia="Lato" w:hAnsi="Lato" w:cs="Lato"/>
          <w:b/>
          <w:bCs/>
          <w:i w:val="0"/>
          <w:sz w:val="22"/>
          <w:u w:val="single"/>
        </w:rPr>
        <w:t>and</w:t>
      </w:r>
      <w:r w:rsidRPr="006F5BCC">
        <w:rPr>
          <w:rFonts w:ascii="Lato" w:eastAsia="Lato" w:hAnsi="Lato" w:cs="Lato"/>
          <w:b/>
          <w:bCs/>
          <w:i w:val="0"/>
          <w:sz w:val="22"/>
        </w:rPr>
        <w:t xml:space="preserve"> training</w:t>
      </w:r>
    </w:p>
    <w:p w14:paraId="2DBCD33A" w14:textId="5A686DBD" w:rsidR="3513476E" w:rsidRPr="006F5BCC" w:rsidRDefault="3513476E" w:rsidP="3513476E">
      <w:pPr>
        <w:rPr>
          <w:rFonts w:ascii="Lato" w:eastAsia="Lato" w:hAnsi="Lato" w:cs="Lato"/>
          <w:b/>
          <w:bCs/>
          <w:i w:val="0"/>
          <w:sz w:val="22"/>
        </w:rPr>
      </w:pPr>
    </w:p>
    <w:p w14:paraId="04345EB5" w14:textId="0040BE35" w:rsidR="60ADB439" w:rsidRPr="006F5BCC" w:rsidRDefault="60ADB439">
      <w:pPr>
        <w:rPr>
          <w:i w:val="0"/>
        </w:rPr>
      </w:pPr>
      <w:r w:rsidRPr="006F5BCC">
        <w:rPr>
          <w:rFonts w:ascii="Lato" w:eastAsia="Lato" w:hAnsi="Lato" w:cs="Lato"/>
          <w:i w:val="0"/>
          <w:sz w:val="22"/>
        </w:rPr>
        <w:t>(2)(c) Educational materials for the management of recalled batteries, which are not intended to be part of collection as provided under RCW 70A.555.070, to help facilitate transportation and processing of recalled batteries</w:t>
      </w:r>
    </w:p>
    <w:p w14:paraId="5150D47F" w14:textId="7F6A0ABC" w:rsidR="3513476E" w:rsidRPr="006F5BCC" w:rsidRDefault="3513476E" w:rsidP="3513476E">
      <w:pPr>
        <w:rPr>
          <w:rFonts w:ascii="Lato" w:eastAsia="Lato" w:hAnsi="Lato" w:cs="Lato"/>
          <w:i w:val="0"/>
          <w:sz w:val="22"/>
        </w:rPr>
      </w:pPr>
    </w:p>
    <w:p w14:paraId="0A2846A0" w14:textId="7982002A" w:rsidR="60ADB439" w:rsidRPr="006F5BCC" w:rsidRDefault="60ADB439" w:rsidP="3513476E">
      <w:pPr>
        <w:rPr>
          <w:rFonts w:ascii="Lato" w:eastAsia="Lato" w:hAnsi="Lato" w:cs="Lato"/>
          <w:b/>
          <w:bCs/>
          <w:i w:val="0"/>
          <w:sz w:val="22"/>
        </w:rPr>
      </w:pPr>
      <w:r w:rsidRPr="006F5BCC">
        <w:rPr>
          <w:rFonts w:ascii="Lato" w:eastAsia="Lato" w:hAnsi="Lato" w:cs="Lato"/>
          <w:b/>
          <w:bCs/>
          <w:i w:val="0"/>
          <w:sz w:val="22"/>
        </w:rPr>
        <w:t xml:space="preserve">Comment: DDR </w:t>
      </w:r>
      <w:r w:rsidR="6FE92290" w:rsidRPr="006F5BCC">
        <w:rPr>
          <w:rFonts w:ascii="Lato" w:eastAsia="Lato" w:hAnsi="Lato" w:cs="Lato"/>
          <w:b/>
          <w:bCs/>
          <w:i w:val="0"/>
          <w:sz w:val="22"/>
        </w:rPr>
        <w:t>(</w:t>
      </w:r>
      <w:r w:rsidRPr="006F5BCC">
        <w:rPr>
          <w:rFonts w:ascii="Lato" w:eastAsia="Lato" w:hAnsi="Lato" w:cs="Lato"/>
          <w:b/>
          <w:bCs/>
          <w:i w:val="0"/>
          <w:sz w:val="22"/>
        </w:rPr>
        <w:t xml:space="preserve">damaged, defective, recalled) batteries are an unfortunate reality of collection sites. Retailers cannot always have employees present to intervene in the instance of a DDR battery being collected (as is our experience with our 12 existing collection sites). We provide sites with DDR </w:t>
      </w:r>
      <w:r w:rsidR="7B27EFD1" w:rsidRPr="006F5BCC">
        <w:rPr>
          <w:rFonts w:ascii="Lato" w:eastAsia="Lato" w:hAnsi="Lato" w:cs="Lato"/>
          <w:b/>
          <w:bCs/>
          <w:i w:val="0"/>
          <w:sz w:val="22"/>
        </w:rPr>
        <w:t>k</w:t>
      </w:r>
      <w:r w:rsidRPr="006F5BCC">
        <w:rPr>
          <w:rFonts w:ascii="Lato" w:eastAsia="Lato" w:hAnsi="Lato" w:cs="Lato"/>
          <w:b/>
          <w:bCs/>
          <w:i w:val="0"/>
          <w:sz w:val="22"/>
        </w:rPr>
        <w:t xml:space="preserve">its from Call2Recycle </w:t>
      </w:r>
      <w:r w:rsidR="7431CBAA" w:rsidRPr="006F5BCC">
        <w:rPr>
          <w:rFonts w:ascii="Lato" w:eastAsia="Lato" w:hAnsi="Lato" w:cs="Lato"/>
          <w:b/>
          <w:bCs/>
          <w:i w:val="0"/>
          <w:sz w:val="22"/>
        </w:rPr>
        <w:t xml:space="preserve">(they also provide our </w:t>
      </w:r>
      <w:r w:rsidR="6063F42B" w:rsidRPr="006F5BCC">
        <w:rPr>
          <w:rFonts w:ascii="Lato" w:eastAsia="Lato" w:hAnsi="Lato" w:cs="Lato"/>
          <w:b/>
          <w:bCs/>
          <w:i w:val="0"/>
          <w:sz w:val="22"/>
        </w:rPr>
        <w:t>collection boxes</w:t>
      </w:r>
      <w:r w:rsidR="7431CBAA" w:rsidRPr="006F5BCC">
        <w:rPr>
          <w:rFonts w:ascii="Lato" w:eastAsia="Lato" w:hAnsi="Lato" w:cs="Lato"/>
          <w:b/>
          <w:bCs/>
          <w:i w:val="0"/>
          <w:sz w:val="22"/>
        </w:rPr>
        <w:t xml:space="preserve">) and </w:t>
      </w:r>
      <w:r w:rsidR="7F3D952E" w:rsidRPr="006F5BCC">
        <w:rPr>
          <w:rFonts w:ascii="Lato" w:eastAsia="Lato" w:hAnsi="Lato" w:cs="Lato"/>
          <w:b/>
          <w:bCs/>
          <w:i w:val="0"/>
          <w:sz w:val="22"/>
        </w:rPr>
        <w:t>hav</w:t>
      </w:r>
      <w:r w:rsidR="7431CBAA" w:rsidRPr="006F5BCC">
        <w:rPr>
          <w:rFonts w:ascii="Lato" w:eastAsia="Lato" w:hAnsi="Lato" w:cs="Lato"/>
          <w:b/>
          <w:bCs/>
          <w:i w:val="0"/>
          <w:sz w:val="22"/>
        </w:rPr>
        <w:t xml:space="preserve">e </w:t>
      </w:r>
      <w:r w:rsidR="22BCDEB8" w:rsidRPr="006F5BCC">
        <w:rPr>
          <w:rFonts w:ascii="Lato" w:eastAsia="Lato" w:hAnsi="Lato" w:cs="Lato"/>
          <w:b/>
          <w:bCs/>
          <w:i w:val="0"/>
          <w:sz w:val="22"/>
        </w:rPr>
        <w:t xml:space="preserve">given them </w:t>
      </w:r>
      <w:r w:rsidR="7431CBAA" w:rsidRPr="006F5BCC">
        <w:rPr>
          <w:rFonts w:ascii="Lato" w:eastAsia="Lato" w:hAnsi="Lato" w:cs="Lato"/>
          <w:b/>
          <w:bCs/>
          <w:i w:val="0"/>
          <w:sz w:val="22"/>
        </w:rPr>
        <w:t xml:space="preserve">training </w:t>
      </w:r>
      <w:r w:rsidR="1B7CC5CB" w:rsidRPr="006F5BCC">
        <w:rPr>
          <w:rFonts w:ascii="Lato" w:eastAsia="Lato" w:hAnsi="Lato" w:cs="Lato"/>
          <w:b/>
          <w:bCs/>
          <w:i w:val="0"/>
          <w:sz w:val="22"/>
        </w:rPr>
        <w:t>(created by Call2Recycle) to</w:t>
      </w:r>
      <w:r w:rsidR="7431CBAA" w:rsidRPr="006F5BCC">
        <w:rPr>
          <w:rFonts w:ascii="Lato" w:eastAsia="Lato" w:hAnsi="Lato" w:cs="Lato"/>
          <w:b/>
          <w:bCs/>
          <w:i w:val="0"/>
          <w:sz w:val="22"/>
        </w:rPr>
        <w:t xml:space="preserve"> identify batteries and safely ship them in the provided DDR kits. We strongly support allowing the DDR kits to be included in reimbursable costs, and to encourage all participating retail organizations to have multiple DDR kits available.</w:t>
      </w:r>
    </w:p>
    <w:p w14:paraId="30DD1EE4" w14:textId="09A81786" w:rsidR="3513476E" w:rsidRPr="006F5BCC" w:rsidRDefault="3513476E" w:rsidP="3513476E">
      <w:pPr>
        <w:rPr>
          <w:rFonts w:ascii="Lato" w:eastAsia="Lato" w:hAnsi="Lato" w:cs="Lato"/>
          <w:b/>
          <w:bCs/>
          <w:i w:val="0"/>
          <w:sz w:val="22"/>
        </w:rPr>
      </w:pPr>
    </w:p>
    <w:p w14:paraId="5270D031" w14:textId="3CF85DC7" w:rsidR="4191C302" w:rsidRPr="006F5BCC" w:rsidRDefault="4191C302">
      <w:pPr>
        <w:rPr>
          <w:i w:val="0"/>
        </w:rPr>
      </w:pPr>
      <w:r w:rsidRPr="006F5BCC">
        <w:rPr>
          <w:rFonts w:ascii="Lato" w:eastAsia="Lato" w:hAnsi="Lato" w:cs="Lato"/>
          <w:i w:val="0"/>
          <w:sz w:val="22"/>
        </w:rPr>
        <w:t>(4) A battery stewardship organization may seek reimbursement from the producer of the recalled battery for expenses incurred in the collection, transportation, or processing of those batteries.</w:t>
      </w:r>
    </w:p>
    <w:p w14:paraId="58071956" w14:textId="0056FA56" w:rsidR="3513476E" w:rsidRPr="006F5BCC" w:rsidRDefault="3513476E" w:rsidP="3513476E">
      <w:pPr>
        <w:rPr>
          <w:rFonts w:ascii="Lato" w:eastAsia="Lato" w:hAnsi="Lato" w:cs="Lato"/>
          <w:i w:val="0"/>
          <w:sz w:val="22"/>
        </w:rPr>
      </w:pPr>
    </w:p>
    <w:p w14:paraId="5AFD6643" w14:textId="71268FA4" w:rsidR="4191C302" w:rsidRPr="006F5BCC" w:rsidRDefault="4191C302" w:rsidP="3513476E">
      <w:pPr>
        <w:rPr>
          <w:rFonts w:ascii="Lato" w:eastAsia="Lato" w:hAnsi="Lato" w:cs="Lato"/>
          <w:b/>
          <w:bCs/>
          <w:i w:val="0"/>
          <w:sz w:val="22"/>
        </w:rPr>
      </w:pPr>
      <w:r w:rsidRPr="006F5BCC">
        <w:rPr>
          <w:rFonts w:ascii="Lato" w:eastAsia="Lato" w:hAnsi="Lato" w:cs="Lato"/>
          <w:b/>
          <w:bCs/>
          <w:i w:val="0"/>
          <w:sz w:val="22"/>
        </w:rPr>
        <w:t xml:space="preserve">Comment: Recalled batteries are inevitable – need to ensure the BSO can get reimbursement from producers. Suggest changing language from “may seek” to “will get” or </w:t>
      </w:r>
      <w:proofErr w:type="spellStart"/>
      <w:r w:rsidRPr="006F5BCC">
        <w:rPr>
          <w:rFonts w:ascii="Lato" w:eastAsia="Lato" w:hAnsi="Lato" w:cs="Lato"/>
          <w:b/>
          <w:bCs/>
          <w:i w:val="0"/>
          <w:sz w:val="22"/>
        </w:rPr>
        <w:t>similiar</w:t>
      </w:r>
      <w:proofErr w:type="spellEnd"/>
      <w:r w:rsidRPr="006F5BCC">
        <w:rPr>
          <w:rFonts w:ascii="Lato" w:eastAsia="Lato" w:hAnsi="Lato" w:cs="Lato"/>
          <w:b/>
          <w:bCs/>
          <w:i w:val="0"/>
          <w:sz w:val="22"/>
        </w:rPr>
        <w:t xml:space="preserve"> affirmative.</w:t>
      </w:r>
    </w:p>
    <w:p w14:paraId="243F6306" w14:textId="77777777" w:rsidR="00C357B4" w:rsidRPr="006F5BCC" w:rsidRDefault="00C357B4" w:rsidP="00C357B4">
      <w:pPr>
        <w:rPr>
          <w:rFonts w:ascii="Lato" w:hAnsi="Lato"/>
          <w:i w:val="0"/>
          <w:sz w:val="22"/>
        </w:rPr>
      </w:pPr>
    </w:p>
    <w:p w14:paraId="2EC6B320" w14:textId="77777777" w:rsidR="00C357B4" w:rsidRPr="006F5BCC" w:rsidRDefault="00C357B4" w:rsidP="00C357B4">
      <w:pPr>
        <w:rPr>
          <w:rFonts w:ascii="Lato" w:hAnsi="Lato"/>
          <w:i w:val="0"/>
          <w:sz w:val="22"/>
        </w:rPr>
      </w:pPr>
      <w:r w:rsidRPr="006F5BCC">
        <w:rPr>
          <w:rFonts w:ascii="Lato" w:hAnsi="Lato"/>
          <w:i w:val="0"/>
          <w:sz w:val="22"/>
        </w:rPr>
        <w:t>(6) If multiple battery stewardship organizations are implementing plans approved by the department, they shall coordinate in carrying out their education and outreach responsibilities and must include in their annual reports a summary of their efforts.</w:t>
      </w:r>
    </w:p>
    <w:p w14:paraId="17D29337" w14:textId="77777777" w:rsidR="00C357B4" w:rsidRPr="006F5BCC" w:rsidRDefault="00C357B4" w:rsidP="00C357B4">
      <w:pPr>
        <w:rPr>
          <w:rFonts w:ascii="Lato" w:hAnsi="Lato"/>
          <w:i w:val="0"/>
          <w:sz w:val="22"/>
        </w:rPr>
      </w:pPr>
    </w:p>
    <w:p w14:paraId="04666E7D" w14:textId="77777777" w:rsidR="00C357B4" w:rsidRPr="006F5BCC" w:rsidRDefault="00C357B4" w:rsidP="00C357B4">
      <w:pPr>
        <w:rPr>
          <w:rFonts w:ascii="Lato" w:hAnsi="Lato"/>
          <w:b/>
          <w:bCs/>
          <w:i w:val="0"/>
          <w:sz w:val="22"/>
        </w:rPr>
      </w:pPr>
      <w:r w:rsidRPr="006F5BCC">
        <w:rPr>
          <w:rFonts w:ascii="Lato" w:hAnsi="Lato"/>
          <w:b/>
          <w:bCs/>
          <w:i w:val="0"/>
          <w:sz w:val="22"/>
        </w:rPr>
        <w:t>Comment: Provide instructions upfront on how BSOs should coordinate to prevent duplication. Add a requirement that coordination mechanisms be defined in the plan itself rather than leaving it to annual reports.</w:t>
      </w:r>
    </w:p>
    <w:p w14:paraId="14D92CBF" w14:textId="77777777" w:rsidR="00C357B4" w:rsidRPr="006F5BCC" w:rsidRDefault="00C357B4" w:rsidP="00C357B4">
      <w:pPr>
        <w:rPr>
          <w:rFonts w:ascii="Lato" w:hAnsi="Lato"/>
          <w:i w:val="0"/>
          <w:sz w:val="22"/>
        </w:rPr>
      </w:pPr>
    </w:p>
    <w:p w14:paraId="6A966A36" w14:textId="77777777" w:rsidR="00C357B4" w:rsidRPr="006F5BCC" w:rsidRDefault="00C357B4" w:rsidP="00C357B4">
      <w:pPr>
        <w:rPr>
          <w:rFonts w:ascii="Lato" w:hAnsi="Lato"/>
          <w:i w:val="0"/>
          <w:sz w:val="22"/>
        </w:rPr>
      </w:pPr>
      <w:r w:rsidRPr="006F5BCC">
        <w:rPr>
          <w:rFonts w:ascii="Lato" w:hAnsi="Lato"/>
          <w:i w:val="0"/>
          <w:sz w:val="22"/>
        </w:rPr>
        <w:t>(7) During the first year of program implementation and every five years thereafter, each battery stewardship organization must carry out a survey of public awareness regarding the requirements of the program.</w:t>
      </w:r>
    </w:p>
    <w:p w14:paraId="277576C1" w14:textId="77777777" w:rsidR="00C357B4" w:rsidRPr="006F5BCC" w:rsidRDefault="00C357B4" w:rsidP="00C357B4">
      <w:pPr>
        <w:rPr>
          <w:rFonts w:ascii="Lato" w:hAnsi="Lato"/>
          <w:i w:val="0"/>
          <w:sz w:val="22"/>
        </w:rPr>
      </w:pPr>
    </w:p>
    <w:p w14:paraId="60599B7C" w14:textId="26A9E98A" w:rsidR="00C357B4" w:rsidRPr="006F5BCC" w:rsidRDefault="00C357B4" w:rsidP="4C6ACE79">
      <w:pPr>
        <w:rPr>
          <w:rFonts w:ascii="Lato" w:hAnsi="Lato"/>
          <w:b/>
          <w:bCs/>
          <w:i w:val="0"/>
          <w:sz w:val="22"/>
        </w:rPr>
      </w:pPr>
      <w:r w:rsidRPr="006F5BCC">
        <w:rPr>
          <w:rFonts w:ascii="Lato" w:hAnsi="Lato"/>
          <w:b/>
          <w:bCs/>
          <w:i w:val="0"/>
          <w:sz w:val="22"/>
        </w:rPr>
        <w:t xml:space="preserve">Comment: Ensure surveys reach a representative demographic by employing appropriate scoping methodology. </w:t>
      </w:r>
    </w:p>
    <w:p w14:paraId="05D8B2E4" w14:textId="77777777" w:rsidR="00C357B4" w:rsidRPr="006F5BCC" w:rsidRDefault="00C357B4" w:rsidP="4FFBA617">
      <w:pPr>
        <w:rPr>
          <w:rFonts w:ascii="Lato" w:hAnsi="Lato"/>
          <w:i w:val="0"/>
          <w:sz w:val="22"/>
        </w:rPr>
      </w:pPr>
    </w:p>
    <w:p w14:paraId="09AC49DC" w14:textId="04FACFFE" w:rsidR="4FFBA617" w:rsidRPr="006F5BCC" w:rsidRDefault="4FFBA617" w:rsidP="4FFBA617">
      <w:pPr>
        <w:rPr>
          <w:rFonts w:ascii="Lato" w:hAnsi="Lato"/>
          <w:i w:val="0"/>
          <w:sz w:val="22"/>
        </w:rPr>
      </w:pPr>
    </w:p>
    <w:p w14:paraId="64BEF035" w14:textId="77777777" w:rsidR="0009159A" w:rsidRPr="006F5BCC" w:rsidRDefault="0009159A" w:rsidP="0009159A">
      <w:pPr>
        <w:rPr>
          <w:rFonts w:ascii="Lato" w:hAnsi="Lato"/>
          <w:i w:val="0"/>
          <w:sz w:val="22"/>
        </w:rPr>
      </w:pPr>
      <w:r w:rsidRPr="006F5BCC">
        <w:rPr>
          <w:rFonts w:ascii="Lato" w:hAnsi="Lato"/>
          <w:i w:val="0"/>
          <w:sz w:val="22"/>
        </w:rPr>
        <w:t xml:space="preserve">WAC 173-905-200 </w:t>
      </w:r>
    </w:p>
    <w:p w14:paraId="0C1218FE" w14:textId="7E743FB9" w:rsidR="0009159A" w:rsidRPr="006F5BCC" w:rsidRDefault="0009159A" w:rsidP="0009159A">
      <w:pPr>
        <w:rPr>
          <w:rFonts w:ascii="Lato" w:hAnsi="Lato"/>
          <w:i w:val="0"/>
          <w:color w:val="2F5496" w:themeColor="accent1" w:themeShade="BF"/>
          <w:sz w:val="22"/>
        </w:rPr>
      </w:pPr>
      <w:r w:rsidRPr="006F5BCC">
        <w:rPr>
          <w:rFonts w:ascii="Lato" w:hAnsi="Lato"/>
          <w:i w:val="0"/>
          <w:color w:val="2F5496" w:themeColor="accent1" w:themeShade="BF"/>
          <w:sz w:val="22"/>
        </w:rPr>
        <w:t>Role of retailers</w:t>
      </w:r>
    </w:p>
    <w:p w14:paraId="2D5585CB" w14:textId="77777777" w:rsidR="0009159A" w:rsidRPr="006F5BCC" w:rsidRDefault="0009159A" w:rsidP="0009159A">
      <w:pPr>
        <w:rPr>
          <w:rFonts w:ascii="Lato" w:hAnsi="Lato"/>
          <w:i w:val="0"/>
          <w:color w:val="2F5496" w:themeColor="accent1" w:themeShade="BF"/>
          <w:sz w:val="22"/>
        </w:rPr>
      </w:pPr>
    </w:p>
    <w:p w14:paraId="44FA7518" w14:textId="77777777" w:rsidR="0009159A" w:rsidRPr="006F5BCC" w:rsidRDefault="0009159A" w:rsidP="0009159A">
      <w:pPr>
        <w:rPr>
          <w:rFonts w:ascii="Lato" w:hAnsi="Lato"/>
          <w:i w:val="0"/>
          <w:sz w:val="22"/>
        </w:rPr>
      </w:pPr>
      <w:r w:rsidRPr="006F5BCC">
        <w:rPr>
          <w:rFonts w:ascii="Lato" w:hAnsi="Lato"/>
          <w:i w:val="0"/>
          <w:sz w:val="22"/>
        </w:rPr>
        <w:t>(1) Beginning July 1, 2027, a retailer may not sell, offer for sale, distribute, or otherwise make</w:t>
      </w:r>
    </w:p>
    <w:p w14:paraId="576AE3F9" w14:textId="77777777" w:rsidR="0009159A" w:rsidRPr="006F5BCC" w:rsidRDefault="0009159A" w:rsidP="0009159A">
      <w:pPr>
        <w:rPr>
          <w:rFonts w:ascii="Lato" w:hAnsi="Lato"/>
          <w:i w:val="0"/>
          <w:sz w:val="22"/>
        </w:rPr>
      </w:pPr>
      <w:r w:rsidRPr="006F5BCC">
        <w:rPr>
          <w:rFonts w:ascii="Lato" w:hAnsi="Lato"/>
          <w:i w:val="0"/>
          <w:sz w:val="22"/>
        </w:rPr>
        <w:t>available for sale a covered battery or battery-containing product unless the producer of the</w:t>
      </w:r>
    </w:p>
    <w:p w14:paraId="3AB8A186" w14:textId="77777777" w:rsidR="0009159A" w:rsidRPr="006F5BCC" w:rsidRDefault="0009159A" w:rsidP="0009159A">
      <w:pPr>
        <w:rPr>
          <w:rFonts w:ascii="Lato" w:hAnsi="Lato"/>
          <w:i w:val="0"/>
          <w:sz w:val="22"/>
        </w:rPr>
      </w:pPr>
      <w:r w:rsidRPr="006F5BCC">
        <w:rPr>
          <w:rFonts w:ascii="Lato" w:hAnsi="Lato"/>
          <w:i w:val="0"/>
          <w:sz w:val="22"/>
        </w:rPr>
        <w:t>covered battery or battery-containing product certifies to the retailer that the producer</w:t>
      </w:r>
    </w:p>
    <w:p w14:paraId="581951E4" w14:textId="77777777" w:rsidR="0009159A" w:rsidRPr="006F5BCC" w:rsidRDefault="0009159A" w:rsidP="0009159A">
      <w:pPr>
        <w:rPr>
          <w:rFonts w:ascii="Lato" w:hAnsi="Lato"/>
          <w:i w:val="0"/>
          <w:sz w:val="22"/>
        </w:rPr>
      </w:pPr>
      <w:r w:rsidRPr="006F5BCC">
        <w:rPr>
          <w:rFonts w:ascii="Lato" w:hAnsi="Lato"/>
          <w:i w:val="0"/>
          <w:sz w:val="22"/>
        </w:rPr>
        <w:t xml:space="preserve">participates in a battery stewardship organization with an approved </w:t>
      </w:r>
      <w:proofErr w:type="gramStart"/>
      <w:r w:rsidRPr="006F5BCC">
        <w:rPr>
          <w:rFonts w:ascii="Lato" w:hAnsi="Lato"/>
          <w:i w:val="0"/>
          <w:sz w:val="22"/>
        </w:rPr>
        <w:t>plan;</w:t>
      </w:r>
      <w:proofErr w:type="gramEnd"/>
    </w:p>
    <w:p w14:paraId="5E678B37" w14:textId="77777777" w:rsidR="0009159A" w:rsidRPr="006F5BCC" w:rsidRDefault="0009159A" w:rsidP="0009159A">
      <w:pPr>
        <w:rPr>
          <w:rFonts w:ascii="Lato" w:hAnsi="Lato"/>
          <w:i w:val="0"/>
          <w:sz w:val="22"/>
        </w:rPr>
      </w:pPr>
    </w:p>
    <w:p w14:paraId="4554B2B1" w14:textId="77777777" w:rsidR="0009159A" w:rsidRPr="006F5BCC" w:rsidRDefault="0009159A" w:rsidP="0009159A">
      <w:pPr>
        <w:rPr>
          <w:rFonts w:ascii="Lato" w:hAnsi="Lato"/>
          <w:b/>
          <w:bCs/>
          <w:i w:val="0"/>
          <w:sz w:val="22"/>
        </w:rPr>
      </w:pPr>
      <w:r w:rsidRPr="006F5BCC">
        <w:rPr>
          <w:rFonts w:ascii="Lato" w:hAnsi="Lato"/>
          <w:b/>
          <w:bCs/>
          <w:i w:val="0"/>
          <w:sz w:val="22"/>
        </w:rPr>
        <w:t>Comment: Establish a grace period for retailers to sell existing non-compliant stock, considering potential challenges such as language barriers, staffing limitations and other factors that may disproportionately impact small businesses.</w:t>
      </w:r>
    </w:p>
    <w:p w14:paraId="5D5817DA" w14:textId="77777777" w:rsidR="0009159A" w:rsidRPr="006F5BCC" w:rsidRDefault="0009159A" w:rsidP="0009159A">
      <w:pPr>
        <w:rPr>
          <w:rFonts w:ascii="Lato" w:hAnsi="Lato"/>
          <w:i w:val="0"/>
          <w:sz w:val="22"/>
        </w:rPr>
      </w:pPr>
    </w:p>
    <w:p w14:paraId="1797E116" w14:textId="77777777" w:rsidR="0009159A" w:rsidRPr="006F5BCC" w:rsidRDefault="0009159A" w:rsidP="0009159A">
      <w:pPr>
        <w:rPr>
          <w:rFonts w:ascii="Lato" w:hAnsi="Lato"/>
          <w:i w:val="0"/>
          <w:sz w:val="22"/>
        </w:rPr>
      </w:pPr>
      <w:r w:rsidRPr="006F5BCC">
        <w:rPr>
          <w:rFonts w:ascii="Lato" w:hAnsi="Lato"/>
          <w:i w:val="0"/>
          <w:sz w:val="22"/>
        </w:rPr>
        <w:t>(4) A retailer selling or offering covered batteries for sale in Washington may provide information to consumers regarding available end-of-life management options for covered batteries collected by the battery stewardship organization.</w:t>
      </w:r>
    </w:p>
    <w:p w14:paraId="38A2C922" w14:textId="77777777" w:rsidR="0009159A" w:rsidRPr="006F5BCC" w:rsidRDefault="0009159A" w:rsidP="0009159A">
      <w:pPr>
        <w:rPr>
          <w:rFonts w:ascii="Lato" w:hAnsi="Lato"/>
          <w:i w:val="0"/>
          <w:sz w:val="22"/>
        </w:rPr>
      </w:pPr>
      <w:r w:rsidRPr="006F5BCC">
        <w:rPr>
          <w:rFonts w:ascii="Lato" w:hAnsi="Lato"/>
          <w:i w:val="0"/>
          <w:sz w:val="22"/>
        </w:rPr>
        <w:t>(5) Retailers are not required to make retail locations available to serve as collection sites for a</w:t>
      </w:r>
    </w:p>
    <w:p w14:paraId="580AE369" w14:textId="77777777" w:rsidR="0009159A" w:rsidRPr="006F5BCC" w:rsidRDefault="0009159A" w:rsidP="0009159A">
      <w:pPr>
        <w:rPr>
          <w:rFonts w:ascii="Lato" w:hAnsi="Lato"/>
          <w:i w:val="0"/>
          <w:sz w:val="22"/>
        </w:rPr>
      </w:pPr>
      <w:r w:rsidRPr="006F5BCC">
        <w:rPr>
          <w:rFonts w:ascii="Lato" w:hAnsi="Lato"/>
          <w:i w:val="0"/>
          <w:sz w:val="22"/>
        </w:rPr>
        <w:t>battery stewardship program.</w:t>
      </w:r>
    </w:p>
    <w:p w14:paraId="34C3069E" w14:textId="77777777" w:rsidR="0009159A" w:rsidRPr="006F5BCC" w:rsidRDefault="0009159A" w:rsidP="0009159A">
      <w:pPr>
        <w:rPr>
          <w:rFonts w:ascii="Lato" w:hAnsi="Lato"/>
          <w:i w:val="0"/>
          <w:sz w:val="22"/>
        </w:rPr>
      </w:pPr>
    </w:p>
    <w:p w14:paraId="38E19C36" w14:textId="77777777" w:rsidR="0009159A" w:rsidRPr="006F5BCC" w:rsidRDefault="0009159A" w:rsidP="0009159A">
      <w:pPr>
        <w:rPr>
          <w:rFonts w:ascii="Lato" w:hAnsi="Lato"/>
          <w:i w:val="0"/>
          <w:sz w:val="22"/>
        </w:rPr>
      </w:pPr>
      <w:r w:rsidRPr="006F5BCC">
        <w:rPr>
          <w:rFonts w:ascii="Lato" w:hAnsi="Lato"/>
          <w:b/>
          <w:bCs/>
          <w:i w:val="0"/>
          <w:sz w:val="22"/>
        </w:rPr>
        <w:t xml:space="preserve">Comment: Consider requiring battery collection in stores, </w:t>
      </w:r>
      <w:proofErr w:type="gramStart"/>
      <w:r w:rsidRPr="006F5BCC">
        <w:rPr>
          <w:rFonts w:ascii="Lato" w:hAnsi="Lato"/>
          <w:b/>
          <w:bCs/>
          <w:i w:val="0"/>
          <w:sz w:val="22"/>
        </w:rPr>
        <w:t>similar to</w:t>
      </w:r>
      <w:proofErr w:type="gramEnd"/>
      <w:r w:rsidRPr="006F5BCC">
        <w:rPr>
          <w:rFonts w:ascii="Lato" w:hAnsi="Lato"/>
          <w:b/>
          <w:bCs/>
          <w:i w:val="0"/>
          <w:sz w:val="22"/>
        </w:rPr>
        <w:t xml:space="preserve"> California CalRecycle battery law</w:t>
      </w:r>
      <w:r w:rsidRPr="006F5BCC">
        <w:rPr>
          <w:rFonts w:ascii="Lato" w:hAnsi="Lato"/>
          <w:i w:val="0"/>
          <w:sz w:val="22"/>
        </w:rPr>
        <w:t>: (</w:t>
      </w:r>
      <w:proofErr w:type="spellStart"/>
      <w:r w:rsidRPr="006F5BCC">
        <w:rPr>
          <w:rFonts w:ascii="Lato" w:hAnsi="Lato"/>
          <w:i w:val="0"/>
          <w:sz w:val="22"/>
        </w:rPr>
        <w:t>i</w:t>
      </w:r>
      <w:proofErr w:type="spellEnd"/>
      <w:r w:rsidRPr="006F5BCC">
        <w:rPr>
          <w:rFonts w:ascii="Lato" w:hAnsi="Lato"/>
          <w:i w:val="0"/>
          <w:sz w:val="22"/>
        </w:rPr>
        <w:t>) A retailer with five or more locations in the state shall make all locations serve as permanent collection sites for covered batteries and shall comply with the rules and conditions of the program in which it participates, as part of a stewardship program.</w:t>
      </w:r>
    </w:p>
    <w:p w14:paraId="4232A207" w14:textId="77777777" w:rsidR="0009159A" w:rsidRPr="006F5BCC" w:rsidRDefault="0009159A" w:rsidP="4FFBA617">
      <w:pPr>
        <w:rPr>
          <w:rFonts w:ascii="Lato" w:hAnsi="Lato"/>
          <w:b/>
          <w:bCs/>
          <w:i w:val="0"/>
          <w:sz w:val="22"/>
        </w:rPr>
      </w:pPr>
      <w:r w:rsidRPr="006F5BCC">
        <w:rPr>
          <w:rFonts w:ascii="Lato" w:hAnsi="Lato"/>
          <w:b/>
          <w:bCs/>
          <w:i w:val="0"/>
          <w:sz w:val="22"/>
        </w:rPr>
        <w:t>Change language in (4) from "may" to "must" or add a subsection requiring retailers with X number of locations to provide disposal bins. X being an appropriate for Washington state chain retailers – five or more could be good standard to follow. This would help ensure equitable access to battery recycling throughout the state.</w:t>
      </w:r>
    </w:p>
    <w:p w14:paraId="3B6415E2" w14:textId="6C5FF16A" w:rsidR="4FFBA617" w:rsidRPr="006F5BCC" w:rsidRDefault="4FFBA617" w:rsidP="4FFBA617">
      <w:pPr>
        <w:rPr>
          <w:rFonts w:ascii="Lato" w:hAnsi="Lato"/>
          <w:b/>
          <w:bCs/>
          <w:i w:val="0"/>
          <w:sz w:val="22"/>
        </w:rPr>
      </w:pPr>
    </w:p>
    <w:p w14:paraId="2B7EBB4A" w14:textId="77777777" w:rsidR="0009159A" w:rsidRPr="006F5BCC" w:rsidRDefault="0009159A" w:rsidP="0009159A">
      <w:pPr>
        <w:rPr>
          <w:rFonts w:ascii="Lato" w:hAnsi="Lato"/>
          <w:i w:val="0"/>
          <w:sz w:val="22"/>
        </w:rPr>
      </w:pPr>
    </w:p>
    <w:p w14:paraId="439BCDAB" w14:textId="4671B876" w:rsidR="00C357B4" w:rsidRPr="006F5BCC" w:rsidRDefault="13DC5316" w:rsidP="00F61CD1">
      <w:pPr>
        <w:rPr>
          <w:i w:val="0"/>
        </w:rPr>
      </w:pPr>
      <w:r w:rsidRPr="006F5BCC">
        <w:rPr>
          <w:rFonts w:ascii="Lato" w:eastAsia="Lato" w:hAnsi="Lato" w:cs="Lato"/>
          <w:i w:val="0"/>
          <w:sz w:val="22"/>
        </w:rPr>
        <w:t xml:space="preserve">WAC 173-905-400 </w:t>
      </w:r>
    </w:p>
    <w:p w14:paraId="13C4E82D" w14:textId="3F106E7C" w:rsidR="00C357B4" w:rsidRPr="006F5BCC" w:rsidRDefault="13DC5316" w:rsidP="4C6ACE79">
      <w:pPr>
        <w:rPr>
          <w:rFonts w:ascii="Lato" w:eastAsia="Lato" w:hAnsi="Lato" w:cs="Lato"/>
          <w:i w:val="0"/>
          <w:color w:val="2F5496" w:themeColor="accent1" w:themeShade="BF"/>
          <w:sz w:val="22"/>
        </w:rPr>
      </w:pPr>
      <w:r w:rsidRPr="006F5BCC">
        <w:rPr>
          <w:rFonts w:ascii="Lato" w:eastAsia="Lato" w:hAnsi="Lato" w:cs="Lato"/>
          <w:i w:val="0"/>
          <w:color w:val="2F5496" w:themeColor="accent1" w:themeShade="BF"/>
          <w:sz w:val="22"/>
        </w:rPr>
        <w:t>Plan Contents</w:t>
      </w:r>
    </w:p>
    <w:p w14:paraId="1119DA53" w14:textId="6C1E0929" w:rsidR="4C6ACE79" w:rsidRPr="006F5BCC" w:rsidRDefault="4C6ACE79" w:rsidP="4C6ACE79">
      <w:pPr>
        <w:rPr>
          <w:rFonts w:ascii="Lato" w:eastAsia="Lato" w:hAnsi="Lato" w:cs="Lato"/>
          <w:i w:val="0"/>
          <w:color w:val="2F5496" w:themeColor="accent1" w:themeShade="BF"/>
          <w:sz w:val="22"/>
        </w:rPr>
      </w:pPr>
    </w:p>
    <w:p w14:paraId="74A3CAE6" w14:textId="420293C9" w:rsidR="13DC5316" w:rsidRPr="006F5BCC" w:rsidRDefault="13DC5316" w:rsidP="4C6ACE79">
      <w:pPr>
        <w:rPr>
          <w:rFonts w:ascii="Lato" w:eastAsia="Lato" w:hAnsi="Lato" w:cs="Lato"/>
          <w:i w:val="0"/>
          <w:color w:val="2F5496" w:themeColor="accent1" w:themeShade="BF"/>
          <w:sz w:val="22"/>
        </w:rPr>
      </w:pPr>
      <w:r w:rsidRPr="006F5BCC">
        <w:rPr>
          <w:rFonts w:ascii="Lato" w:eastAsia="Lato" w:hAnsi="Lato" w:cs="Lato"/>
          <w:i w:val="0"/>
          <w:color w:val="auto"/>
          <w:sz w:val="22"/>
        </w:rPr>
        <w:t>(4)(f)((iv</w:t>
      </w:r>
      <w:r w:rsidRPr="006F5BCC">
        <w:rPr>
          <w:rFonts w:ascii="Lato" w:eastAsia="Lato" w:hAnsi="Lato" w:cs="Lato"/>
          <w:i w:val="0"/>
          <w:sz w:val="22"/>
        </w:rPr>
        <w:t>) A goal for the number of portable battery collection sites established at special locations including, but not limited to...</w:t>
      </w:r>
    </w:p>
    <w:p w14:paraId="3E574739" w14:textId="60B6747A" w:rsidR="4C6ACE79" w:rsidRPr="006F5BCC" w:rsidRDefault="4C6ACE79" w:rsidP="4C6ACE79">
      <w:pPr>
        <w:rPr>
          <w:rFonts w:ascii="Lato" w:eastAsia="Lato" w:hAnsi="Lato" w:cs="Lato"/>
          <w:i w:val="0"/>
          <w:sz w:val="22"/>
        </w:rPr>
      </w:pPr>
    </w:p>
    <w:p w14:paraId="5541A211" w14:textId="294098D2" w:rsidR="13DC5316" w:rsidRPr="006F5BCC" w:rsidRDefault="13DC5316" w:rsidP="4C6ACE79">
      <w:pPr>
        <w:rPr>
          <w:rFonts w:ascii="Lato" w:eastAsia="Lato" w:hAnsi="Lato" w:cs="Lato"/>
          <w:b/>
          <w:bCs/>
          <w:i w:val="0"/>
          <w:sz w:val="22"/>
        </w:rPr>
      </w:pPr>
      <w:r w:rsidRPr="006F5BCC">
        <w:rPr>
          <w:rFonts w:ascii="Lato" w:eastAsia="Lato" w:hAnsi="Lato" w:cs="Lato"/>
          <w:b/>
          <w:bCs/>
          <w:i w:val="0"/>
          <w:sz w:val="22"/>
        </w:rPr>
        <w:t xml:space="preserve">Comment: </w:t>
      </w:r>
      <w:r w:rsidR="773B2333" w:rsidRPr="006F5BCC">
        <w:rPr>
          <w:rFonts w:ascii="Lato" w:eastAsia="Lato" w:hAnsi="Lato" w:cs="Lato"/>
          <w:b/>
          <w:bCs/>
          <w:i w:val="0"/>
          <w:sz w:val="22"/>
        </w:rPr>
        <w:t>Expand this to include “special locations and collection events” and provide the example of school events/litter clean-up events.</w:t>
      </w:r>
    </w:p>
    <w:p w14:paraId="331CFCE4" w14:textId="25582815" w:rsidR="4C6ACE79" w:rsidRPr="006F5BCC" w:rsidRDefault="4C6ACE79" w:rsidP="4C6ACE79">
      <w:pPr>
        <w:rPr>
          <w:rFonts w:ascii="Lato" w:eastAsia="Lato" w:hAnsi="Lato" w:cs="Lato"/>
          <w:i w:val="0"/>
          <w:sz w:val="22"/>
        </w:rPr>
      </w:pPr>
    </w:p>
    <w:p w14:paraId="2A8D7658" w14:textId="16B96F7F" w:rsidR="4C6ACE79" w:rsidRPr="006F5BCC" w:rsidRDefault="4C6ACE79" w:rsidP="4C6ACE79">
      <w:pPr>
        <w:rPr>
          <w:rFonts w:ascii="Lato" w:eastAsia="Lato" w:hAnsi="Lato" w:cs="Lato"/>
          <w:i w:val="0"/>
          <w:sz w:val="22"/>
        </w:rPr>
      </w:pPr>
    </w:p>
    <w:p w14:paraId="1B54C24B" w14:textId="77777777" w:rsidR="00020CDA" w:rsidRPr="006F5BCC" w:rsidRDefault="00020CDA" w:rsidP="00020CDA">
      <w:pPr>
        <w:rPr>
          <w:rFonts w:ascii="Lato" w:hAnsi="Lato"/>
          <w:i w:val="0"/>
          <w:sz w:val="22"/>
        </w:rPr>
      </w:pPr>
      <w:r w:rsidRPr="006F5BCC">
        <w:rPr>
          <w:rFonts w:ascii="Lato" w:hAnsi="Lato"/>
          <w:i w:val="0"/>
          <w:sz w:val="22"/>
        </w:rPr>
        <w:t xml:space="preserve">WAC 173-905-410 </w:t>
      </w:r>
    </w:p>
    <w:p w14:paraId="1DAE6A20" w14:textId="77777777" w:rsidR="00020CDA" w:rsidRPr="006F5BCC" w:rsidRDefault="00020CDA" w:rsidP="00020CDA">
      <w:pPr>
        <w:rPr>
          <w:rFonts w:ascii="Lato" w:hAnsi="Lato"/>
          <w:i w:val="0"/>
          <w:color w:val="2F5496" w:themeColor="accent1" w:themeShade="BF"/>
          <w:sz w:val="22"/>
        </w:rPr>
      </w:pPr>
      <w:r w:rsidRPr="006F5BCC">
        <w:rPr>
          <w:rFonts w:ascii="Lato" w:hAnsi="Lato"/>
          <w:i w:val="0"/>
          <w:color w:val="2F5496" w:themeColor="accent1" w:themeShade="BF"/>
          <w:sz w:val="22"/>
        </w:rPr>
        <w:t>Submittal of a plan</w:t>
      </w:r>
    </w:p>
    <w:p w14:paraId="472A0DEA" w14:textId="77777777" w:rsidR="00020CDA" w:rsidRPr="006F5BCC" w:rsidRDefault="00020CDA" w:rsidP="00020CDA">
      <w:pPr>
        <w:rPr>
          <w:rFonts w:ascii="Lato" w:hAnsi="Lato"/>
          <w:i w:val="0"/>
          <w:sz w:val="22"/>
        </w:rPr>
      </w:pPr>
    </w:p>
    <w:p w14:paraId="33649E01" w14:textId="77777777" w:rsidR="00020CDA" w:rsidRPr="006F5BCC" w:rsidRDefault="00020CDA" w:rsidP="00020CDA">
      <w:pPr>
        <w:rPr>
          <w:rFonts w:ascii="Lato" w:hAnsi="Lato"/>
          <w:i w:val="0"/>
          <w:sz w:val="22"/>
        </w:rPr>
      </w:pPr>
      <w:r w:rsidRPr="006F5BCC">
        <w:rPr>
          <w:rFonts w:ascii="Lato" w:hAnsi="Lato"/>
          <w:i w:val="0"/>
          <w:sz w:val="22"/>
        </w:rPr>
        <w:t>(2) By January 1, 2027, or within twelve months after the adoption of the rules under this chapter, whichever is later, a battery stewardship organization shall submit to Ecology a plan that covers the collection, transport, and processing of medium format batteries if the approved plan does not already include medium format batteries.</w:t>
      </w:r>
    </w:p>
    <w:p w14:paraId="360E5798" w14:textId="77777777" w:rsidR="00020CDA" w:rsidRPr="006F5BCC" w:rsidRDefault="00020CDA" w:rsidP="00020CDA">
      <w:pPr>
        <w:rPr>
          <w:rFonts w:ascii="Lato" w:hAnsi="Lato"/>
          <w:i w:val="0"/>
          <w:sz w:val="22"/>
        </w:rPr>
      </w:pPr>
    </w:p>
    <w:p w14:paraId="5F4323C8" w14:textId="77777777" w:rsidR="00020CDA" w:rsidRPr="006F5BCC" w:rsidRDefault="00020CDA" w:rsidP="00020CDA">
      <w:pPr>
        <w:rPr>
          <w:rFonts w:ascii="Lato" w:hAnsi="Lato"/>
          <w:b/>
          <w:bCs/>
          <w:i w:val="0"/>
          <w:sz w:val="22"/>
        </w:rPr>
      </w:pPr>
      <w:r w:rsidRPr="006F5BCC">
        <w:rPr>
          <w:rFonts w:ascii="Lato" w:hAnsi="Lato"/>
          <w:b/>
          <w:bCs/>
          <w:i w:val="0"/>
          <w:sz w:val="22"/>
        </w:rPr>
        <w:t>Comment: Specify if an amendment is required for adding new medium format batteries or if a full plan resubmission is needed.</w:t>
      </w:r>
    </w:p>
    <w:p w14:paraId="4E1BCB58" w14:textId="77777777" w:rsidR="00020CDA" w:rsidRPr="006F5BCC" w:rsidRDefault="00020CDA" w:rsidP="00F61CD1">
      <w:pPr>
        <w:rPr>
          <w:rFonts w:ascii="Lato" w:hAnsi="Lato"/>
          <w:i w:val="0"/>
          <w:sz w:val="22"/>
        </w:rPr>
      </w:pPr>
    </w:p>
    <w:p w14:paraId="4C7B7E61" w14:textId="77777777" w:rsidR="00F61CD1" w:rsidRPr="006F5BCC" w:rsidRDefault="00F61CD1" w:rsidP="00F61CD1">
      <w:pPr>
        <w:rPr>
          <w:rFonts w:ascii="Lato" w:hAnsi="Lato"/>
          <w:i w:val="0"/>
          <w:sz w:val="22"/>
        </w:rPr>
      </w:pPr>
    </w:p>
    <w:p w14:paraId="38AC3032" w14:textId="77777777" w:rsidR="00F61CD1" w:rsidRPr="006F5BCC" w:rsidRDefault="00F61CD1" w:rsidP="00F61CD1">
      <w:pPr>
        <w:rPr>
          <w:rFonts w:ascii="Lato" w:hAnsi="Lato"/>
          <w:i w:val="0"/>
          <w:sz w:val="22"/>
        </w:rPr>
      </w:pPr>
      <w:r w:rsidRPr="006F5BCC">
        <w:rPr>
          <w:rFonts w:ascii="Lato" w:hAnsi="Lato"/>
          <w:i w:val="0"/>
          <w:sz w:val="22"/>
        </w:rPr>
        <w:t xml:space="preserve">WAC 173-905-440 </w:t>
      </w:r>
    </w:p>
    <w:p w14:paraId="40C1C9A7" w14:textId="77777777" w:rsidR="00F61CD1" w:rsidRPr="006F5BCC" w:rsidRDefault="00F61CD1" w:rsidP="00F61CD1">
      <w:pPr>
        <w:rPr>
          <w:rFonts w:ascii="Lato" w:hAnsi="Lato"/>
          <w:i w:val="0"/>
          <w:color w:val="2F5496" w:themeColor="accent1" w:themeShade="BF"/>
          <w:sz w:val="22"/>
        </w:rPr>
      </w:pPr>
      <w:r w:rsidRPr="006F5BCC">
        <w:rPr>
          <w:rFonts w:ascii="Lato" w:hAnsi="Lato"/>
          <w:i w:val="0"/>
          <w:color w:val="2F5496" w:themeColor="accent1" w:themeShade="BF"/>
          <w:sz w:val="22"/>
        </w:rPr>
        <w:t>Implementation of a plan</w:t>
      </w:r>
    </w:p>
    <w:p w14:paraId="6561DD30" w14:textId="77777777" w:rsidR="00F61CD1" w:rsidRPr="006F5BCC" w:rsidRDefault="00F61CD1" w:rsidP="00F61CD1">
      <w:pPr>
        <w:rPr>
          <w:rFonts w:ascii="Lato" w:hAnsi="Lato"/>
          <w:i w:val="0"/>
          <w:color w:val="2F5496" w:themeColor="accent1" w:themeShade="BF"/>
          <w:sz w:val="22"/>
        </w:rPr>
      </w:pPr>
    </w:p>
    <w:p w14:paraId="766F6C40" w14:textId="77777777" w:rsidR="00F61CD1" w:rsidRPr="006F5BCC" w:rsidRDefault="00F61CD1" w:rsidP="00F61CD1">
      <w:pPr>
        <w:rPr>
          <w:rFonts w:ascii="Lato" w:hAnsi="Lato"/>
          <w:i w:val="0"/>
          <w:sz w:val="22"/>
        </w:rPr>
      </w:pPr>
      <w:r w:rsidRPr="006F5BCC">
        <w:rPr>
          <w:rFonts w:ascii="Lato" w:hAnsi="Lato"/>
          <w:i w:val="0"/>
          <w:sz w:val="22"/>
        </w:rPr>
        <w:t xml:space="preserve">(1) Beginning January 1, </w:t>
      </w:r>
      <w:proofErr w:type="gramStart"/>
      <w:r w:rsidRPr="006F5BCC">
        <w:rPr>
          <w:rFonts w:ascii="Lato" w:hAnsi="Lato"/>
          <w:i w:val="0"/>
          <w:sz w:val="22"/>
        </w:rPr>
        <w:t>2027</w:t>
      </w:r>
      <w:proofErr w:type="gramEnd"/>
      <w:r w:rsidRPr="006F5BCC">
        <w:rPr>
          <w:rFonts w:ascii="Lato" w:hAnsi="Lato"/>
          <w:i w:val="0"/>
          <w:sz w:val="22"/>
        </w:rPr>
        <w:t xml:space="preserve"> or beginning twelve months of adoption of rules under this chapter, whichever is later, each battery stewardship organization shall begin to implement the approved plan.</w:t>
      </w:r>
    </w:p>
    <w:p w14:paraId="2B98D015" w14:textId="77777777" w:rsidR="00F61CD1" w:rsidRPr="006F5BCC" w:rsidRDefault="00F61CD1" w:rsidP="00F61CD1">
      <w:pPr>
        <w:rPr>
          <w:rFonts w:ascii="Lato" w:hAnsi="Lato"/>
          <w:i w:val="0"/>
          <w:sz w:val="22"/>
        </w:rPr>
      </w:pPr>
      <w:r w:rsidRPr="006F5BCC">
        <w:rPr>
          <w:rFonts w:ascii="Lato" w:hAnsi="Lato"/>
          <w:i w:val="0"/>
          <w:sz w:val="22"/>
        </w:rPr>
        <w:t>(2) By July 1, 2027, or within eighteen months of adoption of rules under this chapter, whichever comes later, each battery stewardship organization shall have fully implemented the approved plan for covered portable batteries.</w:t>
      </w:r>
    </w:p>
    <w:p w14:paraId="207380C9" w14:textId="77777777" w:rsidR="00F61CD1" w:rsidRPr="006F5BCC" w:rsidRDefault="00F61CD1" w:rsidP="00F61CD1">
      <w:pPr>
        <w:rPr>
          <w:rFonts w:ascii="Lato" w:hAnsi="Lato"/>
          <w:i w:val="0"/>
          <w:sz w:val="22"/>
        </w:rPr>
      </w:pPr>
    </w:p>
    <w:p w14:paraId="0A20599E" w14:textId="77777777" w:rsidR="00F61CD1" w:rsidRPr="006F5BCC" w:rsidRDefault="00F61CD1" w:rsidP="4FFBA617">
      <w:pPr>
        <w:rPr>
          <w:rFonts w:ascii="Lato" w:hAnsi="Lato"/>
          <w:b/>
          <w:bCs/>
          <w:i w:val="0"/>
          <w:sz w:val="22"/>
        </w:rPr>
      </w:pPr>
      <w:r w:rsidRPr="006F5BCC">
        <w:rPr>
          <w:rFonts w:ascii="Lato" w:hAnsi="Lato"/>
          <w:b/>
          <w:bCs/>
          <w:i w:val="0"/>
          <w:sz w:val="22"/>
        </w:rPr>
        <w:t>Comment: The six-month timeframe between plan submission and implementation is too short, especially considering public comment, Ecology review, and potential resubmittals. Clarify if extensions will be granted.</w:t>
      </w:r>
    </w:p>
    <w:p w14:paraId="0C257EB6" w14:textId="1A49F6B7" w:rsidR="4FFBA617" w:rsidRPr="006F5BCC" w:rsidRDefault="4FFBA617" w:rsidP="4FFBA617">
      <w:pPr>
        <w:rPr>
          <w:rFonts w:ascii="Lato" w:hAnsi="Lato"/>
          <w:b/>
          <w:bCs/>
          <w:i w:val="0"/>
          <w:sz w:val="22"/>
        </w:rPr>
      </w:pPr>
    </w:p>
    <w:p w14:paraId="1AB19572" w14:textId="68A903B8" w:rsidR="2E8FE225" w:rsidRPr="006F5BCC" w:rsidRDefault="2E8FE225" w:rsidP="4FFBA617">
      <w:pPr>
        <w:rPr>
          <w:rFonts w:ascii="Lato" w:eastAsia="Lato" w:hAnsi="Lato" w:cs="Lato"/>
          <w:i w:val="0"/>
          <w:sz w:val="22"/>
        </w:rPr>
      </w:pPr>
      <w:r w:rsidRPr="006F5BCC">
        <w:rPr>
          <w:rFonts w:ascii="Lato" w:hAnsi="Lato"/>
          <w:i w:val="0"/>
          <w:sz w:val="22"/>
        </w:rPr>
        <w:t xml:space="preserve">(2)(c) </w:t>
      </w:r>
      <w:r w:rsidRPr="006F5BCC">
        <w:rPr>
          <w:rFonts w:ascii="Lato" w:eastAsia="Lato" w:hAnsi="Lato" w:cs="Lato"/>
          <w:i w:val="0"/>
          <w:sz w:val="22"/>
        </w:rPr>
        <w:t xml:space="preserve">The battery stewardship organization’s website is live, providing information to producers, retailers, collection sites, and consumers about the </w:t>
      </w:r>
      <w:proofErr w:type="gramStart"/>
      <w:r w:rsidRPr="006F5BCC">
        <w:rPr>
          <w:rFonts w:ascii="Lato" w:eastAsia="Lato" w:hAnsi="Lato" w:cs="Lato"/>
          <w:i w:val="0"/>
          <w:sz w:val="22"/>
        </w:rPr>
        <w:t>program;</w:t>
      </w:r>
      <w:proofErr w:type="gramEnd"/>
      <w:r w:rsidRPr="006F5BCC">
        <w:rPr>
          <w:rFonts w:ascii="Lato" w:eastAsia="Lato" w:hAnsi="Lato" w:cs="Lato"/>
          <w:i w:val="0"/>
          <w:sz w:val="22"/>
        </w:rPr>
        <w:t xml:space="preserve"> </w:t>
      </w:r>
    </w:p>
    <w:p w14:paraId="3D6B6C93" w14:textId="1FB12C1B" w:rsidR="2E8FE225" w:rsidRPr="006F5BCC" w:rsidRDefault="2E8FE225" w:rsidP="4FFBA617">
      <w:pPr>
        <w:rPr>
          <w:rFonts w:ascii="Lato" w:eastAsia="Lato" w:hAnsi="Lato" w:cs="Lato"/>
          <w:i w:val="0"/>
          <w:sz w:val="22"/>
        </w:rPr>
      </w:pPr>
      <w:r w:rsidRPr="006F5BCC">
        <w:rPr>
          <w:rFonts w:ascii="Lato" w:eastAsia="Lato" w:hAnsi="Lato" w:cs="Lato"/>
          <w:i w:val="0"/>
          <w:sz w:val="22"/>
        </w:rPr>
        <w:t>(2)(d) A collection site locator on the battery stewardship organization’s website is operational, providing collection site address, hours, phone number, website if applicable, and any special instructions or restrictions specific to the collection site; and...</w:t>
      </w:r>
    </w:p>
    <w:p w14:paraId="552E814B" w14:textId="29163367" w:rsidR="4FFBA617" w:rsidRPr="006F5BCC" w:rsidRDefault="4FFBA617" w:rsidP="4FFBA617">
      <w:pPr>
        <w:rPr>
          <w:rFonts w:ascii="Lato" w:eastAsia="Lato" w:hAnsi="Lato" w:cs="Lato"/>
          <w:i w:val="0"/>
          <w:sz w:val="22"/>
        </w:rPr>
      </w:pPr>
    </w:p>
    <w:p w14:paraId="3A7A6444" w14:textId="158414F5" w:rsidR="2E8FE225" w:rsidRPr="006F5BCC" w:rsidRDefault="2E8FE225" w:rsidP="4FFBA617">
      <w:pPr>
        <w:rPr>
          <w:rFonts w:ascii="Lato" w:eastAsia="Lato" w:hAnsi="Lato" w:cs="Lato"/>
          <w:b/>
          <w:bCs/>
          <w:i w:val="0"/>
          <w:sz w:val="22"/>
        </w:rPr>
      </w:pPr>
      <w:r w:rsidRPr="006F5BCC">
        <w:rPr>
          <w:rFonts w:ascii="Lato" w:eastAsia="Lato" w:hAnsi="Lato" w:cs="Lato"/>
          <w:b/>
          <w:bCs/>
          <w:i w:val="0"/>
          <w:sz w:val="22"/>
        </w:rPr>
        <w:t>Comment: Consider adding more requirements of a stewardship organization's public-facing website. It needs to be accessible, easy to navigate, contain all relevant information about the program, map of recycle locations, etc. This comment also applies to WAC 173-905-110</w:t>
      </w:r>
      <w:r w:rsidR="08B82715" w:rsidRPr="006F5BCC">
        <w:rPr>
          <w:rFonts w:ascii="Lato" w:eastAsia="Lato" w:hAnsi="Lato" w:cs="Lato"/>
          <w:b/>
          <w:bCs/>
          <w:i w:val="0"/>
          <w:sz w:val="22"/>
        </w:rPr>
        <w:t xml:space="preserve"> (1)(a).</w:t>
      </w:r>
    </w:p>
    <w:p w14:paraId="3BBA48C5" w14:textId="77777777" w:rsidR="00F61CD1" w:rsidRPr="006F5BCC" w:rsidRDefault="00F61CD1" w:rsidP="4FFBA617">
      <w:pPr>
        <w:rPr>
          <w:rFonts w:ascii="Lato" w:hAnsi="Lato"/>
          <w:i w:val="0"/>
          <w:sz w:val="22"/>
        </w:rPr>
      </w:pPr>
    </w:p>
    <w:p w14:paraId="74867006" w14:textId="77777777" w:rsidR="00F61CD1" w:rsidRPr="006F5BCC" w:rsidRDefault="00F61CD1" w:rsidP="00F61CD1">
      <w:pPr>
        <w:rPr>
          <w:rFonts w:ascii="Lato" w:hAnsi="Lato"/>
          <w:i w:val="0"/>
          <w:sz w:val="22"/>
        </w:rPr>
      </w:pPr>
    </w:p>
    <w:p w14:paraId="034A9576" w14:textId="2C63BB4C" w:rsidR="00F61CD1" w:rsidRPr="006F5BCC" w:rsidRDefault="50AB8C11" w:rsidP="00F61CD1">
      <w:pPr>
        <w:rPr>
          <w:i w:val="0"/>
        </w:rPr>
      </w:pPr>
      <w:r w:rsidRPr="006F5BCC">
        <w:rPr>
          <w:rFonts w:ascii="Lato" w:eastAsia="Lato" w:hAnsi="Lato" w:cs="Lato"/>
          <w:i w:val="0"/>
          <w:sz w:val="22"/>
        </w:rPr>
        <w:t xml:space="preserve">WAC 173-905-450 </w:t>
      </w:r>
    </w:p>
    <w:p w14:paraId="2BE43A61" w14:textId="0AEB7C1A" w:rsidR="00F61CD1" w:rsidRPr="006F5BCC" w:rsidRDefault="50AB8C11" w:rsidP="4C6ACE79">
      <w:pPr>
        <w:rPr>
          <w:rFonts w:ascii="Lato" w:eastAsia="Lato" w:hAnsi="Lato" w:cs="Lato"/>
          <w:i w:val="0"/>
          <w:color w:val="2F5496" w:themeColor="accent1" w:themeShade="BF"/>
          <w:sz w:val="22"/>
        </w:rPr>
      </w:pPr>
      <w:r w:rsidRPr="006F5BCC">
        <w:rPr>
          <w:rFonts w:ascii="Lato" w:eastAsia="Lato" w:hAnsi="Lato" w:cs="Lato"/>
          <w:i w:val="0"/>
          <w:color w:val="2F5496" w:themeColor="accent1" w:themeShade="BF"/>
          <w:sz w:val="22"/>
        </w:rPr>
        <w:t>Annual reports</w:t>
      </w:r>
    </w:p>
    <w:p w14:paraId="16EAC14E" w14:textId="5743C872" w:rsidR="4C6ACE79" w:rsidRPr="006F5BCC" w:rsidRDefault="4C6ACE79" w:rsidP="4FFBA617">
      <w:pPr>
        <w:rPr>
          <w:rFonts w:ascii="Lato" w:eastAsia="Lato" w:hAnsi="Lato" w:cs="Lato"/>
          <w:i w:val="0"/>
          <w:sz w:val="22"/>
        </w:rPr>
      </w:pPr>
    </w:p>
    <w:p w14:paraId="22DCEA7E" w14:textId="66DE5CB1" w:rsidR="0CDA38F9" w:rsidRPr="006F5BCC" w:rsidRDefault="0CDA38F9">
      <w:pPr>
        <w:rPr>
          <w:i w:val="0"/>
        </w:rPr>
      </w:pPr>
      <w:r w:rsidRPr="006F5BCC">
        <w:rPr>
          <w:rFonts w:ascii="Lato" w:eastAsia="Lato" w:hAnsi="Lato" w:cs="Lato"/>
          <w:i w:val="0"/>
          <w:sz w:val="22"/>
        </w:rPr>
        <w:t>(10) Progress on performance goals.</w:t>
      </w:r>
    </w:p>
    <w:p w14:paraId="0E52C817" w14:textId="1219E547" w:rsidR="4FFBA617" w:rsidRPr="006F5BCC" w:rsidRDefault="4FFBA617" w:rsidP="4FFBA617">
      <w:pPr>
        <w:rPr>
          <w:rFonts w:ascii="Lato" w:eastAsia="Lato" w:hAnsi="Lato" w:cs="Lato"/>
          <w:i w:val="0"/>
          <w:sz w:val="22"/>
        </w:rPr>
      </w:pPr>
    </w:p>
    <w:p w14:paraId="7815EBA9" w14:textId="5D126967" w:rsidR="4C6ACE79" w:rsidRPr="006F5BCC" w:rsidRDefault="047C5F45" w:rsidP="4FFBA617">
      <w:pPr>
        <w:rPr>
          <w:rFonts w:ascii="Lato" w:eastAsia="Lato" w:hAnsi="Lato" w:cs="Lato"/>
          <w:b/>
          <w:bCs/>
          <w:i w:val="0"/>
          <w:sz w:val="22"/>
        </w:rPr>
      </w:pPr>
      <w:r w:rsidRPr="006F5BCC">
        <w:rPr>
          <w:rFonts w:ascii="Lato" w:eastAsia="Lato" w:hAnsi="Lato" w:cs="Lato"/>
          <w:b/>
          <w:bCs/>
          <w:i w:val="0"/>
          <w:sz w:val="22"/>
        </w:rPr>
        <w:t>Comment: Consider adding language that gives you the ability to request changes to the format and/or display of data reported by the organization.</w:t>
      </w:r>
    </w:p>
    <w:p w14:paraId="680AB438" w14:textId="5F927565" w:rsidR="4FFBA617" w:rsidRPr="006F5BCC" w:rsidRDefault="4FFBA617" w:rsidP="4FFBA617">
      <w:pPr>
        <w:rPr>
          <w:rFonts w:ascii="Lato" w:eastAsia="Lato" w:hAnsi="Lato" w:cs="Lato"/>
          <w:b/>
          <w:bCs/>
          <w:i w:val="0"/>
          <w:sz w:val="22"/>
        </w:rPr>
      </w:pPr>
    </w:p>
    <w:p w14:paraId="3657AB95" w14:textId="762D4CD1" w:rsidR="2EB03B4A" w:rsidRPr="006F5BCC" w:rsidRDefault="2EB03B4A" w:rsidP="4FFBA617">
      <w:pPr>
        <w:rPr>
          <w:rFonts w:ascii="Lato" w:eastAsia="Lato" w:hAnsi="Lato" w:cs="Lato"/>
          <w:i w:val="0"/>
          <w:sz w:val="22"/>
        </w:rPr>
      </w:pPr>
      <w:r w:rsidRPr="006F5BCC">
        <w:rPr>
          <w:rFonts w:ascii="Lato" w:eastAsia="Lato" w:hAnsi="Lato" w:cs="Lato"/>
          <w:i w:val="0"/>
          <w:sz w:val="22"/>
        </w:rPr>
        <w:t xml:space="preserve">(10)(c) An evaluation of the effectiveness of education and outreach </w:t>
      </w:r>
      <w:proofErr w:type="gramStart"/>
      <w:r w:rsidRPr="006F5BCC">
        <w:rPr>
          <w:rFonts w:ascii="Lato" w:eastAsia="Lato" w:hAnsi="Lato" w:cs="Lato"/>
          <w:i w:val="0"/>
          <w:sz w:val="22"/>
        </w:rPr>
        <w:t>activities;</w:t>
      </w:r>
      <w:proofErr w:type="gramEnd"/>
    </w:p>
    <w:p w14:paraId="5107A19F" w14:textId="0D9E620C" w:rsidR="2EB03B4A" w:rsidRPr="006F5BCC" w:rsidRDefault="2EB03B4A" w:rsidP="4FFBA617">
      <w:pPr>
        <w:rPr>
          <w:rFonts w:ascii="Lato" w:eastAsia="Lato" w:hAnsi="Lato" w:cs="Lato"/>
          <w:b/>
          <w:bCs/>
          <w:i w:val="0"/>
          <w:sz w:val="22"/>
        </w:rPr>
      </w:pPr>
      <w:r w:rsidRPr="006F5BCC">
        <w:rPr>
          <w:rFonts w:ascii="Lato" w:eastAsia="Lato" w:hAnsi="Lato" w:cs="Lato"/>
          <w:b/>
          <w:bCs/>
          <w:i w:val="0"/>
          <w:sz w:val="22"/>
        </w:rPr>
        <w:t>Comment: Consider adding requirements for quantitative data specific to education work</w:t>
      </w:r>
    </w:p>
    <w:p w14:paraId="2135918D" w14:textId="0BF058D9" w:rsidR="4FFBA617" w:rsidRPr="006F5BCC" w:rsidRDefault="4FFBA617" w:rsidP="4FFBA617">
      <w:pPr>
        <w:rPr>
          <w:rFonts w:ascii="Lato" w:eastAsia="Lato" w:hAnsi="Lato" w:cs="Lato"/>
          <w:i w:val="0"/>
          <w:sz w:val="22"/>
        </w:rPr>
      </w:pPr>
    </w:p>
    <w:p w14:paraId="1D05D4D3" w14:textId="6C71CD5D" w:rsidR="4C6ACE79" w:rsidRPr="006F5BCC" w:rsidRDefault="4C6ACE79" w:rsidP="4C6ACE79">
      <w:pPr>
        <w:rPr>
          <w:rFonts w:ascii="Lato" w:eastAsia="Lato" w:hAnsi="Lato" w:cs="Lato"/>
          <w:i w:val="0"/>
          <w:sz w:val="22"/>
        </w:rPr>
      </w:pPr>
    </w:p>
    <w:p w14:paraId="6DA0680A" w14:textId="77777777" w:rsidR="00F61CD1" w:rsidRPr="006F5BCC" w:rsidRDefault="00F61CD1" w:rsidP="00F61CD1">
      <w:pPr>
        <w:rPr>
          <w:rFonts w:ascii="Lato" w:hAnsi="Lato"/>
          <w:i w:val="0"/>
          <w:sz w:val="22"/>
        </w:rPr>
      </w:pPr>
      <w:r w:rsidRPr="006F5BCC">
        <w:rPr>
          <w:rFonts w:ascii="Lato" w:hAnsi="Lato"/>
          <w:i w:val="0"/>
          <w:sz w:val="22"/>
        </w:rPr>
        <w:t xml:space="preserve">WAC 173-905-510 </w:t>
      </w:r>
    </w:p>
    <w:p w14:paraId="3DC42871" w14:textId="77777777" w:rsidR="00F61CD1" w:rsidRPr="006F5BCC" w:rsidRDefault="00F61CD1" w:rsidP="00F61CD1">
      <w:pPr>
        <w:rPr>
          <w:rFonts w:ascii="Lato" w:hAnsi="Lato"/>
          <w:i w:val="0"/>
          <w:color w:val="2F5496" w:themeColor="accent1" w:themeShade="BF"/>
          <w:sz w:val="22"/>
        </w:rPr>
      </w:pPr>
      <w:r w:rsidRPr="006F5BCC">
        <w:rPr>
          <w:rFonts w:ascii="Lato" w:hAnsi="Lato"/>
          <w:i w:val="0"/>
          <w:color w:val="2F5496" w:themeColor="accent1" w:themeShade="BF"/>
          <w:sz w:val="22"/>
        </w:rPr>
        <w:t>General battery disposal and collection requirements</w:t>
      </w:r>
    </w:p>
    <w:p w14:paraId="2950449A" w14:textId="77777777" w:rsidR="00F61CD1" w:rsidRPr="006F5BCC" w:rsidRDefault="00F61CD1" w:rsidP="00F61CD1">
      <w:pPr>
        <w:rPr>
          <w:rFonts w:ascii="Lato" w:hAnsi="Lato"/>
          <w:i w:val="0"/>
          <w:sz w:val="22"/>
        </w:rPr>
      </w:pPr>
    </w:p>
    <w:p w14:paraId="0764A1B7" w14:textId="77777777" w:rsidR="00F61CD1" w:rsidRPr="006F5BCC" w:rsidRDefault="00F61CD1" w:rsidP="00F61CD1">
      <w:pPr>
        <w:rPr>
          <w:rFonts w:ascii="Lato" w:hAnsi="Lato"/>
          <w:i w:val="0"/>
          <w:sz w:val="22"/>
        </w:rPr>
      </w:pPr>
      <w:r w:rsidRPr="006F5BCC">
        <w:rPr>
          <w:rFonts w:ascii="Lato" w:hAnsi="Lato"/>
          <w:i w:val="0"/>
          <w:sz w:val="22"/>
        </w:rPr>
        <w:t>(1)(c) Disposal using local government collection facilities that collect batteries consistent with RCW 70A.555.070(4)(c).</w:t>
      </w:r>
    </w:p>
    <w:p w14:paraId="3A9C8DD2" w14:textId="77777777" w:rsidR="00F61CD1" w:rsidRPr="006F5BCC" w:rsidRDefault="00F61CD1" w:rsidP="00F61CD1">
      <w:pPr>
        <w:rPr>
          <w:rFonts w:ascii="Lato" w:hAnsi="Lato"/>
          <w:i w:val="0"/>
          <w:sz w:val="22"/>
        </w:rPr>
      </w:pPr>
    </w:p>
    <w:p w14:paraId="16A8F2B8" w14:textId="0B752D46" w:rsidR="0AB69705" w:rsidRPr="006F5BCC" w:rsidRDefault="00F61CD1" w:rsidP="4FFBA617">
      <w:pPr>
        <w:rPr>
          <w:rFonts w:ascii="Lato" w:hAnsi="Lato"/>
          <w:b/>
          <w:bCs/>
          <w:i w:val="0"/>
          <w:sz w:val="22"/>
        </w:rPr>
      </w:pPr>
      <w:r w:rsidRPr="006F5BCC">
        <w:rPr>
          <w:rFonts w:ascii="Lato" w:hAnsi="Lato"/>
          <w:b/>
          <w:bCs/>
          <w:i w:val="0"/>
          <w:sz w:val="22"/>
        </w:rPr>
        <w:t>Comment: Do contract-based HHW facilities count?</w:t>
      </w:r>
      <w:r w:rsidRPr="006F5BCC">
        <w:rPr>
          <w:rFonts w:ascii="Lato" w:hAnsi="Lato"/>
          <w:i w:val="0"/>
          <w:sz w:val="22"/>
        </w:rPr>
        <w:t xml:space="preserve"> </w:t>
      </w:r>
    </w:p>
    <w:p w14:paraId="1D945A9A" w14:textId="4A6EBF4E" w:rsidR="0AB69705" w:rsidRPr="006F5BCC" w:rsidRDefault="0AB69705" w:rsidP="4FFBA617">
      <w:pPr>
        <w:rPr>
          <w:rFonts w:ascii="Lato" w:hAnsi="Lato"/>
          <w:i w:val="0"/>
          <w:sz w:val="22"/>
        </w:rPr>
      </w:pPr>
    </w:p>
    <w:sectPr w:rsidR="0AB69705" w:rsidRPr="006F5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panose1 w:val="020F0502020204030203"/>
    <w:charset w:val="00"/>
    <w:family w:val="swiss"/>
    <w:pitch w:val="variable"/>
    <w:sig w:usb0="A00000AF" w:usb1="5000604B" w:usb2="00000000" w:usb3="00000000" w:csb0="0000009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84102"/>
    <w:multiLevelType w:val="hybridMultilevel"/>
    <w:tmpl w:val="3312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85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D1"/>
    <w:rsid w:val="00020CDA"/>
    <w:rsid w:val="0009159A"/>
    <w:rsid w:val="002B20FA"/>
    <w:rsid w:val="003B574A"/>
    <w:rsid w:val="00681E5A"/>
    <w:rsid w:val="006B7899"/>
    <w:rsid w:val="006F5BCC"/>
    <w:rsid w:val="00807CC2"/>
    <w:rsid w:val="00861839"/>
    <w:rsid w:val="0089157A"/>
    <w:rsid w:val="008D06BE"/>
    <w:rsid w:val="0094512B"/>
    <w:rsid w:val="00B05487"/>
    <w:rsid w:val="00B53F37"/>
    <w:rsid w:val="00C357B4"/>
    <w:rsid w:val="00C8748B"/>
    <w:rsid w:val="00D809A0"/>
    <w:rsid w:val="00DB5106"/>
    <w:rsid w:val="00DD2387"/>
    <w:rsid w:val="00DF703C"/>
    <w:rsid w:val="00ED73C6"/>
    <w:rsid w:val="00F32D93"/>
    <w:rsid w:val="00F61CD1"/>
    <w:rsid w:val="047C5F45"/>
    <w:rsid w:val="08B82715"/>
    <w:rsid w:val="0AB69705"/>
    <w:rsid w:val="0CDA38F9"/>
    <w:rsid w:val="128E0C47"/>
    <w:rsid w:val="13DC5316"/>
    <w:rsid w:val="1B7CC5CB"/>
    <w:rsid w:val="22BCDEB8"/>
    <w:rsid w:val="29C4AC39"/>
    <w:rsid w:val="2E8FE225"/>
    <w:rsid w:val="2EB03B4A"/>
    <w:rsid w:val="33A7C1F1"/>
    <w:rsid w:val="3513476E"/>
    <w:rsid w:val="3CC01B5D"/>
    <w:rsid w:val="3E73436B"/>
    <w:rsid w:val="3F0F2508"/>
    <w:rsid w:val="4191C302"/>
    <w:rsid w:val="4AA1EDB0"/>
    <w:rsid w:val="4C6ACE79"/>
    <w:rsid w:val="4FFBA617"/>
    <w:rsid w:val="50AB8C11"/>
    <w:rsid w:val="6063F42B"/>
    <w:rsid w:val="60ADB439"/>
    <w:rsid w:val="60B1AC9B"/>
    <w:rsid w:val="6503119F"/>
    <w:rsid w:val="6BB4CF6E"/>
    <w:rsid w:val="6FE92290"/>
    <w:rsid w:val="72AB2B2C"/>
    <w:rsid w:val="7431CBAA"/>
    <w:rsid w:val="773B2333"/>
    <w:rsid w:val="7A7D6C5E"/>
    <w:rsid w:val="7B27EFD1"/>
    <w:rsid w:val="7C2FAEEA"/>
    <w:rsid w:val="7F11DD96"/>
    <w:rsid w:val="7F3D952E"/>
    <w:rsid w:val="7F4FA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9D92"/>
  <w15:chartTrackingRefBased/>
  <w15:docId w15:val="{6F1D4B05-EDC3-4F88-84EE-E56C5A92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i/>
        <w:color w:val="000000"/>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CD1"/>
  </w:style>
  <w:style w:type="paragraph" w:styleId="Heading2">
    <w:name w:val="heading 2"/>
    <w:basedOn w:val="Normal"/>
    <w:next w:val="Normal"/>
    <w:link w:val="Heading2Char"/>
    <w:uiPriority w:val="9"/>
    <w:unhideWhenUsed/>
    <w:qFormat/>
    <w:rsid w:val="006B789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CD1"/>
    <w:pPr>
      <w:ind w:left="720"/>
      <w:contextualSpacing/>
    </w:pPr>
  </w:style>
  <w:style w:type="character" w:styleId="Hyperlink">
    <w:name w:val="Hyperlink"/>
    <w:basedOn w:val="DefaultParagraphFont"/>
    <w:uiPriority w:val="99"/>
    <w:unhideWhenUsed/>
    <w:rsid w:val="00F61CD1"/>
    <w:rPr>
      <w:color w:val="0563C1" w:themeColor="hyperlink"/>
      <w:u w:val="single"/>
    </w:rPr>
  </w:style>
  <w:style w:type="character" w:styleId="UnresolvedMention">
    <w:name w:val="Unresolved Mention"/>
    <w:basedOn w:val="DefaultParagraphFont"/>
    <w:uiPriority w:val="99"/>
    <w:semiHidden/>
    <w:unhideWhenUsed/>
    <w:rsid w:val="006B7899"/>
    <w:rPr>
      <w:color w:val="605E5C"/>
      <w:shd w:val="clear" w:color="auto" w:fill="E1DFDD"/>
    </w:rPr>
  </w:style>
  <w:style w:type="character" w:customStyle="1" w:styleId="Heading2Char">
    <w:name w:val="Heading 2 Char"/>
    <w:basedOn w:val="DefaultParagraphFont"/>
    <w:link w:val="Heading2"/>
    <w:uiPriority w:val="9"/>
    <w:rsid w:val="006B78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9c6904-b073-4843-a92d-4a72a350cf02}" enabled="0" method="" siteId="{389c6904-b073-4843-a92d-4a72a350cf0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6167</Characters>
  <Application>Microsoft Office Word</Application>
  <DocSecurity>0</DocSecurity>
  <Lines>51</Lines>
  <Paragraphs>14</Paragraphs>
  <ScaleCrop>false</ScaleCrop>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Bethanie Velasco</dc:creator>
  <cp:keywords/>
  <dc:description/>
  <cp:lastModifiedBy>Bethanie Velasco</cp:lastModifiedBy>
  <cp:revision>17</cp:revision>
  <dcterms:created xsi:type="dcterms:W3CDTF">2025-03-26T23:39:00Z</dcterms:created>
  <dcterms:modified xsi:type="dcterms:W3CDTF">2025-03-28T00:28:00Z</dcterms:modified>
</cp:coreProperties>
</file>