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D14A" w14:textId="77777777" w:rsidR="00033024" w:rsidRDefault="00033024"/>
    <w:p w14:paraId="23E7ABB5" w14:textId="12C8DAB5" w:rsidR="004C5B5B" w:rsidRDefault="00055BFF" w:rsidP="00055BFF">
      <w:pPr>
        <w:pStyle w:val="NormalWeb"/>
        <w:jc w:val="center"/>
      </w:pPr>
      <w:r w:rsidRPr="00FF645F">
        <w:rPr>
          <w:rFonts w:eastAsia="Calibri"/>
          <w:noProof/>
        </w:rPr>
        <w:drawing>
          <wp:inline distT="0" distB="0" distL="0" distR="0" wp14:anchorId="3E7B1976" wp14:editId="21433BD4">
            <wp:extent cx="3276600" cy="1128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5635" cy="1159184"/>
                    </a:xfrm>
                    <a:prstGeom prst="rect">
                      <a:avLst/>
                    </a:prstGeom>
                    <a:noFill/>
                    <a:ln>
                      <a:noFill/>
                    </a:ln>
                  </pic:spPr>
                </pic:pic>
              </a:graphicData>
            </a:graphic>
          </wp:inline>
        </w:drawing>
      </w:r>
    </w:p>
    <w:p w14:paraId="5145C399" w14:textId="6D86344B" w:rsidR="008A794B" w:rsidRDefault="008A794B" w:rsidP="00A05A75">
      <w:pPr>
        <w:pStyle w:val="NormalWeb"/>
      </w:pPr>
      <w:r>
        <w:t>November 30, 2025</w:t>
      </w:r>
    </w:p>
    <w:p w14:paraId="5052A322" w14:textId="06D26A54" w:rsidR="00332C28" w:rsidRDefault="00A87799" w:rsidP="00A05A75">
      <w:pPr>
        <w:pStyle w:val="NormalWeb"/>
      </w:pPr>
      <w:r>
        <w:t>RE: ORCA Waiver Comments</w:t>
      </w:r>
    </w:p>
    <w:p w14:paraId="50812554" w14:textId="77777777" w:rsidR="008247E9" w:rsidRPr="008247E9" w:rsidRDefault="008247E9" w:rsidP="00721F02">
      <w:pPr>
        <w:pStyle w:val="NormalWeb"/>
        <w:ind w:firstLine="720"/>
      </w:pPr>
      <w:r w:rsidRPr="008247E9">
        <w:t>The Washington Refuse and Recycling Association (WRRA) appreciates the opportunity to comment on the Department of Ecology’s draft rule language under WAC 173-350 (Organics Management). WRRA is the longest-serving solid waste and recycling trade association on the West Coast, representing the private-sector solid waste, recycling, and organics management industry throughout Washington State since 1947. Our members provide essential public health and environmental protection services, including the collection, transportation, and processing of municipal solid waste and source-separated recyclables and organics.</w:t>
      </w:r>
    </w:p>
    <w:p w14:paraId="1D667780" w14:textId="29E1A8B2" w:rsidR="008247E9" w:rsidRDefault="008247E9" w:rsidP="008247E9">
      <w:pPr>
        <w:pStyle w:val="NormalWeb"/>
        <w:ind w:firstLine="720"/>
      </w:pPr>
      <w:r w:rsidRPr="008247E9">
        <w:t>Collection companies, processors, transfer facilities, and composters must build and maintain the infrastructure needed to execute the mandates that jurisdictions adopt in response to this rule. As a result, the requirements being placed on jurisdictions have direct and significant implications for the regulated industry, including substantial capital investments, operational changes, service routing, contamination management, and customer-facing program rollout. For these reasons, WRRA believes it is essential that the agency hear from the service providers and facility operators who will be responsible for carrying out these requirements in practice. Our comments are offered to help ensure that the final rule is aligned with statutory intent, operationally feasible, economically sustainable, and capable of being implemented safely and effectively statewide.</w:t>
      </w:r>
      <w:r w:rsidR="005F7755" w:rsidRPr="005F7755">
        <w:t xml:space="preserve"> </w:t>
      </w:r>
      <w:r w:rsidR="005F7755">
        <w:t xml:space="preserve">WRRA supported the underlying statute at the time of passage and remains committed to advancing feasible, environmentally responsible organics management systems consistent with state law. However, we have some concerns and clarifying questions about the ORCA waiver process. </w:t>
      </w:r>
    </w:p>
    <w:p w14:paraId="0F6EE0D9" w14:textId="35A7BBDA" w:rsidR="009C7647" w:rsidRDefault="0082529B" w:rsidP="008D28A8">
      <w:pPr>
        <w:pStyle w:val="NormalWeb"/>
        <w:ind w:firstLine="720"/>
      </w:pPr>
      <w:r>
        <w:t xml:space="preserve">Collaborative Implementation: </w:t>
      </w:r>
      <w:r w:rsidR="00A84992">
        <w:t xml:space="preserve">WRRA remains concerned about the substantial cost burden associated with implementing mandatory residential and non-residential organics collection. The statute itself establishes significant new obligations for local governments and service providers, and Ecology’s draft rule must fully recognize the scale of these impacts. Implementing expanded organics collection will require jurisdictions and solid waste collection companies </w:t>
      </w:r>
      <w:r w:rsidR="00F006F3">
        <w:t xml:space="preserve">to acquire additional trucks, containers, and related infrastructure at a time when supply chain constraints already make procurement challenging. These mandates will also require hiring and training new staff, restructuring </w:t>
      </w:r>
      <w:r w:rsidR="0031359C">
        <w:t xml:space="preserve">and rerouting current collection systems, and redesigning customer-service operations to support compulsory organics service. In additions, the need to store very large quantities </w:t>
      </w:r>
      <w:r w:rsidR="009C7647">
        <w:t xml:space="preserve">of new carts and containers prior to use creates an additional burden, as jurisdictions must secure temporary storage space or real estate to stage and deliver equipment. These are not marginal adjustments; they are system-wide overhauls. WRRA strongly urges Ecology to acknowledge this fiscal reality </w:t>
      </w:r>
      <w:r w:rsidR="005425AE">
        <w:t xml:space="preserve">by working collaboratively with local governments and private sector operators </w:t>
      </w:r>
      <w:r w:rsidR="00270252">
        <w:t>to</w:t>
      </w:r>
      <w:r w:rsidR="009C7647">
        <w:t xml:space="preserve"> ensure the waiver system, rule language, and compliance timelines remain flexible, achievable, and aligned with statutory intent.</w:t>
      </w:r>
    </w:p>
    <w:p w14:paraId="76E54716" w14:textId="7385095D" w:rsidR="00446830" w:rsidRDefault="00270252" w:rsidP="008D28A8">
      <w:pPr>
        <w:pStyle w:val="NormalWeb"/>
        <w:ind w:firstLine="720"/>
      </w:pPr>
      <w:r>
        <w:t xml:space="preserve">Frequency Waiver: </w:t>
      </w:r>
      <w:r w:rsidR="009C7647">
        <w:t xml:space="preserve">The draft frequency waiver application requires jurisdictions to “check the box” </w:t>
      </w:r>
      <w:r>
        <w:t>to select an</w:t>
      </w:r>
      <w:r w:rsidR="009C7647">
        <w:t xml:space="preserve"> alternative collection method. One of the options listed is: “Implement a drop box or public drop-off management system.”</w:t>
      </w:r>
      <w:r w:rsidR="00261069">
        <w:t xml:space="preserve"> </w:t>
      </w:r>
      <w:r w:rsidR="001573DD">
        <w:t xml:space="preserve">The basis for this requirement is not present in the language of the statute and </w:t>
      </w:r>
      <w:r w:rsidR="00261069">
        <w:t xml:space="preserve">appears </w:t>
      </w:r>
      <w:r w:rsidR="00261069">
        <w:lastRenderedPageBreak/>
        <w:t xml:space="preserve">meaningfully more restrictive than what RCW 70A.205.540(5)(b) requires. The statute allows for flexibility in circumstances where storage constraints or other practical barriers exist, and it does </w:t>
      </w:r>
      <w:r w:rsidR="0015622B">
        <w:t>n</w:t>
      </w:r>
      <w:r w:rsidR="00261069">
        <w:t xml:space="preserve">ot require </w:t>
      </w:r>
      <w:r w:rsidR="005300EF">
        <w:t xml:space="preserve">establishment of a full public drop off system to qualify for a waiver. </w:t>
      </w:r>
      <w:r w:rsidR="00446830">
        <w:t xml:space="preserve">RCW 70A.205.540(5)(b) </w:t>
      </w:r>
      <w:r w:rsidR="005300EF">
        <w:t>states:</w:t>
      </w:r>
    </w:p>
    <w:p w14:paraId="09DB4547" w14:textId="275AB024" w:rsidR="003A0765" w:rsidRDefault="003A0765" w:rsidP="003A0765">
      <w:pPr>
        <w:pStyle w:val="NormalWeb"/>
        <w:ind w:left="720"/>
      </w:pPr>
      <w:r w:rsidRPr="005B589A">
        <w:rPr>
          <w:b/>
          <w:bCs/>
        </w:rPr>
        <w:t xml:space="preserve">Programs established under this subsection may allow for waivers </w:t>
      </w:r>
      <w:r w:rsidRPr="003A0765">
        <w:t xml:space="preserve">from the requirements for source separated organic materials for an existing multifamily structure </w:t>
      </w:r>
      <w:r w:rsidRPr="005B589A">
        <w:rPr>
          <w:b/>
          <w:bCs/>
        </w:rPr>
        <w:t>if it is determined that the structure does not have adequate storage space</w:t>
      </w:r>
      <w:r w:rsidRPr="003A0765">
        <w:t xml:space="preserve"> for collection of </w:t>
      </w:r>
      <w:proofErr w:type="gramStart"/>
      <w:r w:rsidRPr="003A0765">
        <w:t>source</w:t>
      </w:r>
      <w:proofErr w:type="gramEnd"/>
      <w:r w:rsidRPr="003A0765">
        <w:t xml:space="preserve"> separated organic materials. In cases where space constraints are determined to exist, </w:t>
      </w:r>
      <w:r w:rsidRPr="005B589A">
        <w:rPr>
          <w:b/>
          <w:bCs/>
        </w:rPr>
        <w:t>the feasibility of shared containers</w:t>
      </w:r>
      <w:r w:rsidRPr="003A0765">
        <w:t xml:space="preserve"> by contiguous multifamily structures or between multifamily structures and adjacent businesses </w:t>
      </w:r>
      <w:r w:rsidRPr="005B589A">
        <w:rPr>
          <w:b/>
          <w:bCs/>
        </w:rPr>
        <w:t>shall also be evaluated before a waiver is granted</w:t>
      </w:r>
      <w:r w:rsidR="005B589A">
        <w:rPr>
          <w:b/>
          <w:bCs/>
        </w:rPr>
        <w:t xml:space="preserve"> </w:t>
      </w:r>
      <w:r w:rsidR="005B589A" w:rsidRPr="005B589A">
        <w:t>(</w:t>
      </w:r>
      <w:r w:rsidR="0012263D">
        <w:t>e</w:t>
      </w:r>
      <w:r w:rsidR="005B589A" w:rsidRPr="005B589A">
        <w:t>mphasis added)</w:t>
      </w:r>
      <w:r w:rsidR="0012263D">
        <w:t>.</w:t>
      </w:r>
    </w:p>
    <w:p w14:paraId="097294DE" w14:textId="77777777" w:rsidR="00721F02" w:rsidRDefault="005C1F5A" w:rsidP="00721F02">
      <w:pPr>
        <w:pStyle w:val="NormalWeb"/>
      </w:pPr>
      <w:r>
        <w:t xml:space="preserve">Nothing in RCW 70A.205.540 requires a jurisdiction to build or operate a new public drop-off system </w:t>
      </w:r>
      <w:r w:rsidR="00482DF0">
        <w:t>to</w:t>
      </w:r>
      <w:r>
        <w:t xml:space="preserve"> receive a </w:t>
      </w:r>
      <w:r w:rsidR="00F36879">
        <w:t>frequency waiver.</w:t>
      </w:r>
      <w:r w:rsidR="00123A40">
        <w:t xml:space="preserve"> Rather, the law requires </w:t>
      </w:r>
      <w:r w:rsidR="00C56977">
        <w:t xml:space="preserve">the Department to evaluate the feasibility of shared containers, likely as part of the consultation and evaluation process conducted </w:t>
      </w:r>
      <w:r w:rsidR="00695ECB">
        <w:t xml:space="preserve">by the Department in reviewing waivers. Applying this requirement on a jurisdictional basis may also extend beyond the direction anticipated by the legislature. The language of RCW </w:t>
      </w:r>
      <w:r w:rsidR="00721F02">
        <w:t>70A.205.540(5)(b) speaks to “an existing multi-family structure” not any or all existing multi-family structures and appears to contemplate more flexibility within a jurisdiction.</w:t>
      </w:r>
    </w:p>
    <w:p w14:paraId="2522FB9C" w14:textId="3587F68D" w:rsidR="00585FCA" w:rsidRDefault="00F36879" w:rsidP="008D28A8">
      <w:pPr>
        <w:pStyle w:val="NormalWeb"/>
        <w:ind w:firstLine="720"/>
      </w:pPr>
      <w:r>
        <w:t xml:space="preserve"> </w:t>
      </w:r>
      <w:r w:rsidR="003C0018">
        <w:t xml:space="preserve">As currently drafted, the waiver application appears to </w:t>
      </w:r>
      <w:r w:rsidR="006F6119">
        <w:t xml:space="preserve">require jurisdictions to commit to building public drop-off systems in advance, rather than to undergo the feasibility evaluation contemplated by the statute. </w:t>
      </w:r>
      <w:r w:rsidR="008D28A8">
        <w:t>This approach seems to go beyond the authority granted in RCW 70A.205.540 and may cause unnecessary costs and burdens</w:t>
      </w:r>
      <w:r w:rsidR="00721F02">
        <w:t xml:space="preserve"> for implementing jurisdictions</w:t>
      </w:r>
      <w:r w:rsidR="008D28A8">
        <w:t xml:space="preserve">. </w:t>
      </w:r>
      <w:r w:rsidR="0034365C">
        <w:t xml:space="preserve">WRRA requests clarification </w:t>
      </w:r>
      <w:r w:rsidR="00B341A1">
        <w:t xml:space="preserve">on where in </w:t>
      </w:r>
      <w:r w:rsidR="00C74CDB">
        <w:t>the waiver process does the statutorily required evaluation occur</w:t>
      </w:r>
      <w:r w:rsidR="00F96005">
        <w:t xml:space="preserve">, and does Ecology intend for the </w:t>
      </w:r>
      <w:r w:rsidR="00BC3889">
        <w:t xml:space="preserve">Technical Assistance Approach to fulfill that requirement? </w:t>
      </w:r>
    </w:p>
    <w:p w14:paraId="21E2DC8D" w14:textId="2974B3EC" w:rsidR="00524163" w:rsidRDefault="00524163" w:rsidP="008D28A8">
      <w:pPr>
        <w:pStyle w:val="NormalWeb"/>
        <w:ind w:firstLine="720"/>
      </w:pPr>
      <w:r>
        <w:t xml:space="preserve">WRRA appreciates the Department’s engagement on these issues and supports rulemaking that helps jurisdictions meet statutory goals, avoids undue burden, </w:t>
      </w:r>
      <w:r w:rsidR="00052504">
        <w:t xml:space="preserve">and ensures consistent, practical guidance for implementation. We welcome continued dialogue and remain ready to collaborate with Ecology as the rulemaking proceeds. </w:t>
      </w:r>
      <w:r w:rsidR="00EA6F8B">
        <w:t xml:space="preserve">In that regard, please direct any questions to India Brine at </w:t>
      </w:r>
      <w:hyperlink r:id="rId10" w:history="1">
        <w:r w:rsidR="00EA6F8B" w:rsidRPr="00723710">
          <w:rPr>
            <w:rStyle w:val="Hyperlink"/>
          </w:rPr>
          <w:t>india@wrra.org</w:t>
        </w:r>
      </w:hyperlink>
      <w:r w:rsidR="00EA6F8B">
        <w:t xml:space="preserve"> or to me directly at </w:t>
      </w:r>
      <w:hyperlink r:id="rId11" w:history="1">
        <w:r w:rsidR="00EA6F8B" w:rsidRPr="00723710">
          <w:rPr>
            <w:rStyle w:val="Hyperlink"/>
          </w:rPr>
          <w:t>brad@wrra.org</w:t>
        </w:r>
      </w:hyperlink>
      <w:r w:rsidR="00EA6F8B">
        <w:t>.</w:t>
      </w:r>
    </w:p>
    <w:p w14:paraId="7F2BB107" w14:textId="6C3726CD" w:rsidR="00052504" w:rsidRDefault="00EA6F8B" w:rsidP="00052504">
      <w:pPr>
        <w:pStyle w:val="NormalWeb"/>
      </w:pPr>
      <w:r>
        <w:t>Thank you for your consideration.</w:t>
      </w:r>
    </w:p>
    <w:p w14:paraId="45449E84" w14:textId="77777777" w:rsidR="00F64B65" w:rsidRDefault="00F64B65" w:rsidP="00F64B6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Sincerely,</w:t>
      </w:r>
    </w:p>
    <w:p w14:paraId="7481FB80" w14:textId="77777777" w:rsidR="00F64B65" w:rsidRDefault="00F64B65" w:rsidP="00F64B65">
      <w:pPr>
        <w:spacing w:after="0" w:line="240" w:lineRule="auto"/>
        <w:rPr>
          <w:rFonts w:ascii="Times New Roman" w:eastAsia="Calibri" w:hAnsi="Times New Roman" w:cs="Times New Roman"/>
          <w:kern w:val="0"/>
          <w14:ligatures w14:val="none"/>
        </w:rPr>
      </w:pPr>
    </w:p>
    <w:p w14:paraId="399A5DA1" w14:textId="12A5E473" w:rsidR="00F64B65" w:rsidRDefault="00EA4A56" w:rsidP="00F64B6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noProof/>
          <w:kern w:val="0"/>
          <w14:ligatures w14:val="none"/>
        </w:rPr>
        <w:drawing>
          <wp:inline distT="0" distB="0" distL="0" distR="0" wp14:anchorId="26F8DBB7" wp14:editId="20C5329E">
            <wp:extent cx="1459029" cy="699045"/>
            <wp:effectExtent l="0" t="0" r="8255" b="6350"/>
            <wp:docPr id="1723023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7549" cy="703127"/>
                    </a:xfrm>
                    <a:prstGeom prst="rect">
                      <a:avLst/>
                    </a:prstGeom>
                    <a:noFill/>
                  </pic:spPr>
                </pic:pic>
              </a:graphicData>
            </a:graphic>
          </wp:inline>
        </w:drawing>
      </w:r>
    </w:p>
    <w:p w14:paraId="7206B457" w14:textId="77777777" w:rsidR="00F64B65" w:rsidRDefault="00F64B65" w:rsidP="00F64B65">
      <w:pPr>
        <w:spacing w:after="0" w:line="240" w:lineRule="auto"/>
        <w:rPr>
          <w:rFonts w:ascii="Times New Roman" w:eastAsia="Calibri" w:hAnsi="Times New Roman" w:cs="Times New Roman"/>
          <w:kern w:val="0"/>
          <w14:ligatures w14:val="none"/>
        </w:rPr>
      </w:pPr>
    </w:p>
    <w:p w14:paraId="0641590E" w14:textId="77777777" w:rsidR="00F64B65" w:rsidRDefault="00F64B65" w:rsidP="00F64B6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Brad Lovaas</w:t>
      </w:r>
    </w:p>
    <w:p w14:paraId="140233D9" w14:textId="77777777" w:rsidR="00F64B65" w:rsidRPr="00A653E8" w:rsidRDefault="00F64B65" w:rsidP="00F64B65">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Executive Director, WRRA</w:t>
      </w:r>
    </w:p>
    <w:p w14:paraId="581895A8" w14:textId="77777777" w:rsidR="006C6472" w:rsidRDefault="006C6472" w:rsidP="00052504">
      <w:pPr>
        <w:pStyle w:val="NormalWeb"/>
      </w:pPr>
    </w:p>
    <w:sectPr w:rsidR="006C6472" w:rsidSect="004C5B5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8FD1A" w14:textId="77777777" w:rsidR="00FB7815" w:rsidRDefault="00FB7815" w:rsidP="00524163">
      <w:pPr>
        <w:spacing w:after="0" w:line="240" w:lineRule="auto"/>
      </w:pPr>
      <w:r>
        <w:separator/>
      </w:r>
    </w:p>
  </w:endnote>
  <w:endnote w:type="continuationSeparator" w:id="0">
    <w:p w14:paraId="737E9447" w14:textId="77777777" w:rsidR="00FB7815" w:rsidRDefault="00FB7815" w:rsidP="00524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B5E28" w14:textId="77777777" w:rsidR="00524163" w:rsidRDefault="00524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02CDE" w14:textId="77777777" w:rsidR="00524163" w:rsidRDefault="00524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A4AEC" w14:textId="77777777" w:rsidR="00524163" w:rsidRDefault="00524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F2A2F" w14:textId="77777777" w:rsidR="00FB7815" w:rsidRDefault="00FB7815" w:rsidP="00524163">
      <w:pPr>
        <w:spacing w:after="0" w:line="240" w:lineRule="auto"/>
      </w:pPr>
      <w:r>
        <w:separator/>
      </w:r>
    </w:p>
  </w:footnote>
  <w:footnote w:type="continuationSeparator" w:id="0">
    <w:p w14:paraId="47140FFA" w14:textId="77777777" w:rsidR="00FB7815" w:rsidRDefault="00FB7815" w:rsidP="00524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4A570" w14:textId="77777777" w:rsidR="00524163" w:rsidRDefault="00524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5EE06" w14:textId="7D3A5EB5" w:rsidR="00524163" w:rsidRDefault="00524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168D7" w14:textId="77777777" w:rsidR="00524163" w:rsidRDefault="005241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28"/>
    <w:rsid w:val="00031E25"/>
    <w:rsid w:val="00033024"/>
    <w:rsid w:val="00052504"/>
    <w:rsid w:val="00055BFF"/>
    <w:rsid w:val="0012263D"/>
    <w:rsid w:val="00123A40"/>
    <w:rsid w:val="0015622B"/>
    <w:rsid w:val="001573DD"/>
    <w:rsid w:val="001C7700"/>
    <w:rsid w:val="00255FE8"/>
    <w:rsid w:val="00261069"/>
    <w:rsid w:val="00270252"/>
    <w:rsid w:val="0028661A"/>
    <w:rsid w:val="002D3DE1"/>
    <w:rsid w:val="0031359C"/>
    <w:rsid w:val="00332C28"/>
    <w:rsid w:val="00341F07"/>
    <w:rsid w:val="0034365C"/>
    <w:rsid w:val="003A0765"/>
    <w:rsid w:val="003B440A"/>
    <w:rsid w:val="003C0018"/>
    <w:rsid w:val="00446830"/>
    <w:rsid w:val="00482DF0"/>
    <w:rsid w:val="004C5B5B"/>
    <w:rsid w:val="00524163"/>
    <w:rsid w:val="005300EF"/>
    <w:rsid w:val="005425AE"/>
    <w:rsid w:val="00585FCA"/>
    <w:rsid w:val="005B589A"/>
    <w:rsid w:val="005C1F5A"/>
    <w:rsid w:val="005E10AE"/>
    <w:rsid w:val="005F7755"/>
    <w:rsid w:val="00686F04"/>
    <w:rsid w:val="00695ECB"/>
    <w:rsid w:val="006C6472"/>
    <w:rsid w:val="006F6119"/>
    <w:rsid w:val="00721F02"/>
    <w:rsid w:val="00780989"/>
    <w:rsid w:val="008247E9"/>
    <w:rsid w:val="0082529B"/>
    <w:rsid w:val="008A794B"/>
    <w:rsid w:val="008B7681"/>
    <w:rsid w:val="008D28A8"/>
    <w:rsid w:val="008E774C"/>
    <w:rsid w:val="00934191"/>
    <w:rsid w:val="009C05AC"/>
    <w:rsid w:val="009C7647"/>
    <w:rsid w:val="00A05A75"/>
    <w:rsid w:val="00A84992"/>
    <w:rsid w:val="00A87799"/>
    <w:rsid w:val="00B341A1"/>
    <w:rsid w:val="00BC3889"/>
    <w:rsid w:val="00C56977"/>
    <w:rsid w:val="00C74CDB"/>
    <w:rsid w:val="00D24F7F"/>
    <w:rsid w:val="00EA4A56"/>
    <w:rsid w:val="00EA6F8B"/>
    <w:rsid w:val="00F006F3"/>
    <w:rsid w:val="00F36879"/>
    <w:rsid w:val="00F64B65"/>
    <w:rsid w:val="00F96005"/>
    <w:rsid w:val="00FB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6A594"/>
  <w15:chartTrackingRefBased/>
  <w15:docId w15:val="{F0EA3373-91E8-4578-A2BF-60815B16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C28"/>
    <w:rPr>
      <w:rFonts w:eastAsiaTheme="majorEastAsia" w:cstheme="majorBidi"/>
      <w:color w:val="272727" w:themeColor="text1" w:themeTint="D8"/>
    </w:rPr>
  </w:style>
  <w:style w:type="paragraph" w:styleId="Title">
    <w:name w:val="Title"/>
    <w:basedOn w:val="Normal"/>
    <w:next w:val="Normal"/>
    <w:link w:val="TitleChar"/>
    <w:uiPriority w:val="10"/>
    <w:qFormat/>
    <w:rsid w:val="00332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C28"/>
    <w:pPr>
      <w:spacing w:before="160"/>
      <w:jc w:val="center"/>
    </w:pPr>
    <w:rPr>
      <w:i/>
      <w:iCs/>
      <w:color w:val="404040" w:themeColor="text1" w:themeTint="BF"/>
    </w:rPr>
  </w:style>
  <w:style w:type="character" w:customStyle="1" w:styleId="QuoteChar">
    <w:name w:val="Quote Char"/>
    <w:basedOn w:val="DefaultParagraphFont"/>
    <w:link w:val="Quote"/>
    <w:uiPriority w:val="29"/>
    <w:rsid w:val="00332C28"/>
    <w:rPr>
      <w:i/>
      <w:iCs/>
      <w:color w:val="404040" w:themeColor="text1" w:themeTint="BF"/>
    </w:rPr>
  </w:style>
  <w:style w:type="paragraph" w:styleId="ListParagraph">
    <w:name w:val="List Paragraph"/>
    <w:basedOn w:val="Normal"/>
    <w:uiPriority w:val="34"/>
    <w:qFormat/>
    <w:rsid w:val="00332C28"/>
    <w:pPr>
      <w:ind w:left="720"/>
      <w:contextualSpacing/>
    </w:pPr>
  </w:style>
  <w:style w:type="character" w:styleId="IntenseEmphasis">
    <w:name w:val="Intense Emphasis"/>
    <w:basedOn w:val="DefaultParagraphFont"/>
    <w:uiPriority w:val="21"/>
    <w:qFormat/>
    <w:rsid w:val="00332C28"/>
    <w:rPr>
      <w:i/>
      <w:iCs/>
      <w:color w:val="0F4761" w:themeColor="accent1" w:themeShade="BF"/>
    </w:rPr>
  </w:style>
  <w:style w:type="paragraph" w:styleId="IntenseQuote">
    <w:name w:val="Intense Quote"/>
    <w:basedOn w:val="Normal"/>
    <w:next w:val="Normal"/>
    <w:link w:val="IntenseQuoteChar"/>
    <w:uiPriority w:val="30"/>
    <w:qFormat/>
    <w:rsid w:val="00332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C28"/>
    <w:rPr>
      <w:i/>
      <w:iCs/>
      <w:color w:val="0F4761" w:themeColor="accent1" w:themeShade="BF"/>
    </w:rPr>
  </w:style>
  <w:style w:type="character" w:styleId="IntenseReference">
    <w:name w:val="Intense Reference"/>
    <w:basedOn w:val="DefaultParagraphFont"/>
    <w:uiPriority w:val="32"/>
    <w:qFormat/>
    <w:rsid w:val="00332C28"/>
    <w:rPr>
      <w:b/>
      <w:bCs/>
      <w:smallCaps/>
      <w:color w:val="0F4761" w:themeColor="accent1" w:themeShade="BF"/>
      <w:spacing w:val="5"/>
    </w:rPr>
  </w:style>
  <w:style w:type="paragraph" w:styleId="NormalWeb">
    <w:name w:val="Normal (Web)"/>
    <w:basedOn w:val="Normal"/>
    <w:uiPriority w:val="99"/>
    <w:unhideWhenUsed/>
    <w:rsid w:val="004C5B5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24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63"/>
  </w:style>
  <w:style w:type="paragraph" w:styleId="Footer">
    <w:name w:val="footer"/>
    <w:basedOn w:val="Normal"/>
    <w:link w:val="FooterChar"/>
    <w:uiPriority w:val="99"/>
    <w:unhideWhenUsed/>
    <w:rsid w:val="00524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63"/>
  </w:style>
  <w:style w:type="character" w:styleId="Hyperlink">
    <w:name w:val="Hyperlink"/>
    <w:basedOn w:val="DefaultParagraphFont"/>
    <w:uiPriority w:val="99"/>
    <w:unhideWhenUsed/>
    <w:rsid w:val="00EA6F8B"/>
    <w:rPr>
      <w:color w:val="467886" w:themeColor="hyperlink"/>
      <w:u w:val="single"/>
    </w:rPr>
  </w:style>
  <w:style w:type="character" w:styleId="UnresolvedMention">
    <w:name w:val="Unresolved Mention"/>
    <w:basedOn w:val="DefaultParagraphFont"/>
    <w:uiPriority w:val="99"/>
    <w:semiHidden/>
    <w:unhideWhenUsed/>
    <w:rsid w:val="00EA6F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ad@wrra.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dia@wrra.or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55776948E6E14C91EE9E731FADDB69" ma:contentTypeVersion="15" ma:contentTypeDescription="Create a new document." ma:contentTypeScope="" ma:versionID="1faca33ead3a8695f410f0ba0f9ac514">
  <xsd:schema xmlns:xsd="http://www.w3.org/2001/XMLSchema" xmlns:xs="http://www.w3.org/2001/XMLSchema" xmlns:p="http://schemas.microsoft.com/office/2006/metadata/properties" xmlns:ns2="86f326bf-5db1-415a-80da-c6d2a3541e95" xmlns:ns3="1680c0bc-e6ec-45b1-b9cc-db535821e482" targetNamespace="http://schemas.microsoft.com/office/2006/metadata/properties" ma:root="true" ma:fieldsID="cd28a6ac7db38097a344e6f473aaab33" ns2:_="" ns3:_="">
    <xsd:import namespace="86f326bf-5db1-415a-80da-c6d2a3541e95"/>
    <xsd:import namespace="1680c0bc-e6ec-45b1-b9cc-db535821e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326bf-5db1-415a-80da-c6d2a3541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4f7c67-1953-4fa0-9e83-ab33e0937f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80c0bc-e6ec-45b1-b9cc-db535821e4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fc8c3-19b1-49a5-a95a-ffae12d8e13d}" ma:internalName="TaxCatchAll" ma:showField="CatchAllData" ma:web="1680c0bc-e6ec-45b1-b9cc-db535821e4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f326bf-5db1-415a-80da-c6d2a3541e95">
      <Terms xmlns="http://schemas.microsoft.com/office/infopath/2007/PartnerControls"/>
    </lcf76f155ced4ddcb4097134ff3c332f>
    <TaxCatchAll xmlns="1680c0bc-e6ec-45b1-b9cc-db535821e482" xsi:nil="true"/>
  </documentManagement>
</p:properties>
</file>

<file path=customXml/itemProps1.xml><?xml version="1.0" encoding="utf-8"?>
<ds:datastoreItem xmlns:ds="http://schemas.openxmlformats.org/officeDocument/2006/customXml" ds:itemID="{2252789F-4878-45EA-A05F-31EF97D5E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326bf-5db1-415a-80da-c6d2a3541e95"/>
    <ds:schemaRef ds:uri="1680c0bc-e6ec-45b1-b9cc-db535821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F1D4D-7E61-4B96-AC03-838052A35F92}">
  <ds:schemaRefs>
    <ds:schemaRef ds:uri="http://schemas.microsoft.com/sharepoint/v3/contenttype/forms"/>
  </ds:schemaRefs>
</ds:datastoreItem>
</file>

<file path=customXml/itemProps3.xml><?xml version="1.0" encoding="utf-8"?>
<ds:datastoreItem xmlns:ds="http://schemas.openxmlformats.org/officeDocument/2006/customXml" ds:itemID="{EE60BB77-959C-4B39-883B-8169EC5E5975}">
  <ds:schemaRefs>
    <ds:schemaRef ds:uri="http://schemas.microsoft.com/office/2006/metadata/properties"/>
    <ds:schemaRef ds:uri="http://schemas.microsoft.com/office/infopath/2007/PartnerControls"/>
    <ds:schemaRef ds:uri="86f326bf-5db1-415a-80da-c6d2a3541e95"/>
    <ds:schemaRef ds:uri="1680c0bc-e6ec-45b1-b9cc-db535821e482"/>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923</Words>
  <Characters>5266</Characters>
  <Application>Microsoft Office Word</Application>
  <DocSecurity>0</DocSecurity>
  <Lines>43</Lines>
  <Paragraphs>12</Paragraphs>
  <ScaleCrop>false</ScaleCrop>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 Brine</dc:creator>
  <cp:keywords/>
  <dc:description/>
  <cp:lastModifiedBy>WRRA</cp:lastModifiedBy>
  <cp:revision>57</cp:revision>
  <dcterms:created xsi:type="dcterms:W3CDTF">2025-11-25T18:26:00Z</dcterms:created>
  <dcterms:modified xsi:type="dcterms:W3CDTF">2025-11-26T18:38:00Z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0x010100FF55776948E6E14C91EE9E731FADDB69</vt:lpwstr>
  </property>
  <property fmtid="{D5CDD505-2E9C-101B-9397-08002B2CF9AE}" pid="3" name="MediaServiceImageTags">
    <vt:lpwstr/>
  </property>
</Properties>
</file>