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BB143" w14:textId="3CF61C15" w:rsidR="00097603" w:rsidRDefault="00097603" w:rsidP="00097603">
      <w:pPr>
        <w:pStyle w:val="BodyText"/>
        <w:jc w:val="center"/>
        <w:rPr>
          <w:iCs/>
        </w:rPr>
      </w:pPr>
      <w:r>
        <w:rPr>
          <w:iCs/>
          <w:noProof/>
        </w:rPr>
        <w:drawing>
          <wp:inline distT="0" distB="0" distL="0" distR="0" wp14:anchorId="188F179B" wp14:editId="5331EA4B">
            <wp:extent cx="2084705" cy="926465"/>
            <wp:effectExtent l="0" t="0" r="0" b="6985"/>
            <wp:docPr id="1302681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4705" cy="926465"/>
                    </a:xfrm>
                    <a:prstGeom prst="rect">
                      <a:avLst/>
                    </a:prstGeom>
                    <a:noFill/>
                  </pic:spPr>
                </pic:pic>
              </a:graphicData>
            </a:graphic>
          </wp:inline>
        </w:drawing>
      </w:r>
    </w:p>
    <w:p w14:paraId="453A8BF3" w14:textId="77777777" w:rsidR="00097603" w:rsidRDefault="00097603" w:rsidP="007A1060">
      <w:pPr>
        <w:pStyle w:val="BodyText"/>
        <w:rPr>
          <w:iCs/>
        </w:rPr>
      </w:pPr>
    </w:p>
    <w:p w14:paraId="735BEAB8" w14:textId="42305851" w:rsidR="007A1060" w:rsidRDefault="007A1060" w:rsidP="007A1060">
      <w:pPr>
        <w:pStyle w:val="BodyText"/>
        <w:rPr>
          <w:iCs/>
        </w:rPr>
      </w:pPr>
      <w:r>
        <w:rPr>
          <w:iCs/>
        </w:rPr>
        <w:t>August 13, 2026</w:t>
      </w:r>
    </w:p>
    <w:p w14:paraId="127A6089" w14:textId="77777777" w:rsidR="00097603" w:rsidRPr="00494462" w:rsidRDefault="00097603" w:rsidP="007A1060">
      <w:pPr>
        <w:pStyle w:val="BodyText"/>
        <w:rPr>
          <w:iCs/>
          <w:sz w:val="10"/>
          <w:szCs w:val="10"/>
        </w:rPr>
      </w:pPr>
    </w:p>
    <w:p w14:paraId="79D6E12C" w14:textId="70F1B1C5" w:rsidR="007A1060" w:rsidRDefault="007A1060" w:rsidP="007A1060">
      <w:pPr>
        <w:pStyle w:val="BodyText"/>
        <w:rPr>
          <w:iCs/>
        </w:rPr>
      </w:pPr>
      <w:r>
        <w:rPr>
          <w:iCs/>
        </w:rPr>
        <w:t>Mr. Chris Fredley</w:t>
      </w:r>
    </w:p>
    <w:p w14:paraId="73789C02" w14:textId="315F67E7" w:rsidR="007A1060" w:rsidRDefault="007A1060" w:rsidP="007A1060">
      <w:pPr>
        <w:pStyle w:val="BodyText"/>
        <w:rPr>
          <w:iCs/>
        </w:rPr>
      </w:pPr>
      <w:r>
        <w:rPr>
          <w:iCs/>
        </w:rPr>
        <w:t>Rule Coordinator</w:t>
      </w:r>
    </w:p>
    <w:p w14:paraId="7B7C0DDF" w14:textId="547B4CE3" w:rsidR="007A1060" w:rsidRDefault="007A1060" w:rsidP="007A1060">
      <w:pPr>
        <w:pStyle w:val="BodyText"/>
        <w:rPr>
          <w:iCs/>
        </w:rPr>
      </w:pPr>
      <w:r>
        <w:rPr>
          <w:iCs/>
        </w:rPr>
        <w:t>Washington State Department of Ecology</w:t>
      </w:r>
    </w:p>
    <w:p w14:paraId="7F2EDD51" w14:textId="7D26DD52" w:rsidR="007A1060" w:rsidRDefault="007A1060" w:rsidP="007A1060">
      <w:pPr>
        <w:pStyle w:val="BodyText"/>
        <w:rPr>
          <w:iCs/>
        </w:rPr>
      </w:pPr>
      <w:r>
        <w:rPr>
          <w:iCs/>
        </w:rPr>
        <w:t>300 Desmond Drive SE</w:t>
      </w:r>
      <w:r>
        <w:rPr>
          <w:iCs/>
        </w:rPr>
        <w:br/>
        <w:t>Lacey, WA 98503</w:t>
      </w:r>
    </w:p>
    <w:p w14:paraId="090DACD1" w14:textId="77777777" w:rsidR="007A1060" w:rsidRPr="00494462" w:rsidRDefault="007A1060" w:rsidP="00F3713F">
      <w:pPr>
        <w:pStyle w:val="BodyText"/>
        <w:spacing w:before="79"/>
        <w:rPr>
          <w:iCs/>
          <w:sz w:val="16"/>
          <w:szCs w:val="16"/>
        </w:rPr>
      </w:pPr>
    </w:p>
    <w:p w14:paraId="4BC3F25C" w14:textId="75FFD32B" w:rsidR="007A1060" w:rsidRDefault="007A1060" w:rsidP="00F3713F">
      <w:pPr>
        <w:pStyle w:val="BodyText"/>
        <w:spacing w:before="79"/>
        <w:rPr>
          <w:iCs/>
        </w:rPr>
      </w:pPr>
      <w:r>
        <w:rPr>
          <w:iCs/>
        </w:rPr>
        <w:t>RE: WRRA Comments on Revised Draft Rule Language – WAC 173-350 Organics Management</w:t>
      </w:r>
    </w:p>
    <w:p w14:paraId="45BD275D" w14:textId="77777777" w:rsidR="007A1060" w:rsidRPr="00494462" w:rsidRDefault="007A1060" w:rsidP="00F3713F">
      <w:pPr>
        <w:pStyle w:val="BodyText"/>
        <w:spacing w:before="79"/>
        <w:rPr>
          <w:iCs/>
          <w:sz w:val="16"/>
          <w:szCs w:val="16"/>
        </w:rPr>
      </w:pPr>
    </w:p>
    <w:p w14:paraId="23F7E522" w14:textId="67949FD1" w:rsidR="00F3713F" w:rsidRPr="00F3713F" w:rsidRDefault="00F3713F" w:rsidP="00F3713F">
      <w:pPr>
        <w:pStyle w:val="BodyText"/>
        <w:spacing w:before="79"/>
        <w:rPr>
          <w:iCs/>
        </w:rPr>
      </w:pPr>
      <w:r w:rsidRPr="00F3713F">
        <w:rPr>
          <w:iCs/>
        </w:rPr>
        <w:t>Dear Mr. Fredley:</w:t>
      </w:r>
    </w:p>
    <w:p w14:paraId="6FD05B1A" w14:textId="77777777" w:rsidR="007A1060" w:rsidRPr="00494462" w:rsidRDefault="007A1060" w:rsidP="00F3713F">
      <w:pPr>
        <w:pStyle w:val="BodyText"/>
        <w:spacing w:before="79"/>
        <w:rPr>
          <w:iCs/>
          <w:sz w:val="14"/>
          <w:szCs w:val="14"/>
        </w:rPr>
      </w:pPr>
    </w:p>
    <w:p w14:paraId="340B6513" w14:textId="2743ED02" w:rsidR="00F3713F" w:rsidRPr="00F3713F" w:rsidRDefault="00F3713F" w:rsidP="007A1060">
      <w:pPr>
        <w:pStyle w:val="BodyText"/>
        <w:spacing w:before="79"/>
        <w:ind w:firstLine="720"/>
        <w:rPr>
          <w:iCs/>
        </w:rPr>
      </w:pPr>
      <w:r w:rsidRPr="00F3713F">
        <w:rPr>
          <w:iCs/>
        </w:rPr>
        <w:t>The Washington Refuse and Recycling Association (WRRA) appreciates the opportunity to provide comments on the Department of Ecology’s revised draft rule language for WAC 173-350. WRRA is the longest-serving solid waste and recycling trade association on the West Coast, representing the private-sector solid waste, recycling, and composting industry throughout Washington State since 1947. Our members provide essential public health and environmental protection services, including the collection, transportation, and processing of municipal solid waste and source-separated recyclables and organics.</w:t>
      </w:r>
    </w:p>
    <w:p w14:paraId="624B6A0B" w14:textId="73E8233D" w:rsidR="00F3713F" w:rsidRPr="00F3713F" w:rsidRDefault="00F3713F" w:rsidP="007A1060">
      <w:pPr>
        <w:pStyle w:val="BodyText"/>
        <w:spacing w:before="79"/>
        <w:ind w:firstLine="720"/>
        <w:rPr>
          <w:iCs/>
        </w:rPr>
      </w:pPr>
      <w:r w:rsidRPr="00F3713F">
        <w:rPr>
          <w:iCs/>
        </w:rPr>
        <w:t xml:space="preserve">WRRA appreciates Ecology’s continued engagement with stakeholders throughout this rulemaking process. We recognize that the Department has made several revisions in response to stakeholder feedback and believe the revised draft addresses several concerns raised in WRRA’s previous comments. </w:t>
      </w:r>
      <w:proofErr w:type="gramStart"/>
      <w:r w:rsidRPr="00F3713F">
        <w:rPr>
          <w:iCs/>
        </w:rPr>
        <w:t>In particular, WRRA</w:t>
      </w:r>
      <w:proofErr w:type="gramEnd"/>
      <w:r w:rsidRPr="00F3713F">
        <w:rPr>
          <w:iCs/>
        </w:rPr>
        <w:t xml:space="preserve"> appreciates Ecology’s efforts to clarify facility applicability, establish a more defined framework for organic materials pre-processing, and address concerns regarding implementation of source separation requirements.</w:t>
      </w:r>
    </w:p>
    <w:p w14:paraId="09A8DF0D" w14:textId="6F2C3ABA" w:rsidR="00F3713F" w:rsidRDefault="00F3713F" w:rsidP="00494462">
      <w:pPr>
        <w:pStyle w:val="BodyText"/>
        <w:spacing w:before="79"/>
        <w:ind w:firstLine="720"/>
        <w:rPr>
          <w:iCs/>
        </w:rPr>
      </w:pPr>
      <w:r w:rsidRPr="00F3713F">
        <w:rPr>
          <w:iCs/>
        </w:rPr>
        <w:t>At the same time, several provisions continue to warrant additional clarification to ensure the final rule supports Washington’s statutory waste hierarchy, protects investments in source-separated collection systems, and provides consistent regulatory expectations across organics management facilities.</w:t>
      </w:r>
    </w:p>
    <w:p w14:paraId="3F9DB6C7" w14:textId="77777777" w:rsidR="00494462" w:rsidRPr="00494462" w:rsidRDefault="00494462" w:rsidP="00494462">
      <w:pPr>
        <w:pStyle w:val="BodyText"/>
        <w:spacing w:before="79"/>
        <w:ind w:firstLine="720"/>
        <w:rPr>
          <w:iCs/>
          <w:sz w:val="12"/>
          <w:szCs w:val="12"/>
        </w:rPr>
      </w:pPr>
    </w:p>
    <w:p w14:paraId="2E81B3B1" w14:textId="77777777" w:rsidR="00F3713F" w:rsidRPr="007A1060" w:rsidRDefault="00F3713F" w:rsidP="00F3713F">
      <w:pPr>
        <w:pStyle w:val="BodyText"/>
        <w:spacing w:before="79"/>
        <w:rPr>
          <w:b/>
          <w:bCs/>
          <w:iCs/>
          <w:u w:val="single"/>
        </w:rPr>
      </w:pPr>
      <w:r w:rsidRPr="007A1060">
        <w:rPr>
          <w:b/>
          <w:bCs/>
          <w:iCs/>
          <w:u w:val="single"/>
        </w:rPr>
        <w:t>Rejected Loads and Ownership Responsibilities (WAC 173-350-025)</w:t>
      </w:r>
    </w:p>
    <w:p w14:paraId="40D76016" w14:textId="77777777" w:rsidR="00F3713F" w:rsidRPr="00F3713F" w:rsidRDefault="00F3713F" w:rsidP="007A1060">
      <w:pPr>
        <w:pStyle w:val="BodyText"/>
        <w:spacing w:before="79"/>
        <w:ind w:firstLine="720"/>
        <w:rPr>
          <w:iCs/>
        </w:rPr>
      </w:pPr>
      <w:r w:rsidRPr="00F3713F">
        <w:rPr>
          <w:iCs/>
        </w:rPr>
        <w:t>WRRA appreciates Ecology’s revisions clarifying facility authority to reject loads containing prohibited materials. Allowing facilities to reject unsuitable materials is essential for protecting workers, maintaining product quality, and ensuring compliance with environmental standards.</w:t>
      </w:r>
    </w:p>
    <w:p w14:paraId="6252C933" w14:textId="2B9CE03C" w:rsidR="00F3713F" w:rsidRPr="00F3713F" w:rsidRDefault="00F3713F" w:rsidP="007A1060">
      <w:pPr>
        <w:pStyle w:val="BodyText"/>
        <w:spacing w:before="79"/>
        <w:ind w:firstLine="720"/>
        <w:rPr>
          <w:iCs/>
        </w:rPr>
      </w:pPr>
      <w:r w:rsidRPr="00F3713F">
        <w:rPr>
          <w:iCs/>
        </w:rPr>
        <w:t>WRRA also appreciates efforts to avoid creating operational situations where haulers retain responsibility for materials outside their control. The previous draft raised significant concerns regarding potential conflicts with RCW 36.58.060 and the longstanding statutory framework governing ownership and responsibility for solid waste. WRRA encourages Ecology to continue reviewing final language to ensure transporter responsibilities are clearly limited to the handling and transportation of materials under their control, consistent with existing law and operational practice.</w:t>
      </w:r>
    </w:p>
    <w:p w14:paraId="39B40D31" w14:textId="2270741E" w:rsidR="00F3713F" w:rsidRPr="00F3713F" w:rsidRDefault="00F3713F" w:rsidP="007A1060">
      <w:pPr>
        <w:pStyle w:val="BodyText"/>
        <w:spacing w:before="79"/>
        <w:ind w:firstLine="720"/>
        <w:rPr>
          <w:iCs/>
        </w:rPr>
      </w:pPr>
      <w:r w:rsidRPr="00F3713F">
        <w:rPr>
          <w:iCs/>
        </w:rPr>
        <w:lastRenderedPageBreak/>
        <w:t xml:space="preserve">WRRA's December 2025 comments objected to the first draft’s proposed ownership and load-rejection language, which would have required haulers to retain ownership of solid waste even after tipping at a permitted facility, </w:t>
      </w:r>
      <w:r w:rsidR="00253FC9">
        <w:rPr>
          <w:iCs/>
        </w:rPr>
        <w:t xml:space="preserve">potentially </w:t>
      </w:r>
      <w:r w:rsidRPr="00F3713F">
        <w:rPr>
          <w:iCs/>
        </w:rPr>
        <w:t>in direct conflict with RCW 36.58.060. The CR-102 substantially revises that framework. The operative provision now states</w:t>
      </w:r>
    </w:p>
    <w:p w14:paraId="0619B611" w14:textId="3BA58999" w:rsidR="00F3713F" w:rsidRPr="00F3713F" w:rsidRDefault="00F3713F" w:rsidP="007A1060">
      <w:pPr>
        <w:pStyle w:val="BodyText"/>
        <w:spacing w:before="79"/>
        <w:ind w:left="720"/>
        <w:rPr>
          <w:i/>
        </w:rPr>
      </w:pPr>
      <w:r>
        <w:rPr>
          <w:i/>
        </w:rPr>
        <w:t>“</w:t>
      </w:r>
      <w:r w:rsidRPr="00F3713F">
        <w:rPr>
          <w:i/>
        </w:rPr>
        <w:t xml:space="preserve">Any person collecting or transporting solid waste is responsible for legal management of the waste by ensuring delivery only to solid waste handling facilities that have approval by oversight agencies to manage the waste types delivered and such persons must adhere to any waste acceptance restrictions. A solid waste handling facility may reject a load and </w:t>
      </w:r>
      <w:proofErr w:type="gramStart"/>
      <w:r w:rsidRPr="00F3713F">
        <w:rPr>
          <w:i/>
        </w:rPr>
        <w:t>takes</w:t>
      </w:r>
      <w:proofErr w:type="gramEnd"/>
      <w:r w:rsidRPr="00F3713F">
        <w:rPr>
          <w:i/>
        </w:rPr>
        <w:t xml:space="preserve"> no ownership of a rejected load if it finds within the load waste that is prohibited under regulation, permit conditions, or facility acceptance policies."</w:t>
      </w:r>
    </w:p>
    <w:p w14:paraId="4197CCDA" w14:textId="589C7F9B" w:rsidR="00F3713F" w:rsidRPr="00F3713F" w:rsidRDefault="00F3713F" w:rsidP="00F3713F">
      <w:pPr>
        <w:pStyle w:val="BodyText"/>
        <w:spacing w:before="79"/>
      </w:pPr>
      <w:r w:rsidRPr="00F3713F">
        <w:t xml:space="preserve">This new language correctly frames the transporter's obligation as a delivery-point standard — ensuring waste is delivered to a facility with approval to manage the relevant waste type — rather than a post-delivery ownership standard. It also addresses the receiving facility's status upon rejection by stating that a facility that rejects a load "takes no ownership" of it. This framing is consistent with RCW 36.58.060 and with how the industry </w:t>
      </w:r>
      <w:proofErr w:type="gramStart"/>
      <w:r w:rsidRPr="00F3713F">
        <w:t>actually operates</w:t>
      </w:r>
      <w:proofErr w:type="gramEnd"/>
      <w:r w:rsidRPr="00F3713F">
        <w:t>.</w:t>
      </w:r>
    </w:p>
    <w:p w14:paraId="779A8FB9" w14:textId="77777777" w:rsidR="00F3713F" w:rsidRPr="00F3713F" w:rsidRDefault="00F3713F" w:rsidP="007A1060">
      <w:pPr>
        <w:pStyle w:val="BodyText"/>
        <w:spacing w:before="79"/>
        <w:ind w:firstLine="720"/>
      </w:pPr>
      <w:r w:rsidRPr="00F3713F">
        <w:t>WRRA also notes that the first draft facility-specific sections (WAC 173-350-220 and WAC 173-350-225) contained parallel ownership language that, while problematic in some respects, included an express protection for the tipping-before-inspection scenario: "the facility is not considered to have taken ownership of loads until they have been inspected, even if materials were tipped at the facility in order to inspect." That language has been removed from both facility-specific sections and is not reproduced in WAC 173-350-025(4)(e). WAC 173-350-025(4)(e) is now the sole operative provision. When material is tipped for inspection and the facility subsequently discovers prohibited waste, the facility "takes no ownership of" the rejected load — but the rule does not address who bears the cost of the inspection process; who is liable for spills, fires, or contamination events during inspection before a rejection decision is made; or how long a facility has to make its determination. WRRA requests that Ecology add explicit language addressing the inspection window. Suggested language: "A facility does not take ownership of any load until the facility has completed inspection and provided written or documented oral acceptance. A facility may tip a load for the purpose of inspection without thereby accepting ownership of the load."</w:t>
      </w:r>
    </w:p>
    <w:p w14:paraId="7F88A5D0" w14:textId="77777777" w:rsidR="00F3713F" w:rsidRPr="00494462" w:rsidRDefault="00F3713F" w:rsidP="00F3713F">
      <w:pPr>
        <w:pStyle w:val="BodyText"/>
        <w:spacing w:before="79"/>
        <w:rPr>
          <w:sz w:val="12"/>
          <w:szCs w:val="12"/>
        </w:rPr>
      </w:pPr>
    </w:p>
    <w:p w14:paraId="77AEF0E1" w14:textId="633C440C" w:rsidR="00F3713F" w:rsidRPr="007A1060" w:rsidRDefault="007A1060" w:rsidP="00F3713F">
      <w:pPr>
        <w:pStyle w:val="BodyText"/>
        <w:spacing w:before="79"/>
        <w:rPr>
          <w:b/>
          <w:bCs/>
          <w:u w:val="single"/>
        </w:rPr>
      </w:pPr>
      <w:r>
        <w:rPr>
          <w:b/>
          <w:bCs/>
          <w:u w:val="single"/>
        </w:rPr>
        <w:t xml:space="preserve">Definitions: </w:t>
      </w:r>
      <w:r w:rsidR="00F3713F" w:rsidRPr="007A1060">
        <w:rPr>
          <w:b/>
          <w:bCs/>
          <w:u w:val="single"/>
        </w:rPr>
        <w:t>Source Separation, Organic Materials, and MSW (WAC 173-350-100)</w:t>
      </w:r>
    </w:p>
    <w:p w14:paraId="312C9458" w14:textId="061C3EFE" w:rsidR="00DD31E9" w:rsidRPr="00F3713F" w:rsidRDefault="00DD31E9" w:rsidP="00DD31E9">
      <w:pPr>
        <w:pStyle w:val="BodyText"/>
        <w:spacing w:before="79"/>
        <w:ind w:firstLine="720"/>
      </w:pPr>
      <w:r w:rsidRPr="00DD31E9">
        <w:t xml:space="preserve"> </w:t>
      </w:r>
      <w:r w:rsidRPr="00F3713F">
        <w:t>Maintaining clear generator-level source separation requirements remains essential.</w:t>
      </w:r>
      <w:r>
        <w:t xml:space="preserve"> </w:t>
      </w:r>
      <w:r w:rsidRPr="00F3713F">
        <w:t>Washington’s organics diversion system has been built around consistent public education, container systems, and collection practices designed to keep organic materials separate from packaging and other contaminants.</w:t>
      </w:r>
    </w:p>
    <w:p w14:paraId="0D5BD24A" w14:textId="6B0CDF01" w:rsidR="00F3713F" w:rsidRPr="00F3713F" w:rsidRDefault="000B7725" w:rsidP="00F3713F">
      <w:pPr>
        <w:pStyle w:val="BodyText"/>
        <w:spacing w:before="79"/>
        <w:ind w:firstLine="720"/>
      </w:pPr>
      <w:r>
        <w:t xml:space="preserve">WRRA appreciates </w:t>
      </w:r>
      <w:r w:rsidR="00443F56">
        <w:t xml:space="preserve">Ecology’s inclusion of proposed WAC 173-350-045(3), which reinforces the longstanding “Two-Box Rule” for temporary project sites. Requiring a disposal container to be placed </w:t>
      </w:r>
      <w:proofErr w:type="gramStart"/>
      <w:r w:rsidR="00443F56">
        <w:t>in close proximity to</w:t>
      </w:r>
      <w:proofErr w:type="gramEnd"/>
      <w:r w:rsidR="00443F56">
        <w:t xml:space="preserve"> the recycling container, and providing that materials collected in a recycling container without the required companion disposal con</w:t>
      </w:r>
      <w:r w:rsidR="00564CD1">
        <w:t>t</w:t>
      </w:r>
      <w:r w:rsidR="00443F56">
        <w:t xml:space="preserve">ainer must be managed as MSW, preserves a foundational principle of Washington’s recycling </w:t>
      </w:r>
      <w:r w:rsidR="00564CD1">
        <w:t>system</w:t>
      </w:r>
      <w:r w:rsidR="00443F56">
        <w:t xml:space="preserve">. This provision recognizes that effective source separation depends not only on identifying recyclable materials, but also on providing a practical and accessible disposal option. By codifying these requirements, Ecology helps maintain clear expectations for generators, reduces contamination of recyclable materials, and supports the integrity of downstream recycling and organics management systems. </w:t>
      </w:r>
      <w:r>
        <w:t xml:space="preserve"> </w:t>
      </w:r>
    </w:p>
    <w:p w14:paraId="263B82BB" w14:textId="77777777" w:rsidR="00F12454" w:rsidRDefault="00DD31E9">
      <w:pPr>
        <w:pStyle w:val="BodyText"/>
        <w:spacing w:before="79"/>
        <w:ind w:firstLine="720"/>
      </w:pPr>
      <w:r w:rsidRPr="00F3713F">
        <w:t>WRRA</w:t>
      </w:r>
      <w:r>
        <w:t xml:space="preserve"> also</w:t>
      </w:r>
      <w:r w:rsidRPr="00F3713F">
        <w:t xml:space="preserve"> appreciates revisions that better align the definitions with operational realities and reduce ambiguity. The revised language appears to move away from earlier concerns that source separation </w:t>
      </w:r>
      <w:r w:rsidRPr="00F3713F">
        <w:lastRenderedPageBreak/>
        <w:t>could be interpreted to include broadly commingled packaged materials</w:t>
      </w:r>
      <w:r>
        <w:t xml:space="preserve"> by restoring the definition to its longstanding formulation as “the separation of different kinds of solid waste at the place where the waste originates.” Reverting to this language resolves many of the concerns raised by stakeholders regarding the earlier proposal and better reflects the generator-level source separation practices that have long underpinned Washington’s recycling and organics management systems. </w:t>
      </w:r>
    </w:p>
    <w:p w14:paraId="30AD9161" w14:textId="1E46C571" w:rsidR="00DD31E9" w:rsidRDefault="00DD31E9" w:rsidP="00494462">
      <w:pPr>
        <w:pStyle w:val="BodyText"/>
        <w:spacing w:before="79"/>
        <w:ind w:firstLine="720"/>
      </w:pPr>
      <w:r>
        <w:t xml:space="preserve">However, recent statements by Ecology regarding its interpretation of this definition demonstrate that significant ambiguity remains. Specifically, Ecology has indicated </w:t>
      </w:r>
      <w:r w:rsidR="00564CD1">
        <w:t xml:space="preserve">in a recent </w:t>
      </w:r>
      <w:hyperlink r:id="rId11" w:history="1">
        <w:r w:rsidR="00564CD1" w:rsidRPr="00564CD1">
          <w:rPr>
            <w:rStyle w:val="Hyperlink"/>
          </w:rPr>
          <w:t>article</w:t>
        </w:r>
      </w:hyperlink>
      <w:r w:rsidR="00564CD1">
        <w:t xml:space="preserve"> published by </w:t>
      </w:r>
      <w:proofErr w:type="spellStart"/>
      <w:r w:rsidR="00564CD1">
        <w:t>BioCycle</w:t>
      </w:r>
      <w:proofErr w:type="spellEnd"/>
      <w:r w:rsidR="00564CD1">
        <w:t xml:space="preserve">, </w:t>
      </w:r>
      <w:r>
        <w:t xml:space="preserve">that “packaged food separated from MSW is source separated,” suggesting that packaged food removed from a mixed waste stream may qualify as source-separated material for purposes of the proposed rules. WRRA does not believe this interpretation is consistent with the Legislature’s intent or with decades of implementation under Washington’s solid waste management framework. Source separation has historically referred to the separation of organic materials from other waste at the point of generation, not the subsequent removal of packaged food from MSW after disposal. Interpreting the definition otherwise risks fundamentally altering the incentives established by Washington’s organics laws by creating a pathway through which packaged food separated from MSW could be treated the same as genuinely source-separated organics. </w:t>
      </w:r>
    </w:p>
    <w:p w14:paraId="7C7F08BD" w14:textId="7FE0590A" w:rsidR="00F12454" w:rsidRDefault="00DD31E9" w:rsidP="00F3713F">
      <w:pPr>
        <w:pStyle w:val="BodyText"/>
        <w:spacing w:before="79"/>
        <w:ind w:firstLine="720"/>
      </w:pPr>
      <w:r>
        <w:t>Further, the revised draft rules</w:t>
      </w:r>
      <w:r w:rsidR="00F3713F" w:rsidRPr="00F3713F">
        <w:t xml:space="preserve"> </w:t>
      </w:r>
      <w:r>
        <w:t>do</w:t>
      </w:r>
      <w:r w:rsidRPr="00F3713F">
        <w:t xml:space="preserve"> </w:t>
      </w:r>
      <w:r w:rsidR="00F3713F" w:rsidRPr="00F3713F">
        <w:t xml:space="preserve">not </w:t>
      </w:r>
      <w:r w:rsidR="00F12454">
        <w:t xml:space="preserve">fully clarify or </w:t>
      </w:r>
      <w:r w:rsidR="00F3713F" w:rsidRPr="00F3713F">
        <w:t xml:space="preserve">expressly state that commingled packaged food waste does </w:t>
      </w:r>
      <w:r w:rsidR="00F3713F" w:rsidRPr="00F3713F">
        <w:rPr>
          <w:i/>
        </w:rPr>
        <w:t xml:space="preserve">not </w:t>
      </w:r>
      <w:r w:rsidR="00F3713F" w:rsidRPr="00F3713F">
        <w:t xml:space="preserve">qualify as </w:t>
      </w:r>
      <w:r w:rsidRPr="00F3713F">
        <w:t>source separated</w:t>
      </w:r>
      <w:r w:rsidR="00F3713F" w:rsidRPr="00F3713F">
        <w:t xml:space="preserve">. The phrase "different kinds of solid waste" is susceptible to a broad reading by a facility seeking to expand its acceptable feedstocks. WRRA requests that Ecology add a negative definition or an express exclusion confirming that source separation does not include mechanical </w:t>
      </w:r>
      <w:proofErr w:type="spellStart"/>
      <w:r w:rsidR="00F3713F" w:rsidRPr="00F3713F">
        <w:t>depackaging</w:t>
      </w:r>
      <w:proofErr w:type="spellEnd"/>
      <w:r w:rsidR="00F3713F" w:rsidRPr="00F3713F">
        <w:t xml:space="preserve"> or the commingling of packaging with organic material at the point of generation. </w:t>
      </w:r>
    </w:p>
    <w:p w14:paraId="342D2400" w14:textId="144CB842" w:rsidR="00F3713F" w:rsidRDefault="00F12454" w:rsidP="00F12454">
      <w:pPr>
        <w:pStyle w:val="BodyText"/>
        <w:spacing w:before="79"/>
        <w:ind w:firstLine="720"/>
      </w:pPr>
      <w:r>
        <w:t xml:space="preserve">The state of Vermont recently adopted rules to address the new challenges presented by the introduction of </w:t>
      </w:r>
      <w:proofErr w:type="spellStart"/>
      <w:r>
        <w:t>depackaging</w:t>
      </w:r>
      <w:proofErr w:type="spellEnd"/>
      <w:r>
        <w:t xml:space="preserve"> facilities. </w:t>
      </w:r>
      <w:r w:rsidR="00F3713F" w:rsidRPr="00F3713F">
        <w:t xml:space="preserve">Vermont's revised rules include precisely such language, and Ecology has the clear authority to include it here. In Vermont, the proliferation of </w:t>
      </w:r>
      <w:proofErr w:type="spellStart"/>
      <w:r w:rsidR="00F3713F" w:rsidRPr="00F3713F">
        <w:t>depackaging</w:t>
      </w:r>
      <w:proofErr w:type="spellEnd"/>
      <w:r w:rsidR="00F3713F" w:rsidRPr="00F3713F">
        <w:t xml:space="preserve"> facilities without adequate residuals controls led to a system in which generators and haulers had diminishing economic incentive to maintain clean source-separated streams, composting facilities lose access to the quality feedstocks as contaminated loads were redirected to </w:t>
      </w:r>
      <w:proofErr w:type="spellStart"/>
      <w:r w:rsidR="00F3713F" w:rsidRPr="00F3713F">
        <w:t>depackagers</w:t>
      </w:r>
      <w:proofErr w:type="spellEnd"/>
      <w:r w:rsidR="00F3713F" w:rsidRPr="00F3713F">
        <w:t xml:space="preserve">, and the volume of material ultimately sent to disposal increased rather than decreased. The </w:t>
      </w:r>
      <w:proofErr w:type="spellStart"/>
      <w:r w:rsidR="00F3713F" w:rsidRPr="00F3713F">
        <w:t>depackaging</w:t>
      </w:r>
      <w:proofErr w:type="spellEnd"/>
      <w:r w:rsidR="00F3713F" w:rsidRPr="00F3713F">
        <w:t xml:space="preserve"> pathway intended to capture organic value from difficult-to-separate materials, instead became a disposal subsidy. A permitted route through which mixed or heavily contaminated loads could be processed at lower cost than legitimate source-separated organics, with residuals quietly absorbed into the disposal system without accountability. The absence of residual limits in the proposed rules creates precisely the same economic conditions. Without a cap on how much of an incoming load may be landfilled as residual, pre-processing becomes financially competitive with – and in high-contamination scenarios, more profitable than – genuine source separation and composting. Washington does not need to wait for that market distortion to materialize before addressing it.</w:t>
      </w:r>
    </w:p>
    <w:p w14:paraId="03DEABC1" w14:textId="32AC2EC9" w:rsidR="00F3713F" w:rsidRPr="00F3713F" w:rsidRDefault="00F3713F" w:rsidP="00F3713F">
      <w:pPr>
        <w:pStyle w:val="BodyText"/>
        <w:spacing w:before="79"/>
        <w:ind w:firstLine="720"/>
      </w:pPr>
      <w:r w:rsidRPr="00F3713F">
        <w:t>While residuals may originate from municipal solid waste, they are a distinct material stream created through subsequent processing activities and</w:t>
      </w:r>
      <w:r w:rsidR="004B7525">
        <w:t xml:space="preserve"> their transportation</w:t>
      </w:r>
      <w:r w:rsidRPr="00F3713F">
        <w:t xml:space="preserve"> ha</w:t>
      </w:r>
      <w:r w:rsidR="004B7525">
        <w:t>s</w:t>
      </w:r>
      <w:r w:rsidRPr="00F3713F">
        <w:t xml:space="preserve"> historically been regulated based on the nature of the material and the facility managing it. WRRA is concerned that the proposed rules, taken as a whole, could be read to expand the regulatory treatment of residuals beyond existing statutory and regulatory frameworks, particularly with respect to transportation. This would create uncertainty regarding the handling, transportation, and disposal of these materials that </w:t>
      </w:r>
      <w:proofErr w:type="gramStart"/>
      <w:r w:rsidRPr="00F3713F">
        <w:t>is</w:t>
      </w:r>
      <w:proofErr w:type="gramEnd"/>
      <w:r w:rsidRPr="00F3713F">
        <w:t xml:space="preserve"> not warranted by the existing definition or contemplated by the rulemaking record.</w:t>
      </w:r>
    </w:p>
    <w:p w14:paraId="106FBAD9" w14:textId="77777777" w:rsidR="00F3713F" w:rsidRPr="00F3713F" w:rsidRDefault="00F3713F" w:rsidP="00F3713F">
      <w:pPr>
        <w:pStyle w:val="BodyText"/>
        <w:spacing w:before="79"/>
        <w:ind w:firstLine="720"/>
      </w:pPr>
      <w:r w:rsidRPr="00F3713F">
        <w:t xml:space="preserve">WRRA is particularly concerned about the downstream implications of the proposed rules for residual waste transportation. Since the mid-1960s, the Washington Utilities and Transportation </w:t>
      </w:r>
      <w:r w:rsidRPr="00F3713F">
        <w:lastRenderedPageBreak/>
        <w:t>Commission (WUTC) has considered residual hauling as either deregulated or regulated in a limited fashion, not as solid waste collection subject to certification requirements under RCW chapter 81.77. Both RCW 36.58.050 and WAC 480-70-011(1)(</w:t>
      </w:r>
      <w:proofErr w:type="spellStart"/>
      <w:r w:rsidRPr="00F3713F">
        <w:t>i</w:t>
      </w:r>
      <w:proofErr w:type="spellEnd"/>
      <w:r w:rsidRPr="00F3713F">
        <w:t>) reinforce this framework by exempting hauls from transfer stations to disposal sites from Commission regulation. This regulatory treatment is longstanding, has never been successfully rebutted, and reflects a deliberate legislative choice about the appropriate jurisdictional boundary between facility regulation and transportation regulation. To the extent that the proposed rule’s new pre-processing framework generates residuals streams that must be transported for disposal, the regulatory status of that transportation under WAC Chapter 480-70 is not addressed in this rulemaking and remains actively contested. Ecology should not finalize language that could be used to characterize residuals transportation as solid waste collection without first evaluating that question and coordinating with the Commission.</w:t>
      </w:r>
    </w:p>
    <w:p w14:paraId="36A3AC5D" w14:textId="49FD7E53" w:rsidR="00F3713F" w:rsidRDefault="00F3713F" w:rsidP="00F3713F">
      <w:pPr>
        <w:pStyle w:val="BodyText"/>
        <w:spacing w:before="79"/>
        <w:ind w:firstLine="720"/>
      </w:pPr>
      <w:r w:rsidRPr="00F3713F">
        <w:t>WRRA notes that the Commission is actively examining the regulatory treatment of residual waste transportation in Docket TG-260161</w:t>
      </w:r>
      <w:r w:rsidR="00EA00C4">
        <w:t>.</w:t>
      </w:r>
      <w:r w:rsidR="00C341FF" w:rsidRPr="00F3713F" w:rsidDel="00C341FF">
        <w:t xml:space="preserve"> </w:t>
      </w:r>
      <w:r w:rsidR="00C341FF">
        <w:t>I</w:t>
      </w:r>
      <w:r w:rsidRPr="00F3713F">
        <w:t xml:space="preserve">f finalized before that </w:t>
      </w:r>
      <w:r w:rsidR="00C341FF">
        <w:t>docket concludes</w:t>
      </w:r>
      <w:r w:rsidRPr="00F3713F">
        <w:t xml:space="preserve">, </w:t>
      </w:r>
      <w:r w:rsidR="00C341FF">
        <w:t xml:space="preserve">Ecology’s proposed rules </w:t>
      </w:r>
      <w:r w:rsidRPr="00F3713F">
        <w:t>could prejudge a question properly before</w:t>
      </w:r>
      <w:r>
        <w:t xml:space="preserve"> the</w:t>
      </w:r>
      <w:r>
        <w:rPr>
          <w:spacing w:val="-7"/>
        </w:rPr>
        <w:t xml:space="preserve"> </w:t>
      </w:r>
      <w:r>
        <w:t>Commission</w:t>
      </w:r>
      <w:r>
        <w:rPr>
          <w:spacing w:val="-4"/>
        </w:rPr>
        <w:t xml:space="preserve"> </w:t>
      </w:r>
      <w:r>
        <w:t>and</w:t>
      </w:r>
      <w:r>
        <w:rPr>
          <w:spacing w:val="-4"/>
        </w:rPr>
        <w:t xml:space="preserve"> </w:t>
      </w:r>
      <w:r>
        <w:t>potentially</w:t>
      </w:r>
      <w:r>
        <w:rPr>
          <w:spacing w:val="-4"/>
        </w:rPr>
        <w:t xml:space="preserve"> </w:t>
      </w:r>
      <w:r>
        <w:t>create</w:t>
      </w:r>
      <w:r>
        <w:rPr>
          <w:spacing w:val="-5"/>
        </w:rPr>
        <w:t xml:space="preserve"> </w:t>
      </w:r>
      <w:r>
        <w:t>inconsistency</w:t>
      </w:r>
      <w:r>
        <w:rPr>
          <w:spacing w:val="-4"/>
        </w:rPr>
        <w:t xml:space="preserve"> </w:t>
      </w:r>
      <w:r>
        <w:t>between</w:t>
      </w:r>
      <w:r>
        <w:rPr>
          <w:spacing w:val="-4"/>
        </w:rPr>
        <w:t xml:space="preserve"> </w:t>
      </w:r>
      <w:r>
        <w:t>the</w:t>
      </w:r>
      <w:r>
        <w:rPr>
          <w:spacing w:val="-5"/>
        </w:rPr>
        <w:t xml:space="preserve"> </w:t>
      </w:r>
      <w:r>
        <w:t>two</w:t>
      </w:r>
      <w:r>
        <w:rPr>
          <w:spacing w:val="-4"/>
        </w:rPr>
        <w:t xml:space="preserve"> </w:t>
      </w:r>
      <w:r>
        <w:t>agencies’</w:t>
      </w:r>
      <w:r>
        <w:rPr>
          <w:spacing w:val="-18"/>
        </w:rPr>
        <w:t xml:space="preserve"> </w:t>
      </w:r>
      <w:r>
        <w:t>regulatory</w:t>
      </w:r>
      <w:r>
        <w:rPr>
          <w:spacing w:val="-2"/>
        </w:rPr>
        <w:t xml:space="preserve"> </w:t>
      </w:r>
      <w:r>
        <w:t>frameworks. WRRA</w:t>
      </w:r>
      <w:r>
        <w:rPr>
          <w:spacing w:val="-6"/>
        </w:rPr>
        <w:t xml:space="preserve"> </w:t>
      </w:r>
      <w:r>
        <w:t>urges Ecology to include an express clarification in the rulemaking record that nothing in the proposed rules is intended to alter the longstanding regulatory treatment of residuals for transportation purposes</w:t>
      </w:r>
      <w:r>
        <w:rPr>
          <w:spacing w:val="-2"/>
        </w:rPr>
        <w:t xml:space="preserve"> </w:t>
      </w:r>
      <w:r>
        <w:t>or</w:t>
      </w:r>
      <w:r>
        <w:rPr>
          <w:spacing w:val="-3"/>
        </w:rPr>
        <w:t xml:space="preserve"> </w:t>
      </w:r>
      <w:r>
        <w:t>to</w:t>
      </w:r>
      <w:r>
        <w:rPr>
          <w:spacing w:val="-2"/>
        </w:rPr>
        <w:t xml:space="preserve"> </w:t>
      </w:r>
      <w:r>
        <w:t>impose</w:t>
      </w:r>
      <w:r>
        <w:rPr>
          <w:spacing w:val="-3"/>
        </w:rPr>
        <w:t xml:space="preserve"> </w:t>
      </w:r>
      <w:r>
        <w:t>new</w:t>
      </w:r>
      <w:r>
        <w:rPr>
          <w:spacing w:val="-3"/>
        </w:rPr>
        <w:t xml:space="preserve"> </w:t>
      </w:r>
      <w:r>
        <w:t>requirements</w:t>
      </w:r>
      <w:r>
        <w:rPr>
          <w:spacing w:val="-2"/>
        </w:rPr>
        <w:t xml:space="preserve"> </w:t>
      </w:r>
      <w:r>
        <w:t>on</w:t>
      </w:r>
      <w:r>
        <w:rPr>
          <w:spacing w:val="-2"/>
        </w:rPr>
        <w:t xml:space="preserve"> </w:t>
      </w:r>
      <w:r>
        <w:t>transporters</w:t>
      </w:r>
      <w:r>
        <w:rPr>
          <w:spacing w:val="-2"/>
        </w:rPr>
        <w:t xml:space="preserve"> </w:t>
      </w:r>
      <w:r>
        <w:t>managing</w:t>
      </w:r>
      <w:r>
        <w:rPr>
          <w:spacing w:val="-2"/>
        </w:rPr>
        <w:t xml:space="preserve"> </w:t>
      </w:r>
      <w:r>
        <w:t>residual materials,</w:t>
      </w:r>
      <w:r>
        <w:rPr>
          <w:spacing w:val="-2"/>
        </w:rPr>
        <w:t xml:space="preserve"> </w:t>
      </w:r>
      <w:r>
        <w:t>and</w:t>
      </w:r>
      <w:r>
        <w:rPr>
          <w:spacing w:val="-2"/>
        </w:rPr>
        <w:t xml:space="preserve"> </w:t>
      </w:r>
      <w:r>
        <w:t>to</w:t>
      </w:r>
      <w:r>
        <w:rPr>
          <w:spacing w:val="-2"/>
        </w:rPr>
        <w:t xml:space="preserve"> </w:t>
      </w:r>
      <w:r>
        <w:t>coordinate with the Commission before finalizing any language that bears on the classification of residuals for transportation regulatory purposes.</w:t>
      </w:r>
    </w:p>
    <w:p w14:paraId="2F542F81" w14:textId="77777777" w:rsidR="00DD31E9" w:rsidRPr="00F3713F" w:rsidRDefault="00DD31E9" w:rsidP="00DD31E9">
      <w:pPr>
        <w:pStyle w:val="BodyText"/>
        <w:spacing w:before="79"/>
      </w:pPr>
      <w:r w:rsidRPr="00F3713F">
        <w:t>WRRA encourages Ecology to maintain clear distinctions between:</w:t>
      </w:r>
    </w:p>
    <w:p w14:paraId="4BAF4047" w14:textId="77777777" w:rsidR="00DD31E9" w:rsidRPr="00F3713F" w:rsidRDefault="00DD31E9" w:rsidP="00DD31E9">
      <w:pPr>
        <w:pStyle w:val="BodyText"/>
        <w:numPr>
          <w:ilvl w:val="0"/>
          <w:numId w:val="3"/>
        </w:numPr>
        <w:spacing w:before="79"/>
      </w:pPr>
      <w:r w:rsidRPr="00F3713F">
        <w:t>Organic materials appropriate for composting or digestion;</w:t>
      </w:r>
    </w:p>
    <w:p w14:paraId="1D41CA86" w14:textId="77777777" w:rsidR="00DD31E9" w:rsidRPr="00F3713F" w:rsidRDefault="00DD31E9" w:rsidP="00DD31E9">
      <w:pPr>
        <w:pStyle w:val="BodyText"/>
        <w:numPr>
          <w:ilvl w:val="0"/>
          <w:numId w:val="3"/>
        </w:numPr>
        <w:spacing w:before="79"/>
      </w:pPr>
      <w:r w:rsidRPr="00F3713F">
        <w:t xml:space="preserve">Physical contaminants </w:t>
      </w:r>
      <w:proofErr w:type="gramStart"/>
      <w:r w:rsidRPr="00F3713F">
        <w:t>requiring</w:t>
      </w:r>
      <w:proofErr w:type="gramEnd"/>
      <w:r w:rsidRPr="00F3713F">
        <w:t xml:space="preserve"> removal or management; and</w:t>
      </w:r>
    </w:p>
    <w:p w14:paraId="00032B49" w14:textId="77777777" w:rsidR="00DD31E9" w:rsidRPr="00F3713F" w:rsidRDefault="00DD31E9" w:rsidP="00DD31E9">
      <w:pPr>
        <w:pStyle w:val="BodyText"/>
        <w:numPr>
          <w:ilvl w:val="0"/>
          <w:numId w:val="3"/>
        </w:numPr>
        <w:spacing w:before="79"/>
      </w:pPr>
      <w:r w:rsidRPr="00F3713F">
        <w:t>Packaging or other materials that should continue to be addressed through recycling or disposal pathways.</w:t>
      </w:r>
    </w:p>
    <w:p w14:paraId="14A03044" w14:textId="77777777" w:rsidR="00DD31E9" w:rsidRDefault="00DD31E9" w:rsidP="00DD31E9">
      <w:pPr>
        <w:pStyle w:val="BodyText"/>
        <w:spacing w:before="79"/>
      </w:pPr>
      <w:r w:rsidRPr="00F3713F">
        <w:t>Clear definitions are necessary to avoid confusion among generators, haulers, facilities, and local governments implementing organics programs.</w:t>
      </w:r>
    </w:p>
    <w:p w14:paraId="40184447" w14:textId="77777777" w:rsidR="00F3713F" w:rsidRDefault="00F3713F" w:rsidP="00F3713F">
      <w:pPr>
        <w:pStyle w:val="BodyText"/>
      </w:pPr>
    </w:p>
    <w:p w14:paraId="57BD296B" w14:textId="07FE3177" w:rsidR="00F3713F" w:rsidRPr="007A1060" w:rsidRDefault="00F3713F" w:rsidP="00F3713F">
      <w:pPr>
        <w:pStyle w:val="BodyText"/>
        <w:rPr>
          <w:b/>
          <w:bCs/>
          <w:u w:val="single"/>
        </w:rPr>
      </w:pPr>
      <w:r w:rsidRPr="007A1060">
        <w:rPr>
          <w:b/>
          <w:bCs/>
          <w:u w:val="single"/>
        </w:rPr>
        <w:t>Organic Materials Pre-Processing (WAC 173-350-215)</w:t>
      </w:r>
    </w:p>
    <w:p w14:paraId="112579D1" w14:textId="77777777" w:rsidR="00F3713F" w:rsidRDefault="00F3713F" w:rsidP="00F3713F">
      <w:pPr>
        <w:pStyle w:val="BodyText"/>
      </w:pPr>
    </w:p>
    <w:p w14:paraId="539641B7" w14:textId="77777777" w:rsidR="007A1060" w:rsidRDefault="00F3713F" w:rsidP="00F3713F">
      <w:pPr>
        <w:pStyle w:val="BodyText"/>
        <w:ind w:firstLine="720"/>
      </w:pPr>
      <w:r w:rsidRPr="00F3713F">
        <w:t xml:space="preserve">WRRA appreciates Ecology’s revisions establishing a more defined regulatory framework for organic materials pre-processing facilities. The revised language is an improvement over earlier drafts by creating clearer applicability standards and recognizing that pre-processing activities occurring within an existing permitted or exempt organics management facility may be addressed through that facility’s existing regulatory structure. </w:t>
      </w:r>
    </w:p>
    <w:p w14:paraId="49933AD4" w14:textId="5488E194" w:rsidR="00F3713F" w:rsidRDefault="00F3713F" w:rsidP="00F3713F">
      <w:pPr>
        <w:pStyle w:val="BodyText"/>
        <w:ind w:firstLine="720"/>
      </w:pPr>
      <w:r w:rsidRPr="00F3713F">
        <w:t xml:space="preserve">Despite these improvements, the CR-102 still does not establish any inbound contamination limit or residual </w:t>
      </w:r>
      <w:r w:rsidR="00447A5A">
        <w:t>/ disposal</w:t>
      </w:r>
      <w:r w:rsidR="00447A5A" w:rsidRPr="00F3713F">
        <w:t xml:space="preserve"> </w:t>
      </w:r>
      <w:r w:rsidRPr="00F3713F">
        <w:t>limit for pre-processing facilities. As drafted, a pre-processing facility may receive heavily contaminated source-separated loads, recover a modest organic fraction meeting the 5% outbound physical contaminant threshold, and landfill the remainder — with no cap on residuals, no per-shipment tracking, and no requirement that residuals go to a permitted MSW facility</w:t>
      </w:r>
      <w:r>
        <w:t>.</w:t>
      </w:r>
      <w:r w:rsidR="001B11D9">
        <w:t xml:space="preserve"> Packaging and other material that could have been di</w:t>
      </w:r>
      <w:r w:rsidR="00C23C6E">
        <w:t>verted, processed, and recycled instead go for disposal with little evaluation of the impact on the whole system.</w:t>
      </w:r>
    </w:p>
    <w:p w14:paraId="45DD1716" w14:textId="77777777" w:rsidR="00F3713F" w:rsidRDefault="00F3713F" w:rsidP="007A1060">
      <w:pPr>
        <w:pStyle w:val="BodyText"/>
        <w:ind w:firstLine="720"/>
      </w:pPr>
      <w:r>
        <w:t xml:space="preserve">WRRA acknowledges one structural improvement in the pre-processing framework of the proposed rule in that Table 215-A limits the permit exemption to feedstocks containing 5% or less physical contaminants by volume, meaning that only operations co-located within an already-permitted organic </w:t>
      </w:r>
      <w:r>
        <w:lastRenderedPageBreak/>
        <w:t>materials management facility, and only those receiving relatively clean incoming material, may avoid additional permitting under WAC 173-350-215. This is a meaningful boundary on the exemption's scope. On the other hand, there is a history in Washington of permit exempt facilities serving as an outlet for illegal hauling and sham recycling, so the WRRA always recommends caution and meaningful oversight of facilities and operations.</w:t>
      </w:r>
    </w:p>
    <w:p w14:paraId="5F7DF1A5" w14:textId="3F278E8A" w:rsidR="00F3713F" w:rsidRDefault="00F3713F" w:rsidP="007A1060">
      <w:pPr>
        <w:pStyle w:val="BodyText"/>
        <w:ind w:firstLine="720"/>
      </w:pPr>
      <w:r>
        <w:t>However, overall, this threshold does not function as an operational inbound contamination limit for fully permitted pre-processing facilities, and the CR-102 imposes none. The 5% standard that applies to permitted pre-processing facilities under WAC 173-350-215(6)(a)(iii) is an outbound standard, it measures physical contaminants in the organic fraction recovered after processing, not as a share of total incoming material. A facility receiving 10 tons of material, recovering three tons of organics with 5% physical contaminants by volume, and landfilling the remaining seven tons has disposed of 70% of what it received and is fully compliant under the CR-102. The outbound standard provides no check on how contaminated incoming loads may be, and no cap on how much of the incoming stream may ultimately be diverted to disposal rather than to organic materials management.</w:t>
      </w:r>
    </w:p>
    <w:p w14:paraId="20C81F77" w14:textId="77777777" w:rsidR="00F3713F" w:rsidRDefault="00F3713F" w:rsidP="007A1060">
      <w:pPr>
        <w:pStyle w:val="BodyText"/>
        <w:ind w:firstLine="720"/>
      </w:pPr>
      <w:r>
        <w:t xml:space="preserve">The 5% outbound standard governs the recovered organic </w:t>
      </w:r>
      <w:proofErr w:type="gramStart"/>
      <w:r>
        <w:t>fraction</w:t>
      </w:r>
      <w:proofErr w:type="gramEnd"/>
      <w:r>
        <w:t xml:space="preserve"> leaving the facility, not incoming material. A facility receiving ten tons, recovering three tons of organics meeting the 5% threshold, and landfilling the remaining seven tons has disposed of 70% of what it received and is fully compliant under the rules as proposed with the CR-102. This accountability gap is compounded by two additional deficiencies in the draft rule.</w:t>
      </w:r>
    </w:p>
    <w:p w14:paraId="17F85E68" w14:textId="39C44A90" w:rsidR="002F7075" w:rsidRPr="002F7075" w:rsidRDefault="00F85B3F" w:rsidP="002F7075">
      <w:pPr>
        <w:pStyle w:val="BodyText"/>
        <w:ind w:firstLine="720"/>
      </w:pPr>
      <w:r>
        <w:t>WRRA notes two concerning changes in the</w:t>
      </w:r>
      <w:r w:rsidR="00081994">
        <w:t xml:space="preserve"> proposed CR-102 rules. </w:t>
      </w:r>
      <w:r w:rsidR="00F3713F">
        <w:t>First, the CR-102 replaces the first draft’s express requirement to report “residuals disposed” with the vaguer “waste disposed,” consolidating all disposal into a single aggregate number that cannot be used to evaluate how pre-processing facilities fit into the states 75% organics diversion goal.</w:t>
      </w:r>
      <w:r w:rsidR="00081994">
        <w:t xml:space="preserve"> </w:t>
      </w:r>
      <w:r w:rsidR="002F7075" w:rsidRPr="002F7075">
        <w:t>Second, the rule contains no facility-level reporting requirement governing the destination of processing residuals. The result, as the rule stands, is that a pre-processing facility generating substantial residuals may ship them to any willing facility with no facility-level record of where they went, no per-shipment reporting by the generating facility, and no confirmation of receipt at the destination facility. Consistent with the reporting model the Legislature already adopted for MRFs under RCW 70A.208.070(2), which requires facilities to report inbound and outbound material quantities and the amount and disposal location of residuals, Ecology should require pre-processing facilities to report the destination and quantity of residuals generated. This is a facility recordkeeping and reporting obligation imposed on the generating facility, not a determination regarding the regulatory status of the transporter or carrier that moves the material, which remains a question properly before the Commission in Docket TG-260161. The only accountability mechanism under the current draft is the annual report’s “waste disposed” line, which, as noted above, no longer identifies residuals as a distinct category.</w:t>
      </w:r>
    </w:p>
    <w:p w14:paraId="743271EB" w14:textId="2E4A8AD5" w:rsidR="00F3713F" w:rsidRPr="00494462" w:rsidRDefault="00F3713F" w:rsidP="00081994">
      <w:pPr>
        <w:pStyle w:val="BodyText"/>
        <w:ind w:firstLine="720"/>
        <w:rPr>
          <w:sz w:val="12"/>
          <w:szCs w:val="12"/>
        </w:rPr>
      </w:pPr>
    </w:p>
    <w:p w14:paraId="0E19BB14" w14:textId="1B736647" w:rsidR="00F3713F" w:rsidRDefault="00F3713F" w:rsidP="007A1060">
      <w:pPr>
        <w:pStyle w:val="BodyText"/>
        <w:ind w:firstLine="720"/>
      </w:pPr>
      <w:r w:rsidRPr="00F3713F">
        <w:t xml:space="preserve">WRRA is also concerned with the loosening of outbound contaminant standards for pre-processing facilities in the CR-102. The first draft of the </w:t>
      </w:r>
      <w:proofErr w:type="gramStart"/>
      <w:r w:rsidRPr="00F3713F">
        <w:t>rule language</w:t>
      </w:r>
      <w:proofErr w:type="gramEnd"/>
      <w:r w:rsidRPr="00F3713F">
        <w:t xml:space="preserve"> set the outbound physical contaminant standard for pre-processing facilities at 2% by volume. The CR-102 raises this to 5% by volume, a standard three times more permissive than what was proposed in the first draft. At the same time, the CR-102 tightens the finished compost quality standard in Table 220-B from 1% to 0.5% by dry weight. The result is that pre-processors face a looser standard on what leaves their facility than the first draft would’ve required, while composting facilities face a stricter standard on what leaves theirs. These two standards are moving in opposite directions, and the asymmetry is not explained or justified anywhere in the rulemaking record</w:t>
      </w:r>
      <w:r>
        <w:t>.</w:t>
      </w:r>
    </w:p>
    <w:p w14:paraId="0376EB72" w14:textId="77777777" w:rsidR="000B7725" w:rsidRPr="00494462" w:rsidRDefault="000B7725" w:rsidP="000B7725">
      <w:pPr>
        <w:pStyle w:val="BodyText"/>
        <w:ind w:firstLine="720"/>
        <w:rPr>
          <w:sz w:val="12"/>
          <w:szCs w:val="12"/>
        </w:rPr>
      </w:pPr>
    </w:p>
    <w:p w14:paraId="2779CCFB" w14:textId="5C8E98C8" w:rsidR="000B7725" w:rsidRDefault="000B7725" w:rsidP="000B7725">
      <w:pPr>
        <w:pStyle w:val="BodyText"/>
        <w:ind w:firstLine="720"/>
      </w:pPr>
      <w:r w:rsidRPr="000B7725">
        <w:t xml:space="preserve">WRRA is also concerned by Ecology’s statement in the </w:t>
      </w:r>
      <w:hyperlink r:id="rId12" w:history="1">
        <w:r w:rsidRPr="00564CD1">
          <w:rPr>
            <w:rStyle w:val="Hyperlink"/>
          </w:rPr>
          <w:t>Preliminary Regulatory Analysis for Organics Materials Management</w:t>
        </w:r>
      </w:hyperlink>
      <w:r w:rsidRPr="000B7725">
        <w:t xml:space="preserve">, published in June of 2026, </w:t>
      </w:r>
      <w:r w:rsidR="00564CD1">
        <w:t xml:space="preserve">on page 71 </w:t>
      </w:r>
      <w:r w:rsidRPr="000B7725">
        <w:t xml:space="preserve">at section 6.3.4 that “recovering inorganic recyclable materials is not required by statute” as a basis for declining to require pre-processing </w:t>
      </w:r>
      <w:r w:rsidRPr="000B7725">
        <w:lastRenderedPageBreak/>
        <w:t xml:space="preserve">facilities to recover recyclable materials from incoming loads. </w:t>
      </w:r>
    </w:p>
    <w:p w14:paraId="6C48001B" w14:textId="77777777" w:rsidR="000B7725" w:rsidRDefault="000B7725" w:rsidP="000B7725">
      <w:pPr>
        <w:pStyle w:val="BodyText"/>
        <w:rPr>
          <w:i/>
          <w:iCs/>
        </w:rPr>
      </w:pPr>
    </w:p>
    <w:p w14:paraId="7DD6D3D0" w14:textId="373E4E20" w:rsidR="000B7725" w:rsidRPr="00EA00C4" w:rsidRDefault="000B7725" w:rsidP="00EA00C4">
      <w:pPr>
        <w:pStyle w:val="BodyText"/>
        <w:ind w:left="720"/>
        <w:rPr>
          <w:i/>
          <w:iCs/>
        </w:rPr>
      </w:pPr>
      <w:r w:rsidRPr="00EA00C4">
        <w:rPr>
          <w:i/>
          <w:iCs/>
        </w:rPr>
        <w:t>“6.3.4 Requirement to recover inorganic recyclable materials. We considered requiring organic materials pre-processors to recover inorganic recyclable materials. Recovering such materials is not required by statute nor would such a standard apply to any other solid waste facility type. This alternative would be more burdensome for covered parties to comply with. Ecology did add a section in the operating plan at such facilities to include a description of any plan to recover inorganic recyclables.”</w:t>
      </w:r>
    </w:p>
    <w:p w14:paraId="22195966" w14:textId="77777777" w:rsidR="000B7725" w:rsidRDefault="000B7725" w:rsidP="000B7725">
      <w:pPr>
        <w:pStyle w:val="BodyText"/>
      </w:pPr>
    </w:p>
    <w:p w14:paraId="2E12C585" w14:textId="77777777" w:rsidR="000B7725" w:rsidRDefault="000B7725" w:rsidP="000B7725">
      <w:pPr>
        <w:pStyle w:val="BodyText"/>
      </w:pPr>
      <w:r w:rsidRPr="000B7725">
        <w:t xml:space="preserve">This characterization is incorrect and should be addressed in the rulemaking record. </w:t>
      </w:r>
    </w:p>
    <w:p w14:paraId="59881390" w14:textId="77777777" w:rsidR="000B7725" w:rsidRDefault="000B7725" w:rsidP="000B7725">
      <w:pPr>
        <w:pStyle w:val="BodyText"/>
      </w:pPr>
    </w:p>
    <w:p w14:paraId="160A8785" w14:textId="05EB9C37" w:rsidR="000B7725" w:rsidRPr="000B7725" w:rsidRDefault="000B7725" w:rsidP="000B7725">
      <w:pPr>
        <w:pStyle w:val="BodyText"/>
        <w:ind w:firstLine="720"/>
      </w:pPr>
      <w:r w:rsidRPr="000B7725">
        <w:t xml:space="preserve">RCW 70A.205.310 expressly prohibits the disposal of recyclable materials </w:t>
      </w:r>
      <w:r w:rsidR="00B21B34">
        <w:t xml:space="preserve">by transporters </w:t>
      </w:r>
      <w:r w:rsidRPr="000B7725">
        <w:t>and states “(1) A transporter may not deliver any recyclable materials for disposal to a transfer station or landfill.” This reflects a longstanding legislative determination that landfilling recoverable materials is contrary to Washington’s waste management goals. The transporter law, RCW 70</w:t>
      </w:r>
      <w:r w:rsidR="00366020">
        <w:t>A</w:t>
      </w:r>
      <w:r w:rsidRPr="000B7725">
        <w:t>.95.400-440, further reinforces this prohibition by establishing accountability requirements specifically designed to prevent recyclable materials from being diverted to disposal. Ecology’s own implementing rule, WAC 173-345, exists precisely to enforce that prohibition against transporters and facilities handling recyclable materials. Ecology’s suggestion that there is no statutory basis for requiring recovery of inorganic recyclables at pre-processing facilities is inconsistent with the plain language of RCW 70A.205.310 and with the regulatory architecture Ecology itself administers under WAC 173-345. Allowing pre-processing facilities to landfill recoverable materials (like packaging, metals, glass, and similar materials that retain recyclable value even after separation from organic feedstocks, without any recovery requirement is environmentally harmful, inconsistent with the legislature’s intent, and unnecessary given the existing statutory tool available to Ecology.</w:t>
      </w:r>
    </w:p>
    <w:p w14:paraId="14B90053" w14:textId="77777777" w:rsidR="00EA00C4" w:rsidRPr="00494462" w:rsidRDefault="000B7725" w:rsidP="00EA00C4">
      <w:pPr>
        <w:pStyle w:val="BodyText"/>
        <w:ind w:firstLine="720"/>
        <w:rPr>
          <w:sz w:val="12"/>
          <w:szCs w:val="12"/>
        </w:rPr>
      </w:pPr>
      <w:r w:rsidRPr="000B7725">
        <w:tab/>
      </w:r>
    </w:p>
    <w:p w14:paraId="495ED1C7" w14:textId="5F748902" w:rsidR="00EA00C4" w:rsidRDefault="00EA00C4" w:rsidP="00EA00C4">
      <w:pPr>
        <w:pStyle w:val="BodyText"/>
        <w:ind w:firstLine="720"/>
      </w:pPr>
      <w:r w:rsidRPr="000B7725">
        <w:t>WRRA urges Ecology to consider that the accountability gaps in the organics management system are better addressed through existing statutory frameworks than through the draft rule’s pre-processing provisions. The Recycling Enforcement Accountability Act, RCW 70A.95.400-440</w:t>
      </w:r>
      <w:r>
        <w:t xml:space="preserve"> (informally known as “the transporter law”</w:t>
      </w:r>
      <w:r w:rsidRPr="000B7725">
        <w:t xml:space="preserve">, enacted in 2005 </w:t>
      </w:r>
      <w:r>
        <w:t>and supported by WRRA</w:t>
      </w:r>
      <w:r w:rsidRPr="000B7725">
        <w:t xml:space="preserve">, establishes registration, notification, and reporting requirements for transporters of recyclable materials from commercial and industrial generators, implemented through WAC 173-345. The transporter law was designed to ensure that materials designated for recycling are not diverted to disposal, the very concern that underlies much of this rulemaking. It establishes penalties of up to $1,000 per violation for transporters and facilities that fail to comply. </w:t>
      </w:r>
    </w:p>
    <w:p w14:paraId="5E28AFA8" w14:textId="0A055F0A" w:rsidR="00F3713F" w:rsidRPr="007A1060" w:rsidRDefault="000B7725" w:rsidP="00EA00C4">
      <w:pPr>
        <w:pStyle w:val="BodyText"/>
        <w:ind w:firstLine="720"/>
        <w:rPr>
          <w:color w:val="EE0000"/>
        </w:rPr>
      </w:pPr>
      <w:r w:rsidRPr="000B7725">
        <w:t xml:space="preserve">WRRA acknowledges that enforcement of the transporter law has been inconsistent, and that conditional exemptions in WAC 173-345-050 – particularly for entities whose primary business is not the transportation of recyclable materials, or for whom such activity is incidental to their primary business – have created practical enforcement challenges that parallel the definitional difficulties the UTC is currently examining in Docket TG-260161. These are real gaps. But there are gaps in Ecology’s existing enforcement posture, not gaps that justify declining to require recovery of recyclable materials at pre-processing facilities. </w:t>
      </w:r>
      <w:proofErr w:type="gramStart"/>
      <w:r w:rsidRPr="000B7725">
        <w:t>Ecology’s</w:t>
      </w:r>
      <w:proofErr w:type="gramEnd"/>
      <w:r w:rsidRPr="000B7725">
        <w:t xml:space="preserve"> authority under RCW 70</w:t>
      </w:r>
      <w:r w:rsidR="00366020">
        <w:t>A</w:t>
      </w:r>
      <w:r w:rsidRPr="000B7725">
        <w:t xml:space="preserve">.95.400-440 and WAC 173-345 </w:t>
      </w:r>
      <w:proofErr w:type="gramStart"/>
      <w:r w:rsidRPr="000B7725">
        <w:t>operates</w:t>
      </w:r>
      <w:proofErr w:type="gramEnd"/>
      <w:r w:rsidRPr="000B7725">
        <w:t xml:space="preserve"> squarely in the facility and transporter accountability space this rulemaking is attempting to address. The appropriate response is to utilize and strengthen that existing framework, including through more vigorous enforcement of WAC 173-345’s registration and reporting requirements against transporters and facilities operating in the organics space, rather than to leave recoverable recyclables unprotected in the pre-processing context. If Ecology believes the transporter law’s scope or exemption structure is inadequate to address the organics </w:t>
      </w:r>
      <w:r w:rsidRPr="000B7725">
        <w:lastRenderedPageBreak/>
        <w:t>residuals accountability problem, the appropriate vehicle is a rulemaking under RCW 70</w:t>
      </w:r>
      <w:r w:rsidR="00366020">
        <w:t>A</w:t>
      </w:r>
      <w:r w:rsidRPr="000B7725">
        <w:t>.95.400-440 and WAC 173-345, not a collateral determination in a solid waste handling rulemaking that there is no statutory basis for requiring recovery of materials the Legislature has expressly directed should not be landfilled.</w:t>
      </w:r>
    </w:p>
    <w:p w14:paraId="7192DD08" w14:textId="77777777" w:rsidR="007A1060" w:rsidRDefault="007A1060" w:rsidP="007A1060">
      <w:pPr>
        <w:pStyle w:val="BodyText"/>
        <w:ind w:firstLine="720"/>
      </w:pPr>
    </w:p>
    <w:p w14:paraId="0F45BEC4" w14:textId="7468BFCC" w:rsidR="00F3713F" w:rsidRDefault="00F3713F" w:rsidP="007A1060">
      <w:pPr>
        <w:pStyle w:val="BodyText"/>
        <w:ind w:firstLine="720"/>
      </w:pPr>
      <w:r>
        <w:t>WRRA continues to encourage Ecology to ensure that pre-processing remains consistent with Washington’s statutory emphasis on source separation. Pre-processing should serve as a tool to improve the quality of source-separated organic materials—not as a substitute for generator-level separation or a pathway for increased reliance on mixed municipal solid waste processing.</w:t>
      </w:r>
    </w:p>
    <w:p w14:paraId="01B425CC" w14:textId="77777777" w:rsidR="00F3713F" w:rsidRDefault="00F3713F" w:rsidP="00F3713F">
      <w:pPr>
        <w:pStyle w:val="BodyText"/>
      </w:pPr>
      <w:r>
        <w:t>WRRA recommends Ecology clarify:</w:t>
      </w:r>
    </w:p>
    <w:p w14:paraId="771AA63F" w14:textId="0FEF66E8" w:rsidR="00F3713F" w:rsidRDefault="00F3713F" w:rsidP="00F3713F">
      <w:pPr>
        <w:pStyle w:val="BodyText"/>
        <w:numPr>
          <w:ilvl w:val="0"/>
          <w:numId w:val="4"/>
        </w:numPr>
      </w:pPr>
      <w:r>
        <w:t>Whether facilities operating under the pre-processing provisions may accept materials that would otherwise be considered mixed municipal solid waste;</w:t>
      </w:r>
    </w:p>
    <w:p w14:paraId="5468C65C" w14:textId="0F3E15B4" w:rsidR="00F3713F" w:rsidRDefault="00F3713F" w:rsidP="00F3713F">
      <w:pPr>
        <w:pStyle w:val="BodyText"/>
        <w:numPr>
          <w:ilvl w:val="0"/>
          <w:numId w:val="4"/>
        </w:numPr>
      </w:pPr>
      <w:r>
        <w:t>Whether residuals generated through pre-processing activities are subject to any performance standards or limitations; and</w:t>
      </w:r>
    </w:p>
    <w:p w14:paraId="5FF59957" w14:textId="63EDE7DD" w:rsidR="00F3713F" w:rsidRDefault="00F3713F" w:rsidP="00F3713F">
      <w:pPr>
        <w:pStyle w:val="BodyText"/>
        <w:numPr>
          <w:ilvl w:val="0"/>
          <w:numId w:val="4"/>
        </w:numPr>
      </w:pPr>
      <w:r>
        <w:t>How Ecology will ensure that pre-processing facilities do not create an incentive for generators to discontinue source separation practices</w:t>
      </w:r>
    </w:p>
    <w:p w14:paraId="1B64DAC1" w14:textId="77777777" w:rsidR="007A1060" w:rsidRDefault="007A1060" w:rsidP="00F3713F">
      <w:pPr>
        <w:pStyle w:val="BodyText"/>
      </w:pPr>
    </w:p>
    <w:p w14:paraId="6A78D316" w14:textId="77777777" w:rsidR="007A1060" w:rsidRPr="007A1060" w:rsidRDefault="007A1060" w:rsidP="007A1060">
      <w:pPr>
        <w:pStyle w:val="BodyText"/>
        <w:rPr>
          <w:b/>
          <w:bCs/>
          <w:u w:val="single"/>
        </w:rPr>
      </w:pPr>
      <w:r w:rsidRPr="007A1060">
        <w:rPr>
          <w:b/>
          <w:bCs/>
          <w:u w:val="single"/>
        </w:rPr>
        <w:t>Composting and Organic Materials Management Facilities (WAC 173-350-220)</w:t>
      </w:r>
    </w:p>
    <w:p w14:paraId="1E987EAF" w14:textId="77777777" w:rsidR="007A1060" w:rsidRPr="00494462" w:rsidRDefault="007A1060" w:rsidP="007A1060">
      <w:pPr>
        <w:pStyle w:val="BodyText"/>
        <w:rPr>
          <w:sz w:val="12"/>
          <w:szCs w:val="12"/>
        </w:rPr>
      </w:pPr>
    </w:p>
    <w:p w14:paraId="3846F299" w14:textId="49E62EA6" w:rsidR="007A1060" w:rsidRDefault="007A1060" w:rsidP="007A1060">
      <w:pPr>
        <w:pStyle w:val="BodyText"/>
        <w:ind w:firstLine="720"/>
      </w:pPr>
      <w:r>
        <w:t>WRRA appreciates Ecology’s recognition that contamination prevention is important across the organics management system. However, regulatory expectations should be applied consistently across composting, anaerobic digestion, pre-processing, and other organic materials management pathways.</w:t>
      </w:r>
    </w:p>
    <w:p w14:paraId="14D597E0" w14:textId="77777777" w:rsidR="007A1060" w:rsidRDefault="007A1060" w:rsidP="007A1060">
      <w:pPr>
        <w:pStyle w:val="BodyText"/>
        <w:ind w:firstLine="720"/>
      </w:pPr>
      <w:r>
        <w:t>WRRA also acknowledges and appreciates Ecology’s decision to raise the inbound feedstock contamination threshold for composting facilities from 2% to 5% by volume. This adjustment better reflects operational reality and provides composting facilities with the flexibility needed to accept recoverable material without triggering automatic rejection obligations.</w:t>
      </w:r>
    </w:p>
    <w:p w14:paraId="61301A01" w14:textId="77777777" w:rsidR="007A1060" w:rsidRDefault="007A1060" w:rsidP="007A1060">
      <w:pPr>
        <w:pStyle w:val="BodyText"/>
        <w:ind w:firstLine="720"/>
      </w:pPr>
      <w:r>
        <w:t>Composting facilities have historically invested in contamination prevention, customer education, quality control, and operational systems to protect end markets. The final rule should avoid creating an imbalance where facilities using source-separated feedstocks face stricter requirements than facilities relying on downstream cleanup.</w:t>
      </w:r>
    </w:p>
    <w:p w14:paraId="0D6289F5" w14:textId="77777777" w:rsidR="007A1060" w:rsidRDefault="007A1060" w:rsidP="007A1060">
      <w:pPr>
        <w:pStyle w:val="BodyText"/>
        <w:ind w:firstLine="720"/>
      </w:pPr>
      <w:r>
        <w:t xml:space="preserve">The tightening of Table 220-B in the proposed rule is WRRA's most significant outstanding concern in this section. The finished compost physical contaminant standard has been decreased from 1% to 0.5% by dry weight </w:t>
      </w:r>
      <w:proofErr w:type="gramStart"/>
      <w:r>
        <w:t>total</w:t>
      </w:r>
      <w:proofErr w:type="gramEnd"/>
      <w:r>
        <w:t xml:space="preserve"> and the film plastic sub-limit has been reduced from 0.25% to 0.1% by dry weight. These are substantial restrictions imposed on compost facilities </w:t>
      </w:r>
      <w:proofErr w:type="gramStart"/>
      <w:r>
        <w:t>at the same time that</w:t>
      </w:r>
      <w:proofErr w:type="gramEnd"/>
      <w:r>
        <w:t xml:space="preserve"> pre-processing facilities face no comparable dry-weight outbound standard.</w:t>
      </w:r>
    </w:p>
    <w:p w14:paraId="67874543" w14:textId="77777777" w:rsidR="007A1060" w:rsidRDefault="007A1060" w:rsidP="007A1060">
      <w:pPr>
        <w:pStyle w:val="BodyText"/>
        <w:ind w:firstLine="720"/>
      </w:pPr>
      <w:r>
        <w:t xml:space="preserve">WRRA raised this issue in our December 2025 comments, arguing that holding composters to strict feedstock and outbound standards while allowing pre-processors to rely on back-end cleanup creates an unlevel playing field and puts the rule at odds with the goals of the OML. The proposed rules </w:t>
      </w:r>
      <w:proofErr w:type="gramStart"/>
      <w:r>
        <w:t>makes</w:t>
      </w:r>
      <w:proofErr w:type="gramEnd"/>
      <w:r>
        <w:t xml:space="preserve"> that asymmetry more severe. The composting outbound standard has been tightened while the pre-processing outbound standard has been loosened from 2% to 5% by volume. The directional mismatch between these two standards is directly contrary to Washington's waste management hierarchy, which prioritizes composting (RCW 70A.205.005 and RCW 70A.205.007).</w:t>
      </w:r>
    </w:p>
    <w:p w14:paraId="55AB2DE8" w14:textId="77777777" w:rsidR="007A1060" w:rsidRDefault="007A1060" w:rsidP="007A1060">
      <w:pPr>
        <w:pStyle w:val="BodyText"/>
        <w:ind w:firstLine="720"/>
      </w:pPr>
    </w:p>
    <w:p w14:paraId="55470802" w14:textId="77777777" w:rsidR="007A1060" w:rsidRDefault="007A1060" w:rsidP="007A1060">
      <w:pPr>
        <w:pStyle w:val="BodyText"/>
        <w:ind w:firstLine="720"/>
      </w:pPr>
      <w:r w:rsidRPr="007A1060">
        <w:t>WRRA again cites the Ecology Compost Market Study, which (at page 47) shows an increasing and positive trend in compost sold while less has been stockpiled</w:t>
      </w:r>
      <w:r>
        <w:t xml:space="preserve">. </w:t>
      </w:r>
      <w:r w:rsidRPr="007A1060">
        <w:t>The compost market is healthy.</w:t>
      </w:r>
      <w:r>
        <w:t xml:space="preserve"> </w:t>
      </w:r>
      <w:r w:rsidRPr="007A1060">
        <w:t xml:space="preserve">WRRA is not aware of any documented environmental harm attributable to the current 1% standard that would justify reducing the current well-working threshold by half. The rulemaking record should include Ecology's </w:t>
      </w:r>
      <w:r w:rsidRPr="007A1060">
        <w:lastRenderedPageBreak/>
        <w:t>reasoning for this change</w:t>
      </w:r>
      <w:r>
        <w:t xml:space="preserve">. </w:t>
      </w:r>
    </w:p>
    <w:p w14:paraId="64C6AE72" w14:textId="77777777" w:rsidR="007A1060" w:rsidRPr="00494462" w:rsidRDefault="007A1060" w:rsidP="007A1060">
      <w:pPr>
        <w:pStyle w:val="BodyText"/>
        <w:ind w:firstLine="720"/>
        <w:rPr>
          <w:sz w:val="12"/>
          <w:szCs w:val="12"/>
        </w:rPr>
      </w:pPr>
    </w:p>
    <w:p w14:paraId="65942FE1" w14:textId="77FAC709" w:rsidR="007A1060" w:rsidRDefault="007A1060" w:rsidP="007A1060">
      <w:pPr>
        <w:pStyle w:val="BodyText"/>
        <w:ind w:firstLine="720"/>
      </w:pPr>
      <w:r>
        <w:t>WRRA also renews its concern from the first draft that the rule provides no guidance on what a composting facility is supposed to do when a pocket of contamination in an otherwise compliant batch triggers a test failure. The grinding prohibition ("grinding to reduce the size of physical contaminants does not meet the requirements of this section”) is retained in the CR-102, meaning physical removal is required. But the process of handling a non-compliant batch remains unstated. WRRA requests that Ecology provide clear procedural guidance on this point.</w:t>
      </w:r>
    </w:p>
    <w:p w14:paraId="00FDAF12" w14:textId="77777777" w:rsidR="007A1060" w:rsidRDefault="007A1060" w:rsidP="007A1060">
      <w:pPr>
        <w:pStyle w:val="BodyText"/>
        <w:ind w:firstLine="720"/>
      </w:pPr>
      <w:r>
        <w:t>WRRA encourages Ecology to evaluate whether proposed testing, reporting, and contamination requirements are appropriately balanced and whether they may unintentionally increase costs or reduce organics recovery by discouraging facilities from accepting recoverable material.</w:t>
      </w:r>
    </w:p>
    <w:p w14:paraId="1F320156" w14:textId="4E57C795" w:rsidR="007A1060" w:rsidRDefault="007A1060" w:rsidP="007A1060">
      <w:pPr>
        <w:pStyle w:val="BodyText"/>
        <w:numPr>
          <w:ilvl w:val="0"/>
          <w:numId w:val="5"/>
        </w:numPr>
      </w:pPr>
      <w:r>
        <w:t>How the tightened Table 220-B standard is consistent with the waste management hierarchy in CW 70A.205.005 and RCW 70A.205.007, which prioritizes composting, given that the standard imposes greater compliance burdens on composting facilities and eases outbound standards for pre-processing facilities.</w:t>
      </w:r>
    </w:p>
    <w:p w14:paraId="5C69F1C5" w14:textId="1C3DD3E7" w:rsidR="007A1060" w:rsidRDefault="007A1060" w:rsidP="007A1060">
      <w:pPr>
        <w:pStyle w:val="BodyText"/>
        <w:numPr>
          <w:ilvl w:val="0"/>
          <w:numId w:val="5"/>
        </w:numPr>
      </w:pPr>
      <w:r>
        <w:t>Whether Ecology has modeled the potential impact of the tightened Table 220-B standard on facility tip fee economics, feedstock acceptance rates, and overall organics diversion volumes in Washington; and</w:t>
      </w:r>
    </w:p>
    <w:p w14:paraId="24641CA2" w14:textId="1B644BE5" w:rsidR="007A1060" w:rsidRDefault="007A1060" w:rsidP="007A1060">
      <w:pPr>
        <w:pStyle w:val="BodyText"/>
        <w:numPr>
          <w:ilvl w:val="0"/>
          <w:numId w:val="5"/>
        </w:numPr>
      </w:pPr>
      <w:r>
        <w:t>How Ecology intends to ensure that the tightened standard does not inadvertently discourage composting facilities from accepting recoverable organic material that would otherwise be diverted from disposal, contrary to the goals of the OML</w:t>
      </w:r>
    </w:p>
    <w:p w14:paraId="0DE39CAA" w14:textId="77777777" w:rsidR="007A1060" w:rsidRDefault="007A1060" w:rsidP="007A1060">
      <w:pPr>
        <w:pStyle w:val="BodyText"/>
      </w:pPr>
    </w:p>
    <w:p w14:paraId="3D9123EF" w14:textId="77777777" w:rsidR="007A1060" w:rsidRPr="007A1060" w:rsidRDefault="007A1060" w:rsidP="007A1060">
      <w:pPr>
        <w:pStyle w:val="BodyText"/>
        <w:rPr>
          <w:b/>
          <w:bCs/>
          <w:u w:val="single"/>
        </w:rPr>
      </w:pPr>
      <w:r w:rsidRPr="007A1060">
        <w:rPr>
          <w:b/>
          <w:bCs/>
          <w:u w:val="single"/>
        </w:rPr>
        <w:t>Anaerobic Digestion (WAC 173-350-250)</w:t>
      </w:r>
    </w:p>
    <w:p w14:paraId="00D4072D" w14:textId="77777777" w:rsidR="007A1060" w:rsidRPr="00494462" w:rsidRDefault="007A1060" w:rsidP="007A1060">
      <w:pPr>
        <w:pStyle w:val="BodyText"/>
        <w:rPr>
          <w:sz w:val="12"/>
          <w:szCs w:val="12"/>
        </w:rPr>
      </w:pPr>
    </w:p>
    <w:p w14:paraId="73124EC7" w14:textId="77777777" w:rsidR="00316855" w:rsidRDefault="007A1060" w:rsidP="00316855">
      <w:pPr>
        <w:pStyle w:val="BodyText"/>
        <w:ind w:firstLine="720"/>
      </w:pPr>
      <w:r>
        <w:t xml:space="preserve">WRRA appreciates that digestate testing is now required before off-site distribution, and the standard mirrors Table 220-B: 0.5% dry weight physical contaminants and 0.1% film plastic dry weight. We also appreciate the language that feedstocks must be source-separated and contain no more than 5% </w:t>
      </w:r>
      <w:proofErr w:type="gramStart"/>
      <w:r>
        <w:t>physical</w:t>
      </w:r>
      <w:proofErr w:type="gramEnd"/>
      <w:r>
        <w:t xml:space="preserve"> contaminants by volume, consistent with standards applied to other facility types.</w:t>
      </w:r>
    </w:p>
    <w:p w14:paraId="5DDFF1F0" w14:textId="56C23258" w:rsidR="007A1060" w:rsidRDefault="007A1060" w:rsidP="00316855">
      <w:pPr>
        <w:pStyle w:val="BodyText"/>
        <w:ind w:firstLine="720"/>
      </w:pPr>
      <w:r>
        <w:t>WRRA's December 2025 comments requested that Ecology expressly prohibit anaerobic digestion facilities from accepting mixed municipal solid waste. The proposed rule does not include this prohibition. The "source-separated feedstocks" requirement provides some protection, but without an express MSW ban, the distinction will be difficult to enforce in practice, particularly given the definitional gap WRRA identified above regarding commingled packaged food waste. Source separation, properly understood, requires a meaningful act of separation at the point of generation. It is not satisfied by the mechanical separation of organics from a commingled load after the fact, nor by the presence of organic material within a load that was never meaningfully separated at the generator level. The proposed rules do not articulate this distinction, and without it, an anaerobic digestion facility could accept loads that were never source-separated properly – loads that would otherwise qualify as mixed municipal solid waste – and characterize them as “source-separated feedstocks” based solely on the organic content of the incoming material.</w:t>
      </w:r>
    </w:p>
    <w:p w14:paraId="319BB577" w14:textId="77777777" w:rsidR="007A1060" w:rsidRDefault="007A1060" w:rsidP="00316855">
      <w:pPr>
        <w:pStyle w:val="BodyText"/>
        <w:ind w:firstLine="720"/>
      </w:pPr>
      <w:r>
        <w:t>WRRA again requests that Ecology add an express prohibition: "Anaerobic digestion facilities subject to this section may not accept mixed municipal solid waste." This is consistent with the Legislature's intent and with the source separation requirements imposed on commercial generators under RCW 70A.205.545(3)(a). This addition, combined with a definition of source separation that requires meaningful separation at the point of generation, would close this gap in the draft rule language and ensure that the source-separated feedstocks requirement functions as a genuine quality standard rather than a nominal one.</w:t>
      </w:r>
    </w:p>
    <w:p w14:paraId="53DC17F7" w14:textId="77777777" w:rsidR="007A1060" w:rsidRPr="00494462" w:rsidRDefault="007A1060" w:rsidP="007A1060">
      <w:pPr>
        <w:pStyle w:val="BodyText"/>
        <w:rPr>
          <w:sz w:val="12"/>
          <w:szCs w:val="12"/>
        </w:rPr>
      </w:pPr>
    </w:p>
    <w:p w14:paraId="1D8EF250" w14:textId="17C89B5E" w:rsidR="007A1060" w:rsidRDefault="007A1060" w:rsidP="007A1060">
      <w:pPr>
        <w:pStyle w:val="BodyText"/>
        <w:ind w:firstLine="720"/>
      </w:pPr>
      <w:r w:rsidRPr="007A1060">
        <w:t xml:space="preserve">WRRA raised the absence of biogas testing requirements in our December 2025 comments, </w:t>
      </w:r>
      <w:r w:rsidRPr="007A1060">
        <w:lastRenderedPageBreak/>
        <w:t xml:space="preserve">grounding the argument in RCW 70A.205.540(7), which directs Ecology to establish permit requirements for organic materials management facilities "addressing contamination associated with incoming food waste feedstocks and finished products, for environmental benefit." Biogas is the primary finished product of an anaerobic digestion facility. The proposed rules still do not require any </w:t>
      </w:r>
      <w:r w:rsidR="004033ED">
        <w:t>quality specifications for the produced</w:t>
      </w:r>
      <w:r w:rsidR="00737ADF">
        <w:t xml:space="preserve"> biogas</w:t>
      </w:r>
      <w:r w:rsidR="000D2405">
        <w:t>.</w:t>
      </w:r>
    </w:p>
    <w:p w14:paraId="2E57BC8B" w14:textId="05FD1AF3" w:rsidR="007A1060" w:rsidRDefault="007A1060" w:rsidP="007A1060">
      <w:pPr>
        <w:pStyle w:val="BodyText"/>
        <w:ind w:firstLine="720"/>
      </w:pPr>
      <w:r>
        <w:t xml:space="preserve">Ecology provides detailed finished-product testing standards for composting facilities in Table 220-B. It has not provided any equivalent standard for the actual finished product of AD facilities This is selective implementation of the Legislature's instruction in RCW 70A.205.540(7), addressing finished products from aerobic composting but not from anaerobic digestion. WRRA encourages Ecology to adopt a more comprehensive and </w:t>
      </w:r>
      <w:r w:rsidR="004B04F1">
        <w:t xml:space="preserve">technology-neutral </w:t>
      </w:r>
      <w:r>
        <w:t>approach that applies equivalent standards to all finished organic products</w:t>
      </w:r>
      <w:r w:rsidR="00E6172C">
        <w:t xml:space="preserve"> by requiring anaerobic digestion facilities to monitor and report</w:t>
      </w:r>
      <w:r w:rsidR="000D2405">
        <w:t xml:space="preserve"> on</w:t>
      </w:r>
      <w:r w:rsidR="00E6172C">
        <w:t xml:space="preserve"> the biogas produced</w:t>
      </w:r>
      <w:r>
        <w:t>.</w:t>
      </w:r>
      <w:r w:rsidR="00E6172C">
        <w:t xml:space="preserve"> </w:t>
      </w:r>
    </w:p>
    <w:p w14:paraId="31493C08" w14:textId="77777777" w:rsidR="00494462" w:rsidRDefault="001C021F" w:rsidP="007371A9">
      <w:pPr>
        <w:pStyle w:val="BodyText"/>
        <w:ind w:firstLine="720"/>
      </w:pPr>
      <w:r>
        <w:t xml:space="preserve">WRRA proposes that AD facilities must demonstrate </w:t>
      </w:r>
      <w:r w:rsidR="006F4601">
        <w:t xml:space="preserve">that the biogas they produce is required to comply with quality specifications of the pipeline </w:t>
      </w:r>
      <w:r w:rsidR="004F0ADF">
        <w:t xml:space="preserve">into which such biogas is injected; and if the biogas is not required to meet any such quality specifications, then the facilities must be able to demonstrate that the biogas they produce meets an industry-standard pipeline quality specification. </w:t>
      </w:r>
      <w:r w:rsidR="002A5193">
        <w:t xml:space="preserve">WRRA acknowledges that establishing a uniform biogas quality standard is technically complex. Raw biogas </w:t>
      </w:r>
      <w:r w:rsidR="004D0E6E">
        <w:t xml:space="preserve">produced by anaerobic digestion typically </w:t>
      </w:r>
      <w:proofErr w:type="gramStart"/>
      <w:r w:rsidR="004D0E6E">
        <w:t>contains</w:t>
      </w:r>
      <w:proofErr w:type="gramEnd"/>
      <w:r w:rsidR="004D0E6E">
        <w:t xml:space="preserve"> between 55% and 65% methane, with the remainder consisting of carbon dioxide and trace gases. It cannot be injected into a natural gas pipeline in that form. Facilities that intend to produce renewable natural gas for pipeline </w:t>
      </w:r>
      <w:r w:rsidR="006D4A0F">
        <w:t xml:space="preserve">injection must upgrade the biogas to achieve biomethane typically in the range of 97% to 99% methane. The quality specifications for that upgraded product are not established by state regulation but are set by individual pipeline operators through interconnection agreements and they vary across operators and </w:t>
      </w:r>
      <w:r w:rsidR="00A04DA3">
        <w:t xml:space="preserve">jurisdictions. </w:t>
      </w:r>
      <w:r w:rsidR="00193827">
        <w:t xml:space="preserve">Imposing a separate standard under this rulemaking </w:t>
      </w:r>
      <w:r w:rsidR="003F1CAE">
        <w:t>that may be inconsistent with specifications already established by contract or tariff would be impractical and potentially in conflict with existing regulatory and contractual obligations</w:t>
      </w:r>
      <w:r w:rsidR="00A535E9">
        <w:t xml:space="preserve">. Establishing a framework tied to pipeline-quality gas </w:t>
      </w:r>
      <w:r w:rsidR="00CD661A">
        <w:t xml:space="preserve">would provide an objective measure of finished product quality, improve transparency, and ensure anaerobic digestion facilities are held to standards comparable </w:t>
      </w:r>
      <w:r w:rsidR="00C34360">
        <w:t xml:space="preserve">to those applied to other organics management technologies. </w:t>
      </w:r>
    </w:p>
    <w:p w14:paraId="76E8DF0F" w14:textId="11A991C0" w:rsidR="007A1060" w:rsidRDefault="002955DA" w:rsidP="007371A9">
      <w:pPr>
        <w:pStyle w:val="BodyText"/>
        <w:ind w:firstLine="720"/>
      </w:pPr>
      <w:r>
        <w:t xml:space="preserve">Anaerobic Digestion facilities </w:t>
      </w:r>
      <w:r w:rsidR="00C21186">
        <w:t>should be required to demonstrate that the biogas they produce complies with the quality specifications of the pipeline into which it is injected. Where a facility is subject to such specifications</w:t>
      </w:r>
      <w:r w:rsidR="00B1661D">
        <w:t xml:space="preserve">, whether established though an interconnection agreement, an operator tariff, or a tariff </w:t>
      </w:r>
      <w:r w:rsidR="00C27E59">
        <w:t>approved by a regulator, the facility should be required to certify to Ecology that such specifications exist and that it is subject to them. Remedies for failure to meet pipeline quality</w:t>
      </w:r>
      <w:r w:rsidR="007C463A">
        <w:t xml:space="preserve">, including shut-in, provide sufficient incentive for compliance without Ecology to </w:t>
      </w:r>
      <w:r w:rsidR="00C6543C">
        <w:t xml:space="preserve">duplicate standards already established through contract or regulatory </w:t>
      </w:r>
      <w:r w:rsidR="00C63DAF">
        <w:t>process.</w:t>
      </w:r>
      <w:r w:rsidR="007371A9">
        <w:t xml:space="preserve"> This framework ensures that all anaerobic digestion facilities are accountable for finished product quality in a manner appropriate to their operational context, without imposing redundant or conflicting requirements on facilities already subject to pipeline quality obligations established by contract or tariff. </w:t>
      </w:r>
      <w:r w:rsidR="00C34360">
        <w:t xml:space="preserve">If Ecology declines to establish such requirements, </w:t>
      </w:r>
      <w:r w:rsidR="007A1060">
        <w:t>WRRA requests that Ecology address this gap in the CR-102 or provide an explanation on the rulemaking record for why the Legislature's "finished products" instruction does not extend to biogas.</w:t>
      </w:r>
    </w:p>
    <w:p w14:paraId="5EC235FD" w14:textId="77777777" w:rsidR="007A1060" w:rsidRDefault="007A1060" w:rsidP="007A1060">
      <w:pPr>
        <w:pStyle w:val="BodyText"/>
        <w:ind w:firstLine="720"/>
      </w:pPr>
      <w:r>
        <w:t xml:space="preserve">Without residual limits and without per-shipment residuals tracking, the structural risk Vermont documented (gradual erosion of source separation as pre-processing absorbs previously separated streams) remains. Vermont's moratorium on new </w:t>
      </w:r>
      <w:proofErr w:type="spellStart"/>
      <w:r>
        <w:t>depackaging</w:t>
      </w:r>
      <w:proofErr w:type="spellEnd"/>
      <w:r>
        <w:t xml:space="preserve"> facilities and its legislative directive to restore source separation as the foundation of organics management were responses to exactly the kind of market shift that WRRA has warned against.</w:t>
      </w:r>
    </w:p>
    <w:p w14:paraId="5B9E0858" w14:textId="77777777" w:rsidR="007A1060" w:rsidRDefault="007A1060" w:rsidP="007A1060">
      <w:pPr>
        <w:pStyle w:val="BodyText"/>
        <w:ind w:firstLine="720"/>
      </w:pPr>
      <w:r>
        <w:t>WRRA supports recognition of emerging technologies that can increase organics recovery.</w:t>
      </w:r>
    </w:p>
    <w:p w14:paraId="58B30537" w14:textId="389518C5" w:rsidR="007A1060" w:rsidRDefault="007A1060" w:rsidP="007A1060">
      <w:pPr>
        <w:pStyle w:val="BodyText"/>
      </w:pPr>
      <w:r>
        <w:t xml:space="preserve">However, facilities utilizing alternative processing methods should be held to comparable standards for </w:t>
      </w:r>
      <w:r>
        <w:lastRenderedPageBreak/>
        <w:t xml:space="preserve">contamination control, reporting, and finished product quality. </w:t>
      </w:r>
      <w:r w:rsidR="00F807C1">
        <w:t xml:space="preserve">Just as compost facilities must demonstrate compliance with finished compost quality standards, anaerobic </w:t>
      </w:r>
      <w:r w:rsidR="00B629E6">
        <w:t>digestion facilities should be required to document that their biogas meets</w:t>
      </w:r>
      <w:r w:rsidR="007371A9">
        <w:t>, or is required to meet</w:t>
      </w:r>
      <w:r w:rsidR="004C10E6">
        <w:t>,</w:t>
      </w:r>
      <w:r w:rsidR="00B629E6">
        <w:t xml:space="preserve"> pipeline-quality specifications and that any digestate or other residual </w:t>
      </w:r>
      <w:r w:rsidR="00F32A8A">
        <w:t>p</w:t>
      </w:r>
      <w:r w:rsidR="00B629E6">
        <w:t>roducts distributed for beneficial use satisfy appropriate standards. Applying eq</w:t>
      </w:r>
      <w:r w:rsidR="008518C0">
        <w:t xml:space="preserve">uivalent performance standards across technologies will better protect environmental and public health while maintaining confidence in Washington’s recovered organic products. </w:t>
      </w:r>
    </w:p>
    <w:p w14:paraId="66DBE260" w14:textId="77777777" w:rsidR="007A1060" w:rsidRDefault="007A1060" w:rsidP="007A1060">
      <w:pPr>
        <w:pStyle w:val="BodyText"/>
        <w:ind w:firstLine="360"/>
      </w:pPr>
      <w:r>
        <w:t>WRRA recommends Ecology clarify:</w:t>
      </w:r>
    </w:p>
    <w:p w14:paraId="1C885D16" w14:textId="71137E46" w:rsidR="007A1060" w:rsidRDefault="007A1060" w:rsidP="007A1060">
      <w:pPr>
        <w:pStyle w:val="BodyText"/>
        <w:numPr>
          <w:ilvl w:val="0"/>
          <w:numId w:val="6"/>
        </w:numPr>
      </w:pPr>
      <w:r>
        <w:t>Whether Ecology intended to add an express prohibition on acceptance of mixed municipal solid waste at anaerobic digestions facilities, and if not, what enforcement mechanism Ecology believes will prevent facilities from accepting loads that would otherwise qualify as MSW under WAC 173-350-100:</w:t>
      </w:r>
    </w:p>
    <w:p w14:paraId="47CFE643" w14:textId="09996FBB" w:rsidR="007A1060" w:rsidRDefault="007A1060" w:rsidP="007A1060">
      <w:pPr>
        <w:pStyle w:val="BodyText"/>
        <w:numPr>
          <w:ilvl w:val="0"/>
          <w:numId w:val="6"/>
        </w:numPr>
      </w:pPr>
      <w:r>
        <w:t>Whether digestate distributed for beneficial use is subject to any destination or end-use tracking requirements beyond the annual report, and how Ecology will verify that digestate meeting Table 220-B standards are being used in a manner consistent with those standards; and</w:t>
      </w:r>
    </w:p>
    <w:p w14:paraId="72257983" w14:textId="77777777" w:rsidR="007A1060" w:rsidRDefault="007A1060" w:rsidP="007A1060">
      <w:pPr>
        <w:pStyle w:val="BodyText"/>
        <w:numPr>
          <w:ilvl w:val="0"/>
          <w:numId w:val="6"/>
        </w:numPr>
      </w:pPr>
      <w:r>
        <w:t>How Ecology intended to ensure that the anaerobic digestion framework does not create economic incentives that undermine source separation at the generator level, particularly in the absence of residual limits or per-shipment tracking requirements that would make the true disposal rate of AD facilities visible in the regulatory record.</w:t>
      </w:r>
    </w:p>
    <w:p w14:paraId="478820AB" w14:textId="77777777" w:rsidR="00564CD1" w:rsidRPr="00494462" w:rsidRDefault="00564CD1" w:rsidP="00564CD1">
      <w:pPr>
        <w:pStyle w:val="BodyText"/>
        <w:rPr>
          <w:sz w:val="12"/>
          <w:szCs w:val="12"/>
        </w:rPr>
      </w:pPr>
    </w:p>
    <w:p w14:paraId="4FFF35C3" w14:textId="77777777" w:rsidR="00564CD1" w:rsidRDefault="00564CD1" w:rsidP="00564CD1">
      <w:pPr>
        <w:pStyle w:val="BodyText"/>
      </w:pPr>
    </w:p>
    <w:p w14:paraId="313C021F" w14:textId="77777777" w:rsidR="00564CD1" w:rsidRPr="00564CD1" w:rsidRDefault="00564CD1" w:rsidP="00564CD1">
      <w:pPr>
        <w:pStyle w:val="BodyText"/>
        <w:rPr>
          <w:b/>
          <w:bCs/>
          <w:u w:val="single"/>
        </w:rPr>
      </w:pPr>
      <w:r w:rsidRPr="00564CD1">
        <w:rPr>
          <w:b/>
          <w:bCs/>
          <w:u w:val="single"/>
        </w:rPr>
        <w:t>Conclusion</w:t>
      </w:r>
    </w:p>
    <w:p w14:paraId="67F37F53" w14:textId="77777777" w:rsidR="00564CD1" w:rsidRDefault="00564CD1" w:rsidP="00564CD1">
      <w:pPr>
        <w:pStyle w:val="BodyText"/>
      </w:pPr>
    </w:p>
    <w:p w14:paraId="62BAB1A0" w14:textId="77777777" w:rsidR="00564CD1" w:rsidRDefault="00564CD1" w:rsidP="00564CD1">
      <w:pPr>
        <w:pStyle w:val="BodyText"/>
        <w:ind w:firstLine="720"/>
      </w:pPr>
      <w:r>
        <w:t xml:space="preserve">WRRA appreciates Ecology’s efforts to revise the draft rule language and address stakeholder concerns. The revised proposal represents progress in several areas, particularly in improving alignment with operational realities. </w:t>
      </w:r>
    </w:p>
    <w:p w14:paraId="6F1C200B" w14:textId="204E1311" w:rsidR="00564CD1" w:rsidRDefault="00564CD1" w:rsidP="00564CD1">
      <w:pPr>
        <w:pStyle w:val="BodyText"/>
        <w:ind w:firstLine="720"/>
      </w:pPr>
      <w:r>
        <w:t xml:space="preserve">As Ecology moves toward a final rule, WRRA respectfully requests continued focus on preserving generator-level source separation, preventing unintended incentives for mixed-waste processing, and ensuring that all organics management pathways are regulated consistently. WRRA appreciates the Department’s consideration and looks forward to continued engagement throughout this rulemaking. </w:t>
      </w:r>
    </w:p>
    <w:p w14:paraId="100A468F" w14:textId="77777777" w:rsidR="00564CD1" w:rsidRDefault="00564CD1" w:rsidP="00564CD1">
      <w:pPr>
        <w:pStyle w:val="BodyText"/>
      </w:pPr>
    </w:p>
    <w:p w14:paraId="4EFBBB02" w14:textId="77777777" w:rsidR="00564CD1" w:rsidRDefault="00564CD1" w:rsidP="00564CD1">
      <w:pPr>
        <w:pStyle w:val="BodyText"/>
      </w:pPr>
      <w:r>
        <w:t xml:space="preserve">Please direct any questions to WRRA Legislative and Regulatory Policy Analyst, India Brine, at </w:t>
      </w:r>
      <w:hyperlink r:id="rId13" w:history="1">
        <w:r w:rsidRPr="00E60874">
          <w:rPr>
            <w:rStyle w:val="Hyperlink"/>
          </w:rPr>
          <w:t>india@wrra.org</w:t>
        </w:r>
      </w:hyperlink>
      <w:r>
        <w:t xml:space="preserve"> or to me directly at </w:t>
      </w:r>
      <w:hyperlink r:id="rId14" w:history="1">
        <w:r w:rsidRPr="00E60874">
          <w:rPr>
            <w:rStyle w:val="Hyperlink"/>
          </w:rPr>
          <w:t>brad@wrra.org</w:t>
        </w:r>
      </w:hyperlink>
      <w:r>
        <w:t xml:space="preserve">. </w:t>
      </w:r>
    </w:p>
    <w:p w14:paraId="5893DC62" w14:textId="77777777" w:rsidR="00564CD1" w:rsidRDefault="00564CD1" w:rsidP="00564CD1">
      <w:pPr>
        <w:pStyle w:val="BodyText"/>
      </w:pPr>
    </w:p>
    <w:p w14:paraId="3BE80E9C" w14:textId="1B2FBE70" w:rsidR="00564CD1" w:rsidRDefault="00564CD1" w:rsidP="00564CD1">
      <w:pPr>
        <w:pStyle w:val="BodyText"/>
      </w:pPr>
      <w:r>
        <w:t>Thank you for your consideration,</w:t>
      </w:r>
    </w:p>
    <w:p w14:paraId="78B0B700" w14:textId="77777777" w:rsidR="00564CD1" w:rsidRDefault="00564CD1" w:rsidP="00564CD1">
      <w:pPr>
        <w:pStyle w:val="BodyText"/>
      </w:pPr>
    </w:p>
    <w:p w14:paraId="602DF948" w14:textId="01EB0C5B" w:rsidR="00564CD1" w:rsidRDefault="0081014C" w:rsidP="00564CD1">
      <w:pPr>
        <w:pStyle w:val="BodyText"/>
      </w:pPr>
      <w:r w:rsidRPr="00B44C84">
        <w:rPr>
          <w:noProof/>
        </w:rPr>
        <w:drawing>
          <wp:inline distT="0" distB="0" distL="0" distR="0" wp14:anchorId="3145AD37" wp14:editId="5912ECA0">
            <wp:extent cx="1685925" cy="1333642"/>
            <wp:effectExtent l="0" t="0" r="0" b="0"/>
            <wp:docPr id="1625000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000807" name=""/>
                    <pic:cNvPicPr/>
                  </pic:nvPicPr>
                  <pic:blipFill>
                    <a:blip r:embed="rId15"/>
                    <a:stretch>
                      <a:fillRect/>
                    </a:stretch>
                  </pic:blipFill>
                  <pic:spPr>
                    <a:xfrm>
                      <a:off x="0" y="0"/>
                      <a:ext cx="1688915" cy="1336007"/>
                    </a:xfrm>
                    <a:prstGeom prst="rect">
                      <a:avLst/>
                    </a:prstGeom>
                  </pic:spPr>
                </pic:pic>
              </a:graphicData>
            </a:graphic>
          </wp:inline>
        </w:drawing>
      </w:r>
    </w:p>
    <w:p w14:paraId="79633BD2" w14:textId="41483351" w:rsidR="007A1060" w:rsidRPr="007A1060" w:rsidRDefault="007A1060" w:rsidP="007A1060">
      <w:pPr>
        <w:rPr>
          <w:sz w:val="24"/>
          <w:szCs w:val="24"/>
        </w:rPr>
      </w:pPr>
    </w:p>
    <w:sectPr w:rsidR="007A1060" w:rsidRPr="007A1060" w:rsidSect="00F3713F">
      <w:headerReference w:type="default" r:id="rId16"/>
      <w:footerReference w:type="default" r:id="rId17"/>
      <w:pgSz w:w="12240" w:h="15840"/>
      <w:pgMar w:top="1360" w:right="1080" w:bottom="28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1F6A5" w14:textId="77777777" w:rsidR="00651F16" w:rsidRDefault="00651F16" w:rsidP="00564CD1">
      <w:r>
        <w:separator/>
      </w:r>
    </w:p>
  </w:endnote>
  <w:endnote w:type="continuationSeparator" w:id="0">
    <w:p w14:paraId="6C2FB27C" w14:textId="77777777" w:rsidR="00651F16" w:rsidRDefault="00651F16" w:rsidP="00564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083FA" w14:textId="77777777" w:rsidR="0018577A" w:rsidRDefault="0018577A" w:rsidP="003D6C71">
    <w:pPr>
      <w:jc w:val="center"/>
      <w:rPr>
        <w:rFonts w:ascii="Arial" w:eastAsia="Arial Unicode MS" w:hAnsi="Arial" w:cs="Arial"/>
        <w:color w:val="002A7E"/>
      </w:rPr>
    </w:pPr>
  </w:p>
  <w:p w14:paraId="7CFED342" w14:textId="2DCF5A86" w:rsidR="003D6C71" w:rsidRPr="00D03AE8" w:rsidRDefault="003D6C71" w:rsidP="0018577A">
    <w:pPr>
      <w:jc w:val="center"/>
      <w:rPr>
        <w:rFonts w:ascii="Arial" w:eastAsia="Arial Unicode MS" w:hAnsi="Arial" w:cs="Arial"/>
        <w:color w:val="002A7E"/>
      </w:rPr>
    </w:pPr>
    <w:r>
      <w:rPr>
        <w:rFonts w:ascii="Arial" w:eastAsia="Arial Unicode MS" w:hAnsi="Arial" w:cs="Arial"/>
        <w:color w:val="002A7E"/>
      </w:rPr>
      <w:t>105 8</w:t>
    </w:r>
    <w:r w:rsidRPr="00EC06DF">
      <w:rPr>
        <w:rFonts w:ascii="Arial" w:eastAsia="Arial Unicode MS" w:hAnsi="Arial" w:cs="Arial"/>
        <w:color w:val="002A7E"/>
        <w:vertAlign w:val="superscript"/>
      </w:rPr>
      <w:t>th</w:t>
    </w:r>
    <w:r>
      <w:rPr>
        <w:rFonts w:ascii="Arial" w:eastAsia="Arial Unicode MS" w:hAnsi="Arial" w:cs="Arial"/>
        <w:color w:val="002A7E"/>
      </w:rPr>
      <w:t xml:space="preserve"> Ave SE, Suite 102</w:t>
    </w:r>
    <w:r w:rsidRPr="00D03AE8">
      <w:rPr>
        <w:rFonts w:ascii="Arial" w:eastAsia="Arial Unicode MS" w:hAnsi="Arial" w:cs="Arial"/>
        <w:color w:val="002A7E"/>
      </w:rPr>
      <w:t xml:space="preserve"> • </w:t>
    </w:r>
    <w:r>
      <w:rPr>
        <w:rFonts w:ascii="Arial" w:eastAsia="Arial Unicode MS" w:hAnsi="Arial" w:cs="Arial"/>
        <w:color w:val="002A7E"/>
      </w:rPr>
      <w:t>Olympia</w:t>
    </w:r>
    <w:r w:rsidRPr="00D03AE8">
      <w:rPr>
        <w:rFonts w:ascii="Arial" w:eastAsia="Arial Unicode MS" w:hAnsi="Arial" w:cs="Arial"/>
        <w:color w:val="002A7E"/>
      </w:rPr>
      <w:t>, WA 9850</w:t>
    </w:r>
    <w:r>
      <w:rPr>
        <w:rFonts w:ascii="Arial" w:eastAsia="Arial Unicode MS" w:hAnsi="Arial" w:cs="Arial"/>
        <w:color w:val="002A7E"/>
      </w:rPr>
      <w:t>1</w:t>
    </w:r>
    <w:r w:rsidRPr="00D03AE8">
      <w:rPr>
        <w:rFonts w:ascii="Arial" w:eastAsia="Arial Unicode MS" w:hAnsi="Arial" w:cs="Arial"/>
        <w:color w:val="002A7E"/>
      </w:rPr>
      <w:t xml:space="preserve"> • Phone: (360) 943-8859</w:t>
    </w:r>
  </w:p>
  <w:p w14:paraId="57EF33C3" w14:textId="452AC4D5" w:rsidR="003D6C71" w:rsidRDefault="003D6C71" w:rsidP="0018577A">
    <w:pPr>
      <w:pStyle w:val="Footer"/>
      <w:jc w:val="center"/>
    </w:pPr>
    <w:r w:rsidRPr="00D03AE8">
      <w:rPr>
        <w:rFonts w:ascii="Arial" w:eastAsia="Arial Unicode MS" w:hAnsi="Arial" w:cs="Arial"/>
        <w:color w:val="002A7E"/>
      </w:rPr>
      <w:t xml:space="preserve">Web: </w:t>
    </w:r>
    <w:hyperlink r:id="rId1" w:history="1">
      <w:r w:rsidRPr="00D03AE8">
        <w:rPr>
          <w:rStyle w:val="Hyperlink"/>
          <w:rFonts w:ascii="Arial" w:eastAsia="Arial Unicode MS" w:hAnsi="Arial"/>
        </w:rPr>
        <w:t>www.wrra.org</w:t>
      </w:r>
    </w:hyperlink>
    <w:r w:rsidRPr="00D03AE8">
      <w:rPr>
        <w:rFonts w:ascii="Arial" w:eastAsia="Arial Unicode MS" w:hAnsi="Arial" w:cs="Arial"/>
        <w:color w:val="002A7E"/>
      </w:rPr>
      <w:t xml:space="preserve"> • E-mail </w:t>
    </w:r>
    <w:hyperlink r:id="rId2" w:history="1">
      <w:r w:rsidRPr="002E435B">
        <w:rPr>
          <w:rStyle w:val="Hyperlink"/>
          <w:rFonts w:ascii="Arial" w:eastAsia="Arial Unicode MS" w:hAnsi="Arial"/>
        </w:rPr>
        <w:t>office@wrra.org</w:t>
      </w:r>
    </w:hyperlink>
  </w:p>
  <w:p w14:paraId="30219B8B" w14:textId="77777777" w:rsidR="00564CD1" w:rsidRDefault="00564CD1" w:rsidP="0018577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98C32" w14:textId="77777777" w:rsidR="00651F16" w:rsidRDefault="00651F16" w:rsidP="00564CD1">
      <w:r>
        <w:separator/>
      </w:r>
    </w:p>
  </w:footnote>
  <w:footnote w:type="continuationSeparator" w:id="0">
    <w:p w14:paraId="60F3A83F" w14:textId="77777777" w:rsidR="00651F16" w:rsidRDefault="00651F16" w:rsidP="00564C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02D3E" w14:textId="7835F5F9" w:rsidR="00564CD1" w:rsidRDefault="00564C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83DDB"/>
    <w:multiLevelType w:val="hybridMultilevel"/>
    <w:tmpl w:val="96407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B03DEE"/>
    <w:multiLevelType w:val="hybridMultilevel"/>
    <w:tmpl w:val="23A02D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8982A24"/>
    <w:multiLevelType w:val="hybridMultilevel"/>
    <w:tmpl w:val="C64E2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C57856"/>
    <w:multiLevelType w:val="hybridMultilevel"/>
    <w:tmpl w:val="E9FE7C1C"/>
    <w:lvl w:ilvl="0" w:tplc="D744FC50">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1" w:tplc="209E93E2">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2" w:tplc="D5A4AA80">
      <w:numFmt w:val="bullet"/>
      <w:lvlText w:val="•"/>
      <w:lvlJc w:val="left"/>
      <w:pPr>
        <w:ind w:left="2440" w:hanging="360"/>
      </w:pPr>
      <w:rPr>
        <w:rFonts w:hint="default"/>
        <w:lang w:val="en-US" w:eastAsia="en-US" w:bidi="ar-SA"/>
      </w:rPr>
    </w:lvl>
    <w:lvl w:ilvl="3" w:tplc="5F6C147E">
      <w:numFmt w:val="bullet"/>
      <w:lvlText w:val="•"/>
      <w:lvlJc w:val="left"/>
      <w:pPr>
        <w:ind w:left="3440" w:hanging="360"/>
      </w:pPr>
      <w:rPr>
        <w:rFonts w:hint="default"/>
        <w:lang w:val="en-US" w:eastAsia="en-US" w:bidi="ar-SA"/>
      </w:rPr>
    </w:lvl>
    <w:lvl w:ilvl="4" w:tplc="6BA40CFE">
      <w:numFmt w:val="bullet"/>
      <w:lvlText w:val="•"/>
      <w:lvlJc w:val="left"/>
      <w:pPr>
        <w:ind w:left="4440" w:hanging="360"/>
      </w:pPr>
      <w:rPr>
        <w:rFonts w:hint="default"/>
        <w:lang w:val="en-US" w:eastAsia="en-US" w:bidi="ar-SA"/>
      </w:rPr>
    </w:lvl>
    <w:lvl w:ilvl="5" w:tplc="DF9046BC">
      <w:numFmt w:val="bullet"/>
      <w:lvlText w:val="•"/>
      <w:lvlJc w:val="left"/>
      <w:pPr>
        <w:ind w:left="5440" w:hanging="360"/>
      </w:pPr>
      <w:rPr>
        <w:rFonts w:hint="default"/>
        <w:lang w:val="en-US" w:eastAsia="en-US" w:bidi="ar-SA"/>
      </w:rPr>
    </w:lvl>
    <w:lvl w:ilvl="6" w:tplc="27BA6A42">
      <w:numFmt w:val="bullet"/>
      <w:lvlText w:val="•"/>
      <w:lvlJc w:val="left"/>
      <w:pPr>
        <w:ind w:left="6440" w:hanging="360"/>
      </w:pPr>
      <w:rPr>
        <w:rFonts w:hint="default"/>
        <w:lang w:val="en-US" w:eastAsia="en-US" w:bidi="ar-SA"/>
      </w:rPr>
    </w:lvl>
    <w:lvl w:ilvl="7" w:tplc="C2908962">
      <w:numFmt w:val="bullet"/>
      <w:lvlText w:val="•"/>
      <w:lvlJc w:val="left"/>
      <w:pPr>
        <w:ind w:left="7440" w:hanging="360"/>
      </w:pPr>
      <w:rPr>
        <w:rFonts w:hint="default"/>
        <w:lang w:val="en-US" w:eastAsia="en-US" w:bidi="ar-SA"/>
      </w:rPr>
    </w:lvl>
    <w:lvl w:ilvl="8" w:tplc="D58A8D28">
      <w:numFmt w:val="bullet"/>
      <w:lvlText w:val="•"/>
      <w:lvlJc w:val="left"/>
      <w:pPr>
        <w:ind w:left="8440" w:hanging="360"/>
      </w:pPr>
      <w:rPr>
        <w:rFonts w:hint="default"/>
        <w:lang w:val="en-US" w:eastAsia="en-US" w:bidi="ar-SA"/>
      </w:rPr>
    </w:lvl>
  </w:abstractNum>
  <w:abstractNum w:abstractNumId="4" w15:restartNumberingAfterBreak="0">
    <w:nsid w:val="5D2E7965"/>
    <w:multiLevelType w:val="hybridMultilevel"/>
    <w:tmpl w:val="CA1C4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5F7C54"/>
    <w:multiLevelType w:val="hybridMultilevel"/>
    <w:tmpl w:val="09C648E2"/>
    <w:lvl w:ilvl="0" w:tplc="594AC61A">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1" w:tplc="4684B614">
      <w:numFmt w:val="bullet"/>
      <w:lvlText w:val="•"/>
      <w:lvlJc w:val="left"/>
      <w:pPr>
        <w:ind w:left="2016" w:hanging="360"/>
      </w:pPr>
      <w:rPr>
        <w:rFonts w:hint="default"/>
        <w:lang w:val="en-US" w:eastAsia="en-US" w:bidi="ar-SA"/>
      </w:rPr>
    </w:lvl>
    <w:lvl w:ilvl="2" w:tplc="98CE9948">
      <w:numFmt w:val="bullet"/>
      <w:lvlText w:val="•"/>
      <w:lvlJc w:val="left"/>
      <w:pPr>
        <w:ind w:left="2952" w:hanging="360"/>
      </w:pPr>
      <w:rPr>
        <w:rFonts w:hint="default"/>
        <w:lang w:val="en-US" w:eastAsia="en-US" w:bidi="ar-SA"/>
      </w:rPr>
    </w:lvl>
    <w:lvl w:ilvl="3" w:tplc="C5200E38">
      <w:numFmt w:val="bullet"/>
      <w:lvlText w:val="•"/>
      <w:lvlJc w:val="left"/>
      <w:pPr>
        <w:ind w:left="3888" w:hanging="360"/>
      </w:pPr>
      <w:rPr>
        <w:rFonts w:hint="default"/>
        <w:lang w:val="en-US" w:eastAsia="en-US" w:bidi="ar-SA"/>
      </w:rPr>
    </w:lvl>
    <w:lvl w:ilvl="4" w:tplc="ECC62046">
      <w:numFmt w:val="bullet"/>
      <w:lvlText w:val="•"/>
      <w:lvlJc w:val="left"/>
      <w:pPr>
        <w:ind w:left="4824" w:hanging="360"/>
      </w:pPr>
      <w:rPr>
        <w:rFonts w:hint="default"/>
        <w:lang w:val="en-US" w:eastAsia="en-US" w:bidi="ar-SA"/>
      </w:rPr>
    </w:lvl>
    <w:lvl w:ilvl="5" w:tplc="73EA4CC4">
      <w:numFmt w:val="bullet"/>
      <w:lvlText w:val="•"/>
      <w:lvlJc w:val="left"/>
      <w:pPr>
        <w:ind w:left="5760" w:hanging="360"/>
      </w:pPr>
      <w:rPr>
        <w:rFonts w:hint="default"/>
        <w:lang w:val="en-US" w:eastAsia="en-US" w:bidi="ar-SA"/>
      </w:rPr>
    </w:lvl>
    <w:lvl w:ilvl="6" w:tplc="540A5E18">
      <w:numFmt w:val="bullet"/>
      <w:lvlText w:val="•"/>
      <w:lvlJc w:val="left"/>
      <w:pPr>
        <w:ind w:left="6696" w:hanging="360"/>
      </w:pPr>
      <w:rPr>
        <w:rFonts w:hint="default"/>
        <w:lang w:val="en-US" w:eastAsia="en-US" w:bidi="ar-SA"/>
      </w:rPr>
    </w:lvl>
    <w:lvl w:ilvl="7" w:tplc="563A4CA2">
      <w:numFmt w:val="bullet"/>
      <w:lvlText w:val="•"/>
      <w:lvlJc w:val="left"/>
      <w:pPr>
        <w:ind w:left="7632" w:hanging="360"/>
      </w:pPr>
      <w:rPr>
        <w:rFonts w:hint="default"/>
        <w:lang w:val="en-US" w:eastAsia="en-US" w:bidi="ar-SA"/>
      </w:rPr>
    </w:lvl>
    <w:lvl w:ilvl="8" w:tplc="66DC6112">
      <w:numFmt w:val="bullet"/>
      <w:lvlText w:val="•"/>
      <w:lvlJc w:val="left"/>
      <w:pPr>
        <w:ind w:left="8568" w:hanging="360"/>
      </w:pPr>
      <w:rPr>
        <w:rFonts w:hint="default"/>
        <w:lang w:val="en-US" w:eastAsia="en-US" w:bidi="ar-SA"/>
      </w:rPr>
    </w:lvl>
  </w:abstractNum>
  <w:num w:numId="1" w16cid:durableId="58871601">
    <w:abstractNumId w:val="3"/>
  </w:num>
  <w:num w:numId="2" w16cid:durableId="4065925">
    <w:abstractNumId w:val="5"/>
  </w:num>
  <w:num w:numId="3" w16cid:durableId="1546676299">
    <w:abstractNumId w:val="4"/>
  </w:num>
  <w:num w:numId="4" w16cid:durableId="551818124">
    <w:abstractNumId w:val="0"/>
  </w:num>
  <w:num w:numId="5" w16cid:durableId="2113284429">
    <w:abstractNumId w:val="1"/>
  </w:num>
  <w:num w:numId="6" w16cid:durableId="20881092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13F"/>
    <w:rsid w:val="00081994"/>
    <w:rsid w:val="00091561"/>
    <w:rsid w:val="00097603"/>
    <w:rsid w:val="000B7725"/>
    <w:rsid w:val="000D2405"/>
    <w:rsid w:val="000E5408"/>
    <w:rsid w:val="00120C52"/>
    <w:rsid w:val="0018577A"/>
    <w:rsid w:val="00193827"/>
    <w:rsid w:val="001B11D9"/>
    <w:rsid w:val="001B1732"/>
    <w:rsid w:val="001B47D5"/>
    <w:rsid w:val="001C021F"/>
    <w:rsid w:val="001F27F2"/>
    <w:rsid w:val="001F441C"/>
    <w:rsid w:val="0024337B"/>
    <w:rsid w:val="00253FC9"/>
    <w:rsid w:val="002955DA"/>
    <w:rsid w:val="002A5193"/>
    <w:rsid w:val="002F7075"/>
    <w:rsid w:val="0031240A"/>
    <w:rsid w:val="00316855"/>
    <w:rsid w:val="003214FE"/>
    <w:rsid w:val="00366020"/>
    <w:rsid w:val="00374BDB"/>
    <w:rsid w:val="00386B21"/>
    <w:rsid w:val="003C1CCE"/>
    <w:rsid w:val="003D6C71"/>
    <w:rsid w:val="003F1CAE"/>
    <w:rsid w:val="0040161B"/>
    <w:rsid w:val="004033ED"/>
    <w:rsid w:val="00411E64"/>
    <w:rsid w:val="00416162"/>
    <w:rsid w:val="0043243E"/>
    <w:rsid w:val="00443F56"/>
    <w:rsid w:val="00447A5A"/>
    <w:rsid w:val="00465F3B"/>
    <w:rsid w:val="00494462"/>
    <w:rsid w:val="004B04F1"/>
    <w:rsid w:val="004B7525"/>
    <w:rsid w:val="004C10E6"/>
    <w:rsid w:val="004D0E6E"/>
    <w:rsid w:val="004D7EE3"/>
    <w:rsid w:val="004F0ADF"/>
    <w:rsid w:val="00535E89"/>
    <w:rsid w:val="005479BC"/>
    <w:rsid w:val="00553A80"/>
    <w:rsid w:val="00564CD1"/>
    <w:rsid w:val="006302A8"/>
    <w:rsid w:val="00651F16"/>
    <w:rsid w:val="0068152C"/>
    <w:rsid w:val="00693F7E"/>
    <w:rsid w:val="006B4A90"/>
    <w:rsid w:val="006D4A0F"/>
    <w:rsid w:val="006D7F70"/>
    <w:rsid w:val="006F4601"/>
    <w:rsid w:val="0071733D"/>
    <w:rsid w:val="007371A9"/>
    <w:rsid w:val="00737ADF"/>
    <w:rsid w:val="007804D6"/>
    <w:rsid w:val="00790040"/>
    <w:rsid w:val="007A1060"/>
    <w:rsid w:val="007C463A"/>
    <w:rsid w:val="0081014C"/>
    <w:rsid w:val="008502C8"/>
    <w:rsid w:val="008518C0"/>
    <w:rsid w:val="008A05BA"/>
    <w:rsid w:val="008A4092"/>
    <w:rsid w:val="008D5A97"/>
    <w:rsid w:val="008E67D4"/>
    <w:rsid w:val="008F7F55"/>
    <w:rsid w:val="00913291"/>
    <w:rsid w:val="00920CCE"/>
    <w:rsid w:val="009B079D"/>
    <w:rsid w:val="009F39D4"/>
    <w:rsid w:val="00A04DA3"/>
    <w:rsid w:val="00A20DC3"/>
    <w:rsid w:val="00A535E9"/>
    <w:rsid w:val="00A6684F"/>
    <w:rsid w:val="00AE370F"/>
    <w:rsid w:val="00B1049B"/>
    <w:rsid w:val="00B1661D"/>
    <w:rsid w:val="00B21B34"/>
    <w:rsid w:val="00B279FB"/>
    <w:rsid w:val="00B629E6"/>
    <w:rsid w:val="00B82F4A"/>
    <w:rsid w:val="00BD0C39"/>
    <w:rsid w:val="00C00591"/>
    <w:rsid w:val="00C100D4"/>
    <w:rsid w:val="00C21186"/>
    <w:rsid w:val="00C23C6E"/>
    <w:rsid w:val="00C27E59"/>
    <w:rsid w:val="00C341FF"/>
    <w:rsid w:val="00C34360"/>
    <w:rsid w:val="00C45D3B"/>
    <w:rsid w:val="00C47938"/>
    <w:rsid w:val="00C63DAF"/>
    <w:rsid w:val="00C6543C"/>
    <w:rsid w:val="00CA29F7"/>
    <w:rsid w:val="00CB5426"/>
    <w:rsid w:val="00CC0C44"/>
    <w:rsid w:val="00CD661A"/>
    <w:rsid w:val="00CF485E"/>
    <w:rsid w:val="00DD31E9"/>
    <w:rsid w:val="00E174BD"/>
    <w:rsid w:val="00E4080B"/>
    <w:rsid w:val="00E6172C"/>
    <w:rsid w:val="00E7272E"/>
    <w:rsid w:val="00EA00C4"/>
    <w:rsid w:val="00F12454"/>
    <w:rsid w:val="00F32A8A"/>
    <w:rsid w:val="00F3713F"/>
    <w:rsid w:val="00F579B5"/>
    <w:rsid w:val="00F807C1"/>
    <w:rsid w:val="00F82A9F"/>
    <w:rsid w:val="00F85B3F"/>
    <w:rsid w:val="00FC1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830BD"/>
  <w15:chartTrackingRefBased/>
  <w15:docId w15:val="{02AB0246-AD9E-4D9C-A21D-573534797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13F"/>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F371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71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71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71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71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713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713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713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713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71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71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71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71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71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713F"/>
    <w:rPr>
      <w:rFonts w:ascii="Times New Roman" w:eastAsiaTheme="majorEastAsia" w:hAnsi="Times New Roman" w:cstheme="majorBidi"/>
      <w:i/>
      <w:iCs/>
      <w:color w:val="595959" w:themeColor="text1" w:themeTint="A6"/>
      <w:kern w:val="0"/>
      <w:sz w:val="22"/>
      <w:szCs w:val="22"/>
      <w14:ligatures w14:val="none"/>
    </w:rPr>
  </w:style>
  <w:style w:type="character" w:customStyle="1" w:styleId="Heading7Char">
    <w:name w:val="Heading 7 Char"/>
    <w:basedOn w:val="DefaultParagraphFont"/>
    <w:link w:val="Heading7"/>
    <w:uiPriority w:val="9"/>
    <w:semiHidden/>
    <w:rsid w:val="00F3713F"/>
    <w:rPr>
      <w:rFonts w:ascii="Times New Roman" w:eastAsiaTheme="majorEastAsia" w:hAnsi="Times New Roman" w:cstheme="majorBidi"/>
      <w:color w:val="595959" w:themeColor="text1" w:themeTint="A6"/>
      <w:kern w:val="0"/>
      <w:sz w:val="22"/>
      <w:szCs w:val="22"/>
      <w14:ligatures w14:val="none"/>
    </w:rPr>
  </w:style>
  <w:style w:type="character" w:customStyle="1" w:styleId="Heading8Char">
    <w:name w:val="Heading 8 Char"/>
    <w:basedOn w:val="DefaultParagraphFont"/>
    <w:link w:val="Heading8"/>
    <w:uiPriority w:val="9"/>
    <w:semiHidden/>
    <w:rsid w:val="00F3713F"/>
    <w:rPr>
      <w:rFonts w:ascii="Times New Roman" w:eastAsiaTheme="majorEastAsia" w:hAnsi="Times New Roman" w:cstheme="majorBidi"/>
      <w:i/>
      <w:iCs/>
      <w:color w:val="272727" w:themeColor="text1" w:themeTint="D8"/>
      <w:kern w:val="0"/>
      <w:sz w:val="22"/>
      <w:szCs w:val="22"/>
      <w14:ligatures w14:val="none"/>
    </w:rPr>
  </w:style>
  <w:style w:type="character" w:customStyle="1" w:styleId="Heading9Char">
    <w:name w:val="Heading 9 Char"/>
    <w:basedOn w:val="DefaultParagraphFont"/>
    <w:link w:val="Heading9"/>
    <w:uiPriority w:val="9"/>
    <w:semiHidden/>
    <w:rsid w:val="00F3713F"/>
    <w:rPr>
      <w:rFonts w:ascii="Times New Roman" w:eastAsiaTheme="majorEastAsia" w:hAnsi="Times New Roman" w:cstheme="majorBidi"/>
      <w:color w:val="272727" w:themeColor="text1" w:themeTint="D8"/>
      <w:kern w:val="0"/>
      <w:sz w:val="22"/>
      <w:szCs w:val="22"/>
      <w14:ligatures w14:val="none"/>
    </w:rPr>
  </w:style>
  <w:style w:type="paragraph" w:styleId="Title">
    <w:name w:val="Title"/>
    <w:basedOn w:val="Normal"/>
    <w:next w:val="Normal"/>
    <w:link w:val="TitleChar"/>
    <w:uiPriority w:val="10"/>
    <w:qFormat/>
    <w:rsid w:val="00F3713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713F"/>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F371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71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713F"/>
    <w:pPr>
      <w:spacing w:before="160"/>
      <w:jc w:val="center"/>
    </w:pPr>
    <w:rPr>
      <w:i/>
      <w:iCs/>
      <w:color w:val="404040" w:themeColor="text1" w:themeTint="BF"/>
    </w:rPr>
  </w:style>
  <w:style w:type="character" w:customStyle="1" w:styleId="QuoteChar">
    <w:name w:val="Quote Char"/>
    <w:basedOn w:val="DefaultParagraphFont"/>
    <w:link w:val="Quote"/>
    <w:uiPriority w:val="29"/>
    <w:rsid w:val="00F3713F"/>
    <w:rPr>
      <w:i/>
      <w:iCs/>
      <w:color w:val="404040" w:themeColor="text1" w:themeTint="BF"/>
    </w:rPr>
  </w:style>
  <w:style w:type="paragraph" w:styleId="ListParagraph">
    <w:name w:val="List Paragraph"/>
    <w:basedOn w:val="Normal"/>
    <w:uiPriority w:val="1"/>
    <w:qFormat/>
    <w:rsid w:val="00F3713F"/>
    <w:pPr>
      <w:ind w:left="720"/>
      <w:contextualSpacing/>
    </w:pPr>
  </w:style>
  <w:style w:type="character" w:styleId="IntenseEmphasis">
    <w:name w:val="Intense Emphasis"/>
    <w:basedOn w:val="DefaultParagraphFont"/>
    <w:uiPriority w:val="21"/>
    <w:qFormat/>
    <w:rsid w:val="00F3713F"/>
    <w:rPr>
      <w:i/>
      <w:iCs/>
      <w:color w:val="0F4761" w:themeColor="accent1" w:themeShade="BF"/>
    </w:rPr>
  </w:style>
  <w:style w:type="paragraph" w:styleId="IntenseQuote">
    <w:name w:val="Intense Quote"/>
    <w:basedOn w:val="Normal"/>
    <w:next w:val="Normal"/>
    <w:link w:val="IntenseQuoteChar"/>
    <w:uiPriority w:val="30"/>
    <w:qFormat/>
    <w:rsid w:val="00F371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713F"/>
    <w:rPr>
      <w:i/>
      <w:iCs/>
      <w:color w:val="0F4761" w:themeColor="accent1" w:themeShade="BF"/>
    </w:rPr>
  </w:style>
  <w:style w:type="character" w:styleId="IntenseReference">
    <w:name w:val="Intense Reference"/>
    <w:basedOn w:val="DefaultParagraphFont"/>
    <w:uiPriority w:val="32"/>
    <w:qFormat/>
    <w:rsid w:val="00F3713F"/>
    <w:rPr>
      <w:b/>
      <w:bCs/>
      <w:smallCaps/>
      <w:color w:val="0F4761" w:themeColor="accent1" w:themeShade="BF"/>
      <w:spacing w:val="5"/>
    </w:rPr>
  </w:style>
  <w:style w:type="paragraph" w:styleId="BodyText">
    <w:name w:val="Body Text"/>
    <w:basedOn w:val="Normal"/>
    <w:link w:val="BodyTextChar"/>
    <w:uiPriority w:val="1"/>
    <w:qFormat/>
    <w:rsid w:val="00F3713F"/>
    <w:rPr>
      <w:sz w:val="24"/>
      <w:szCs w:val="24"/>
    </w:rPr>
  </w:style>
  <w:style w:type="character" w:customStyle="1" w:styleId="BodyTextChar">
    <w:name w:val="Body Text Char"/>
    <w:basedOn w:val="DefaultParagraphFont"/>
    <w:link w:val="BodyText"/>
    <w:uiPriority w:val="1"/>
    <w:rsid w:val="00F3713F"/>
    <w:rPr>
      <w:rFonts w:ascii="Times New Roman" w:eastAsia="Times New Roman" w:hAnsi="Times New Roman" w:cs="Times New Roman"/>
      <w:kern w:val="0"/>
      <w14:ligatures w14:val="none"/>
    </w:rPr>
  </w:style>
  <w:style w:type="paragraph" w:customStyle="1" w:styleId="TableParagraph">
    <w:name w:val="Table Paragraph"/>
    <w:basedOn w:val="Normal"/>
    <w:uiPriority w:val="1"/>
    <w:qFormat/>
    <w:rsid w:val="00F3713F"/>
  </w:style>
  <w:style w:type="paragraph" w:styleId="Revision">
    <w:name w:val="Revision"/>
    <w:hidden/>
    <w:uiPriority w:val="99"/>
    <w:semiHidden/>
    <w:rsid w:val="00F3713F"/>
    <w:pPr>
      <w:spacing w:after="0" w:line="240" w:lineRule="auto"/>
    </w:pPr>
    <w:rPr>
      <w:rFonts w:ascii="Times New Roman" w:eastAsia="Times New Roman" w:hAnsi="Times New Roman" w:cs="Times New Roman"/>
      <w:kern w:val="0"/>
      <w:sz w:val="22"/>
      <w:szCs w:val="22"/>
      <w14:ligatures w14:val="none"/>
    </w:rPr>
  </w:style>
  <w:style w:type="character" w:styleId="Hyperlink">
    <w:name w:val="Hyperlink"/>
    <w:basedOn w:val="DefaultParagraphFont"/>
    <w:uiPriority w:val="99"/>
    <w:unhideWhenUsed/>
    <w:rsid w:val="00564CD1"/>
    <w:rPr>
      <w:color w:val="467886" w:themeColor="hyperlink"/>
      <w:u w:val="single"/>
    </w:rPr>
  </w:style>
  <w:style w:type="character" w:styleId="UnresolvedMention">
    <w:name w:val="Unresolved Mention"/>
    <w:basedOn w:val="DefaultParagraphFont"/>
    <w:uiPriority w:val="99"/>
    <w:semiHidden/>
    <w:unhideWhenUsed/>
    <w:rsid w:val="00564CD1"/>
    <w:rPr>
      <w:color w:val="605E5C"/>
      <w:shd w:val="clear" w:color="auto" w:fill="E1DFDD"/>
    </w:rPr>
  </w:style>
  <w:style w:type="paragraph" w:styleId="Header">
    <w:name w:val="header"/>
    <w:basedOn w:val="Normal"/>
    <w:link w:val="HeaderChar"/>
    <w:uiPriority w:val="99"/>
    <w:unhideWhenUsed/>
    <w:rsid w:val="00564CD1"/>
    <w:pPr>
      <w:tabs>
        <w:tab w:val="center" w:pos="4680"/>
        <w:tab w:val="right" w:pos="9360"/>
      </w:tabs>
    </w:pPr>
  </w:style>
  <w:style w:type="character" w:customStyle="1" w:styleId="HeaderChar">
    <w:name w:val="Header Char"/>
    <w:basedOn w:val="DefaultParagraphFont"/>
    <w:link w:val="Header"/>
    <w:uiPriority w:val="99"/>
    <w:rsid w:val="00564CD1"/>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564CD1"/>
    <w:pPr>
      <w:tabs>
        <w:tab w:val="center" w:pos="4680"/>
        <w:tab w:val="right" w:pos="9360"/>
      </w:tabs>
    </w:pPr>
  </w:style>
  <w:style w:type="character" w:customStyle="1" w:styleId="FooterChar">
    <w:name w:val="Footer Char"/>
    <w:basedOn w:val="DefaultParagraphFont"/>
    <w:link w:val="Footer"/>
    <w:uiPriority w:val="99"/>
    <w:rsid w:val="00564CD1"/>
    <w:rPr>
      <w:rFonts w:ascii="Times New Roman" w:eastAsia="Times New Roman" w:hAnsi="Times New Roman" w:cs="Times New Roman"/>
      <w:kern w:val="0"/>
      <w:sz w:val="22"/>
      <w:szCs w:val="22"/>
      <w14:ligatures w14:val="none"/>
    </w:rPr>
  </w:style>
  <w:style w:type="character" w:styleId="CommentReference">
    <w:name w:val="annotation reference"/>
    <w:basedOn w:val="DefaultParagraphFont"/>
    <w:uiPriority w:val="99"/>
    <w:semiHidden/>
    <w:unhideWhenUsed/>
    <w:rsid w:val="00B21B34"/>
    <w:rPr>
      <w:sz w:val="16"/>
      <w:szCs w:val="16"/>
    </w:rPr>
  </w:style>
  <w:style w:type="paragraph" w:styleId="CommentText">
    <w:name w:val="annotation text"/>
    <w:basedOn w:val="Normal"/>
    <w:link w:val="CommentTextChar"/>
    <w:uiPriority w:val="99"/>
    <w:unhideWhenUsed/>
    <w:rsid w:val="00B21B34"/>
    <w:rPr>
      <w:sz w:val="20"/>
      <w:szCs w:val="20"/>
    </w:rPr>
  </w:style>
  <w:style w:type="character" w:customStyle="1" w:styleId="CommentTextChar">
    <w:name w:val="Comment Text Char"/>
    <w:basedOn w:val="DefaultParagraphFont"/>
    <w:link w:val="CommentText"/>
    <w:uiPriority w:val="99"/>
    <w:rsid w:val="00B21B34"/>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21B34"/>
    <w:rPr>
      <w:b/>
      <w:bCs/>
    </w:rPr>
  </w:style>
  <w:style w:type="character" w:customStyle="1" w:styleId="CommentSubjectChar">
    <w:name w:val="Comment Subject Char"/>
    <w:basedOn w:val="CommentTextChar"/>
    <w:link w:val="CommentSubject"/>
    <w:uiPriority w:val="99"/>
    <w:semiHidden/>
    <w:rsid w:val="00B21B34"/>
    <w:rPr>
      <w:rFonts w:ascii="Times New Roman" w:eastAsia="Times New Roman" w:hAnsi="Times New Roman" w:cs="Times New Roman"/>
      <w:b/>
      <w:bCs/>
      <w:kern w:val="0"/>
      <w:sz w:val="20"/>
      <w:szCs w:val="20"/>
      <w14:ligatures w14:val="none"/>
    </w:rPr>
  </w:style>
  <w:style w:type="paragraph" w:styleId="NormalWeb">
    <w:name w:val="Normal (Web)"/>
    <w:basedOn w:val="Normal"/>
    <w:uiPriority w:val="99"/>
    <w:semiHidden/>
    <w:unhideWhenUsed/>
    <w:rsid w:val="002F70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dia@wrra.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pps.ecology.wa.gov/publications/documents/2607031.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iocycle.net/washington-state-draft-rules-prioritize-organics-pre-processing-to-manage-contamination/"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brad@wrra.org"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office@wrra.org" TargetMode="External"/><Relationship Id="rId1" Type="http://schemas.openxmlformats.org/officeDocument/2006/relationships/hyperlink" Target="http://www.wrr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55776948E6E14C91EE9E731FADDB69" ma:contentTypeVersion="15" ma:contentTypeDescription="Create a new document." ma:contentTypeScope="" ma:versionID="a1542ecde455a012ff83f1443f55e790">
  <xsd:schema xmlns:xsd="http://www.w3.org/2001/XMLSchema" xmlns:xs="http://www.w3.org/2001/XMLSchema" xmlns:p="http://schemas.microsoft.com/office/2006/metadata/properties" xmlns:ns2="86f326bf-5db1-415a-80da-c6d2a3541e95" xmlns:ns3="1680c0bc-e6ec-45b1-b9cc-db535821e482" targetNamespace="http://schemas.microsoft.com/office/2006/metadata/properties" ma:root="true" ma:fieldsID="91a187e4980b77cd17b5529d08b61999" ns2:_="" ns3:_="">
    <xsd:import namespace="86f326bf-5db1-415a-80da-c6d2a3541e95"/>
    <xsd:import namespace="1680c0bc-e6ec-45b1-b9cc-db535821e4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f326bf-5db1-415a-80da-c6d2a3541e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74f7c67-1953-4fa0-9e83-ab33e0937fd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80c0bc-e6ec-45b1-b9cc-db535821e4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dfc8c3-19b1-49a5-a95a-ffae12d8e13d}" ma:internalName="TaxCatchAll" ma:showField="CatchAllData" ma:web="1680c0bc-e6ec-45b1-b9cc-db535821e48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6f326bf-5db1-415a-80da-c6d2a3541e95">
      <Terms xmlns="http://schemas.microsoft.com/office/infopath/2007/PartnerControls"/>
    </lcf76f155ced4ddcb4097134ff3c332f>
    <TaxCatchAll xmlns="1680c0bc-e6ec-45b1-b9cc-db535821e48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D4FA41-8485-4AF2-ADC1-D552F5489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f326bf-5db1-415a-80da-c6d2a3541e95"/>
    <ds:schemaRef ds:uri="1680c0bc-e6ec-45b1-b9cc-db535821e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EC67ED-A1F5-439A-8BEC-9AEB21CB6F87}">
  <ds:schemaRefs>
    <ds:schemaRef ds:uri="http://schemas.microsoft.com/office/2006/metadata/properties"/>
    <ds:schemaRef ds:uri="http://schemas.microsoft.com/office/infopath/2007/PartnerControls"/>
    <ds:schemaRef ds:uri="86f326bf-5db1-415a-80da-c6d2a3541e95"/>
    <ds:schemaRef ds:uri="1680c0bc-e6ec-45b1-b9cc-db535821e482"/>
  </ds:schemaRefs>
</ds:datastoreItem>
</file>

<file path=customXml/itemProps3.xml><?xml version="1.0" encoding="utf-8"?>
<ds:datastoreItem xmlns:ds="http://schemas.openxmlformats.org/officeDocument/2006/customXml" ds:itemID="{CB70AB0E-C1C2-40F8-969E-C6E68D27A3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10</Pages>
  <Words>5233</Words>
  <Characters>32609</Characters>
  <Application>Microsoft Office Word</Application>
  <DocSecurity>0</DocSecurity>
  <Lines>440</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India Brine</dc:creator>
  <cp:keywords/>
  <dc:description/>
  <cp:lastModifiedBy>India Brine</cp:lastModifiedBy>
  <cp:revision>43</cp:revision>
  <dcterms:created xsi:type="dcterms:W3CDTF">2026-08-03T17:41:00Z</dcterms:created>
  <dcterms:modified xsi:type="dcterms:W3CDTF">2026-08-13T21:31:00Z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0x010100FF55776948E6E14C91EE9E731FADDB69</vt:lpwstr>
  </property>
  <property fmtid="{D5CDD505-2E9C-101B-9397-08002B2CF9AE}" pid="3" name="MediaServiceImageTags">
    <vt:lpwstr/>
  </property>
</Properties>
</file>