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87B19" w14:textId="2ABD40E0" w:rsidR="003B4422" w:rsidRPr="004620F3" w:rsidRDefault="00063C57" w:rsidP="00063C57">
      <w:pPr>
        <w:jc w:val="center"/>
        <w:rPr>
          <w:rFonts w:ascii="Times New Roman" w:hAnsi="Times New Roman" w:cs="Times New Roman"/>
        </w:rPr>
      </w:pPr>
      <w:r w:rsidRPr="004620F3">
        <w:rPr>
          <w:rFonts w:ascii="Times New Roman" w:hAnsi="Times New Roman" w:cs="Times New Roman"/>
        </w:rPr>
        <w:t xml:space="preserve">Comments on Draft </w:t>
      </w:r>
      <w:proofErr w:type="gramStart"/>
      <w:r w:rsidRPr="004620F3">
        <w:rPr>
          <w:rFonts w:ascii="Times New Roman" w:hAnsi="Times New Roman" w:cs="Times New Roman"/>
        </w:rPr>
        <w:t>Rulemaking  for</w:t>
      </w:r>
      <w:proofErr w:type="gramEnd"/>
      <w:r w:rsidRPr="004620F3">
        <w:rPr>
          <w:rFonts w:ascii="Times New Roman" w:hAnsi="Times New Roman" w:cs="Times New Roman"/>
        </w:rPr>
        <w:t xml:space="preserve"> WAC 173-950-010 </w:t>
      </w:r>
      <w:r w:rsidRPr="004620F3">
        <w:rPr>
          <w:rFonts w:ascii="Times New Roman" w:hAnsi="Times New Roman" w:cs="Times New Roman"/>
          <w:i/>
          <w:iCs/>
        </w:rPr>
        <w:t>et seq.</w:t>
      </w:r>
    </w:p>
    <w:p w14:paraId="1CC752C3" w14:textId="56FA34B6" w:rsidR="00063C57" w:rsidRPr="004620F3" w:rsidRDefault="00063C57" w:rsidP="00063C57">
      <w:pPr>
        <w:jc w:val="center"/>
        <w:rPr>
          <w:rFonts w:ascii="Times New Roman" w:hAnsi="Times New Roman" w:cs="Times New Roman"/>
        </w:rPr>
      </w:pPr>
      <w:r w:rsidRPr="004620F3">
        <w:rPr>
          <w:rFonts w:ascii="Times New Roman" w:hAnsi="Times New Roman" w:cs="Times New Roman"/>
        </w:rPr>
        <w:t>Submitted by Methow Recycles and Wastewise</w:t>
      </w:r>
      <w:r w:rsidR="004620F3">
        <w:rPr>
          <w:rFonts w:ascii="Times New Roman" w:hAnsi="Times New Roman" w:cs="Times New Roman"/>
        </w:rPr>
        <w:t xml:space="preserve"> Methow</w:t>
      </w:r>
    </w:p>
    <w:p w14:paraId="5467B58C" w14:textId="4C423014" w:rsidR="00063C57" w:rsidRPr="004620F3" w:rsidRDefault="004620F3" w:rsidP="004620F3">
      <w:pPr>
        <w:rPr>
          <w:rFonts w:ascii="Times New Roman" w:hAnsi="Times New Roman" w:cs="Times New Roman"/>
        </w:rPr>
      </w:pPr>
      <w:r w:rsidRPr="004620F3">
        <w:rPr>
          <w:rFonts w:ascii="Times New Roman" w:hAnsi="Times New Roman" w:cs="Times New Roman"/>
        </w:rPr>
        <w:tab/>
      </w:r>
    </w:p>
    <w:p w14:paraId="56D24998" w14:textId="77777777" w:rsidR="004620F3" w:rsidRPr="004620F3" w:rsidRDefault="004620F3" w:rsidP="004620F3">
      <w:pPr>
        <w:rPr>
          <w:rFonts w:ascii="Times New Roman" w:hAnsi="Times New Roman" w:cs="Times New Roman"/>
        </w:rPr>
      </w:pPr>
    </w:p>
    <w:p w14:paraId="224E85FA" w14:textId="13BDD28E" w:rsidR="004620F3" w:rsidRDefault="004620F3" w:rsidP="004620F3">
      <w:pPr>
        <w:rPr>
          <w:rFonts w:ascii="Times New Roman" w:hAnsi="Times New Roman" w:cs="Times New Roman"/>
        </w:rPr>
      </w:pPr>
      <w:r w:rsidRPr="004620F3">
        <w:rPr>
          <w:rFonts w:ascii="Times New Roman" w:hAnsi="Times New Roman" w:cs="Times New Roman"/>
        </w:rPr>
        <w:tab/>
        <w:t xml:space="preserve">Methow Recycles </w:t>
      </w:r>
      <w:r>
        <w:rPr>
          <w:rFonts w:ascii="Times New Roman" w:hAnsi="Times New Roman" w:cs="Times New Roman"/>
        </w:rPr>
        <w:t xml:space="preserve">and Wastewise Methow submit the following comments regarding the draft rule prepared by the Washington State Department of Ecology under the Recycling Reform Act (RRA), pertaining specifically to proposed WAC 173-95-010 to 950-2XX, as promulgated on May 14, 2026. </w:t>
      </w:r>
    </w:p>
    <w:p w14:paraId="634AB8AB" w14:textId="3AFF231D" w:rsidR="00296DBA" w:rsidRDefault="00296DBA" w:rsidP="004620F3">
      <w:pPr>
        <w:rPr>
          <w:rFonts w:ascii="Times New Roman" w:hAnsi="Times New Roman" w:cs="Times New Roman"/>
        </w:rPr>
      </w:pPr>
      <w:r w:rsidRPr="00296DBA">
        <w:rPr>
          <w:rFonts w:ascii="Times New Roman" w:hAnsi="Times New Roman" w:cs="Times New Roman"/>
          <w:b/>
          <w:bCs/>
        </w:rPr>
        <w:t>Comment 1:</w:t>
      </w:r>
      <w:r>
        <w:rPr>
          <w:rFonts w:ascii="Times New Roman" w:hAnsi="Times New Roman" w:cs="Times New Roman"/>
        </w:rPr>
        <w:t xml:space="preserve"> The definitions in section 030 are incomplete. For example</w:t>
      </w:r>
      <w:r w:rsidR="00214C48">
        <w:rPr>
          <w:rFonts w:ascii="Times New Roman" w:hAnsi="Times New Roman" w:cs="Times New Roman"/>
        </w:rPr>
        <w:t>,</w:t>
      </w:r>
      <w:r>
        <w:rPr>
          <w:rFonts w:ascii="Times New Roman" w:hAnsi="Times New Roman" w:cs="Times New Roman"/>
        </w:rPr>
        <w:t xml:space="preserve"> “covered materials” is addressed, but not “producer,” which is used throughout the rule. The selection of terms to define outside of the stat</w:t>
      </w:r>
      <w:r w:rsidR="00214C48">
        <w:rPr>
          <w:rFonts w:ascii="Times New Roman" w:hAnsi="Times New Roman" w:cs="Times New Roman"/>
        </w:rPr>
        <w:t>ut</w:t>
      </w:r>
      <w:r>
        <w:rPr>
          <w:rFonts w:ascii="Times New Roman" w:hAnsi="Times New Roman" w:cs="Times New Roman"/>
        </w:rPr>
        <w:t>e seems haphazard and may lead to confusion.</w:t>
      </w:r>
    </w:p>
    <w:p w14:paraId="55BC44C2" w14:textId="5ED73116" w:rsidR="00296DBA" w:rsidRDefault="00296DBA" w:rsidP="004620F3">
      <w:pPr>
        <w:rPr>
          <w:rFonts w:ascii="Times New Roman" w:hAnsi="Times New Roman" w:cs="Times New Roman"/>
        </w:rPr>
      </w:pPr>
      <w:r>
        <w:rPr>
          <w:rFonts w:ascii="Times New Roman" w:hAnsi="Times New Roman" w:cs="Times New Roman"/>
          <w:b/>
          <w:bCs/>
        </w:rPr>
        <w:t xml:space="preserve">Comment 2:  </w:t>
      </w:r>
      <w:r>
        <w:rPr>
          <w:rFonts w:ascii="Times New Roman" w:hAnsi="Times New Roman" w:cs="Times New Roman"/>
        </w:rPr>
        <w:t xml:space="preserve">The Individual Program Plan set out in section 110 is confusing. Who would be covered by this section? </w:t>
      </w:r>
      <w:r w:rsidR="00890125">
        <w:rPr>
          <w:rFonts w:ascii="Times New Roman" w:hAnsi="Times New Roman" w:cs="Times New Roman"/>
        </w:rPr>
        <w:t>Please provides</w:t>
      </w:r>
      <w:r>
        <w:rPr>
          <w:rFonts w:ascii="Times New Roman" w:hAnsi="Times New Roman" w:cs="Times New Roman"/>
        </w:rPr>
        <w:t xml:space="preserve"> examples</w:t>
      </w:r>
      <w:r w:rsidR="00890125">
        <w:rPr>
          <w:rFonts w:ascii="Times New Roman" w:hAnsi="Times New Roman" w:cs="Times New Roman"/>
        </w:rPr>
        <w:t xml:space="preserve"> of businesses that would be in this program</w:t>
      </w:r>
      <w:r>
        <w:rPr>
          <w:rFonts w:ascii="Times New Roman" w:hAnsi="Times New Roman" w:cs="Times New Roman"/>
        </w:rPr>
        <w:t xml:space="preserve">? We presume </w:t>
      </w:r>
      <w:r w:rsidR="00F2531C">
        <w:rPr>
          <w:rFonts w:ascii="Times New Roman" w:hAnsi="Times New Roman" w:cs="Times New Roman"/>
        </w:rPr>
        <w:t>that it would apply to relatively few producers. In that event, how</w:t>
      </w:r>
      <w:r>
        <w:rPr>
          <w:rFonts w:ascii="Times New Roman" w:hAnsi="Times New Roman" w:cs="Times New Roman"/>
        </w:rPr>
        <w:t xml:space="preserve"> would it be implemented in rural areas</w:t>
      </w:r>
      <w:r w:rsidR="00890125">
        <w:rPr>
          <w:rFonts w:ascii="Times New Roman" w:hAnsi="Times New Roman" w:cs="Times New Roman"/>
        </w:rPr>
        <w:t xml:space="preserve"> where very low volumes of recyclables are the norm, collection is more problematic and and where distances to market long</w:t>
      </w:r>
      <w:r w:rsidR="00F2531C">
        <w:rPr>
          <w:rFonts w:ascii="Times New Roman" w:hAnsi="Times New Roman" w:cs="Times New Roman"/>
        </w:rPr>
        <w:t>? How would the service providers</w:t>
      </w:r>
      <w:r w:rsidR="00890125">
        <w:rPr>
          <w:rFonts w:ascii="Times New Roman" w:hAnsi="Times New Roman" w:cs="Times New Roman"/>
        </w:rPr>
        <w:t xml:space="preserve"> deal with these issues in a cost-effective way?</w:t>
      </w:r>
    </w:p>
    <w:p w14:paraId="3FF6B3C6" w14:textId="77777777" w:rsidR="00BB431A" w:rsidRPr="00BB431A" w:rsidRDefault="00BB431A" w:rsidP="00BB431A">
      <w:pPr>
        <w:rPr>
          <w:rFonts w:ascii="Times New Roman" w:hAnsi="Times New Roman" w:cs="Times New Roman"/>
        </w:rPr>
      </w:pPr>
      <w:r>
        <w:rPr>
          <w:rFonts w:ascii="Times New Roman" w:hAnsi="Times New Roman" w:cs="Times New Roman"/>
        </w:rPr>
        <w:t xml:space="preserve">There appears to be two exceptions to participation in the PRO established under the RRA: (1) de minimum producers and (2) individual producer plan participants.  </w:t>
      </w:r>
    </w:p>
    <w:p w14:paraId="3CFDAC48" w14:textId="260EEDB8" w:rsidR="00890125" w:rsidRDefault="00890125" w:rsidP="004620F3">
      <w:pPr>
        <w:rPr>
          <w:rFonts w:ascii="Times New Roman" w:hAnsi="Times New Roman" w:cs="Times New Roman"/>
        </w:rPr>
      </w:pPr>
      <w:r>
        <w:rPr>
          <w:rFonts w:ascii="Times New Roman" w:hAnsi="Times New Roman" w:cs="Times New Roman"/>
        </w:rPr>
        <w:t>Under the draft rule section 100(1)(a), each producer must be a member of a PRO registered in the state. But under section 110, some producers can participate under an individual producer plan. There needs to be an exception to the 100(a)(1) requirement for individual producers. If not, it should be made clear that individual producers must also be members of the PRO.</w:t>
      </w:r>
    </w:p>
    <w:p w14:paraId="4244D720" w14:textId="099BCA53" w:rsidR="00C327ED" w:rsidRDefault="00C327ED" w:rsidP="004620F3">
      <w:pPr>
        <w:rPr>
          <w:rFonts w:ascii="Times New Roman" w:hAnsi="Times New Roman" w:cs="Times New Roman"/>
        </w:rPr>
      </w:pPr>
      <w:r>
        <w:rPr>
          <w:rFonts w:ascii="Times New Roman" w:hAnsi="Times New Roman" w:cs="Times New Roman"/>
        </w:rPr>
        <w:t>C</w:t>
      </w:r>
      <w:r w:rsidR="00890125">
        <w:rPr>
          <w:rFonts w:ascii="Times New Roman" w:hAnsi="Times New Roman" w:cs="Times New Roman"/>
        </w:rPr>
        <w:t>an an individual producer plan formed under section 110 reimburse service providers? It is not clear from the proposed reg text.</w:t>
      </w:r>
    </w:p>
    <w:p w14:paraId="61167279" w14:textId="57ED9BF5" w:rsidR="00C327ED" w:rsidRDefault="00C327ED" w:rsidP="004620F3">
      <w:pPr>
        <w:rPr>
          <w:rFonts w:ascii="Times New Roman" w:hAnsi="Times New Roman" w:cs="Times New Roman"/>
        </w:rPr>
      </w:pPr>
      <w:r>
        <w:rPr>
          <w:rFonts w:ascii="Times New Roman" w:hAnsi="Times New Roman" w:cs="Times New Roman"/>
        </w:rPr>
        <w:t xml:space="preserve">The references to as-yet non-denominated sections (marked as XX) in this section are confusing and need to be clarified </w:t>
      </w:r>
      <w:proofErr w:type="gramStart"/>
      <w:r>
        <w:rPr>
          <w:rFonts w:ascii="Times New Roman" w:hAnsi="Times New Roman" w:cs="Times New Roman"/>
        </w:rPr>
        <w:t>in order to</w:t>
      </w:r>
      <w:proofErr w:type="gramEnd"/>
      <w:r>
        <w:rPr>
          <w:rFonts w:ascii="Times New Roman" w:hAnsi="Times New Roman" w:cs="Times New Roman"/>
        </w:rPr>
        <w:t xml:space="preserve"> allow meaningful review.</w:t>
      </w:r>
    </w:p>
    <w:p w14:paraId="053D6EFC" w14:textId="4BDBFF6D" w:rsidR="00890125" w:rsidRDefault="00890125" w:rsidP="004620F3">
      <w:pPr>
        <w:rPr>
          <w:rFonts w:ascii="Times New Roman" w:hAnsi="Times New Roman" w:cs="Times New Roman"/>
        </w:rPr>
      </w:pPr>
      <w:r>
        <w:rPr>
          <w:rFonts w:ascii="Times New Roman" w:hAnsi="Times New Roman" w:cs="Times New Roman"/>
          <w:b/>
          <w:bCs/>
        </w:rPr>
        <w:t xml:space="preserve">Comment 3:  </w:t>
      </w:r>
    </w:p>
    <w:p w14:paraId="734B1A5D" w14:textId="04FB5638" w:rsidR="00BB431A" w:rsidRDefault="00214C48" w:rsidP="004620F3">
      <w:pPr>
        <w:rPr>
          <w:rFonts w:ascii="Times New Roman" w:hAnsi="Times New Roman" w:cs="Times New Roman"/>
        </w:rPr>
      </w:pPr>
      <w:r>
        <w:rPr>
          <w:rFonts w:ascii="Times New Roman" w:hAnsi="Times New Roman" w:cs="Times New Roman"/>
        </w:rPr>
        <w:t xml:space="preserve">The proposed language in section 173-950-2XX </w:t>
      </w:r>
      <w:r w:rsidR="00BB431A">
        <w:rPr>
          <w:rFonts w:ascii="Times New Roman" w:hAnsi="Times New Roman" w:cs="Times New Roman"/>
        </w:rPr>
        <w:t xml:space="preserve">(Alternative Collection Program Requirements) </w:t>
      </w:r>
      <w:r>
        <w:rPr>
          <w:rFonts w:ascii="Times New Roman" w:hAnsi="Times New Roman" w:cs="Times New Roman"/>
        </w:rPr>
        <w:t xml:space="preserve">appears to the same as the related statutory provision, RCW </w:t>
      </w:r>
      <w:r w:rsidR="00BB431A">
        <w:rPr>
          <w:rFonts w:ascii="Times New Roman" w:hAnsi="Times New Roman" w:cs="Times New Roman"/>
        </w:rPr>
        <w:t>70A.2088.100. It is not clear how much will be collected under the provision and how the service providers will deal with it. If an alternative collection program is set up, will it be duplicating work by the PRO?</w:t>
      </w:r>
    </w:p>
    <w:p w14:paraId="7C7E4441" w14:textId="190F04DF" w:rsidR="00C327ED" w:rsidRDefault="00C327ED" w:rsidP="004620F3">
      <w:pPr>
        <w:rPr>
          <w:rFonts w:ascii="Times New Roman" w:hAnsi="Times New Roman" w:cs="Times New Roman"/>
        </w:rPr>
      </w:pPr>
      <w:r>
        <w:rPr>
          <w:rFonts w:ascii="Times New Roman" w:hAnsi="Times New Roman" w:cs="Times New Roman"/>
        </w:rPr>
        <w:t>Subsection 1(a) is confusing. It is not clear what the verb is.</w:t>
      </w:r>
    </w:p>
    <w:p w14:paraId="6D011D74" w14:textId="6FFB8EF8" w:rsidR="00C327ED" w:rsidRDefault="00C327ED" w:rsidP="004620F3">
      <w:pPr>
        <w:rPr>
          <w:rFonts w:ascii="Times New Roman" w:hAnsi="Times New Roman" w:cs="Times New Roman"/>
        </w:rPr>
      </w:pPr>
      <w:r>
        <w:rPr>
          <w:rFonts w:ascii="Times New Roman" w:hAnsi="Times New Roman" w:cs="Times New Roman"/>
        </w:rPr>
        <w:lastRenderedPageBreak/>
        <w:t>Under subsection (2)(a), “which” should be changed to “that.”</w:t>
      </w:r>
    </w:p>
    <w:p w14:paraId="518DB96F" w14:textId="77777777" w:rsidR="00BB431A" w:rsidRPr="00890125" w:rsidRDefault="00BB431A" w:rsidP="004620F3">
      <w:pPr>
        <w:rPr>
          <w:rFonts w:ascii="Times New Roman" w:hAnsi="Times New Roman" w:cs="Times New Roman"/>
        </w:rPr>
      </w:pPr>
    </w:p>
    <w:p w14:paraId="6389BF9D" w14:textId="77777777" w:rsidR="00BB431A" w:rsidRDefault="00BB431A" w:rsidP="004620F3">
      <w:pPr>
        <w:rPr>
          <w:rFonts w:ascii="Times New Roman" w:hAnsi="Times New Roman" w:cs="Times New Roman"/>
        </w:rPr>
      </w:pPr>
    </w:p>
    <w:p w14:paraId="412F8942" w14:textId="34D4D204" w:rsidR="00296DBA" w:rsidRPr="004620F3" w:rsidRDefault="00BB431A" w:rsidP="004620F3">
      <w:pPr>
        <w:rPr>
          <w:rFonts w:ascii="Times New Roman" w:hAnsi="Times New Roman" w:cs="Times New Roman"/>
        </w:rPr>
      </w:pPr>
      <w:r>
        <w:rPr>
          <w:rFonts w:ascii="Times New Roman" w:hAnsi="Times New Roman" w:cs="Times New Roman"/>
        </w:rPr>
        <w:t>These commenters appreciate the opportunity to comment on these draft rules and to further participate in the formulation of practical final rules implementing the RRA.</w:t>
      </w:r>
    </w:p>
    <w:sectPr w:rsidR="00296DBA" w:rsidRPr="004620F3" w:rsidSect="00C008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C57"/>
    <w:rsid w:val="00063C57"/>
    <w:rsid w:val="001041EF"/>
    <w:rsid w:val="00214C48"/>
    <w:rsid w:val="00296DBA"/>
    <w:rsid w:val="003B4422"/>
    <w:rsid w:val="003E4294"/>
    <w:rsid w:val="004620F3"/>
    <w:rsid w:val="008064D0"/>
    <w:rsid w:val="00890125"/>
    <w:rsid w:val="00B72F6E"/>
    <w:rsid w:val="00BB431A"/>
    <w:rsid w:val="00C0084D"/>
    <w:rsid w:val="00C327ED"/>
    <w:rsid w:val="00D51735"/>
    <w:rsid w:val="00EC3DB8"/>
    <w:rsid w:val="00F2531C"/>
    <w:rsid w:val="00F81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1F23B"/>
  <w15:chartTrackingRefBased/>
  <w15:docId w15:val="{19B5810F-5A19-1C40-B15C-C0475FFE4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C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3C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3C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3C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C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C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C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C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C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C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C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C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C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C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C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C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C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C57"/>
    <w:rPr>
      <w:rFonts w:eastAsiaTheme="majorEastAsia" w:cstheme="majorBidi"/>
      <w:color w:val="272727" w:themeColor="text1" w:themeTint="D8"/>
    </w:rPr>
  </w:style>
  <w:style w:type="paragraph" w:styleId="Title">
    <w:name w:val="Title"/>
    <w:basedOn w:val="Normal"/>
    <w:next w:val="Normal"/>
    <w:link w:val="TitleChar"/>
    <w:uiPriority w:val="10"/>
    <w:qFormat/>
    <w:rsid w:val="00063C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C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C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C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C57"/>
    <w:pPr>
      <w:spacing w:before="160"/>
      <w:jc w:val="center"/>
    </w:pPr>
    <w:rPr>
      <w:i/>
      <w:iCs/>
      <w:color w:val="404040" w:themeColor="text1" w:themeTint="BF"/>
    </w:rPr>
  </w:style>
  <w:style w:type="character" w:customStyle="1" w:styleId="QuoteChar">
    <w:name w:val="Quote Char"/>
    <w:basedOn w:val="DefaultParagraphFont"/>
    <w:link w:val="Quote"/>
    <w:uiPriority w:val="29"/>
    <w:rsid w:val="00063C57"/>
    <w:rPr>
      <w:i/>
      <w:iCs/>
      <w:color w:val="404040" w:themeColor="text1" w:themeTint="BF"/>
    </w:rPr>
  </w:style>
  <w:style w:type="paragraph" w:styleId="ListParagraph">
    <w:name w:val="List Paragraph"/>
    <w:basedOn w:val="Normal"/>
    <w:uiPriority w:val="34"/>
    <w:qFormat/>
    <w:rsid w:val="00063C57"/>
    <w:pPr>
      <w:ind w:left="720"/>
      <w:contextualSpacing/>
    </w:pPr>
  </w:style>
  <w:style w:type="character" w:styleId="IntenseEmphasis">
    <w:name w:val="Intense Emphasis"/>
    <w:basedOn w:val="DefaultParagraphFont"/>
    <w:uiPriority w:val="21"/>
    <w:qFormat/>
    <w:rsid w:val="00063C57"/>
    <w:rPr>
      <w:i/>
      <w:iCs/>
      <w:color w:val="0F4761" w:themeColor="accent1" w:themeShade="BF"/>
    </w:rPr>
  </w:style>
  <w:style w:type="paragraph" w:styleId="IntenseQuote">
    <w:name w:val="Intense Quote"/>
    <w:basedOn w:val="Normal"/>
    <w:next w:val="Normal"/>
    <w:link w:val="IntenseQuoteChar"/>
    <w:uiPriority w:val="30"/>
    <w:qFormat/>
    <w:rsid w:val="00063C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C57"/>
    <w:rPr>
      <w:i/>
      <w:iCs/>
      <w:color w:val="0F4761" w:themeColor="accent1" w:themeShade="BF"/>
    </w:rPr>
  </w:style>
  <w:style w:type="character" w:styleId="IntenseReference">
    <w:name w:val="Intense Reference"/>
    <w:basedOn w:val="DefaultParagraphFont"/>
    <w:uiPriority w:val="32"/>
    <w:qFormat/>
    <w:rsid w:val="00063C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Ryan</dc:creator>
  <cp:keywords/>
  <dc:description/>
  <cp:lastModifiedBy>WasteWise Methow</cp:lastModifiedBy>
  <cp:revision>2</cp:revision>
  <dcterms:created xsi:type="dcterms:W3CDTF">2026-06-24T17:05:00Z</dcterms:created>
  <dcterms:modified xsi:type="dcterms:W3CDTF">2026-06-24T17:05:00Z</dcterms:modified>
</cp:coreProperties>
</file>