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FB3E3" w14:textId="4526F93E" w:rsidR="004A4C49" w:rsidRDefault="004A4C49"/>
    <w:tbl>
      <w:tblPr>
        <w:tblStyle w:val="TableGrid"/>
        <w:tblW w:w="13675" w:type="dxa"/>
        <w:tblLook w:val="04A0" w:firstRow="1" w:lastRow="0" w:firstColumn="1" w:lastColumn="0" w:noHBand="0" w:noVBand="1"/>
      </w:tblPr>
      <w:tblGrid>
        <w:gridCol w:w="1885"/>
        <w:gridCol w:w="11790"/>
      </w:tblGrid>
      <w:tr w:rsidR="00F12AB8" w14:paraId="090D29C0" w14:textId="77777777" w:rsidTr="0041066D">
        <w:tc>
          <w:tcPr>
            <w:tcW w:w="1885" w:type="dxa"/>
          </w:tcPr>
          <w:p w14:paraId="28A1E782" w14:textId="14F10CAF" w:rsidR="00F12AB8" w:rsidRPr="003A7074" w:rsidRDefault="00F12AB8">
            <w:pPr>
              <w:rPr>
                <w:b/>
                <w:bCs/>
              </w:rPr>
            </w:pPr>
            <w:r w:rsidRPr="003A7074">
              <w:rPr>
                <w:b/>
                <w:bCs/>
              </w:rPr>
              <w:t>Plan Section</w:t>
            </w:r>
          </w:p>
        </w:tc>
        <w:tc>
          <w:tcPr>
            <w:tcW w:w="11790" w:type="dxa"/>
          </w:tcPr>
          <w:p w14:paraId="663B392C" w14:textId="16543135" w:rsidR="00F12AB8" w:rsidRPr="003A7074" w:rsidRDefault="00F12AB8">
            <w:pPr>
              <w:rPr>
                <w:b/>
                <w:bCs/>
              </w:rPr>
            </w:pPr>
            <w:r w:rsidRPr="003A7074">
              <w:rPr>
                <w:b/>
                <w:bCs/>
              </w:rPr>
              <w:t>Comment</w:t>
            </w:r>
          </w:p>
        </w:tc>
      </w:tr>
      <w:tr w:rsidR="00F12AB8" w14:paraId="2E4D0DA1" w14:textId="77777777" w:rsidTr="0041066D">
        <w:tc>
          <w:tcPr>
            <w:tcW w:w="1885" w:type="dxa"/>
          </w:tcPr>
          <w:p w14:paraId="59075947" w14:textId="6F6A4D30" w:rsidR="00F12AB8" w:rsidRDefault="003A7074" w:rsidP="003A7074">
            <w:r>
              <w:t xml:space="preserve">IV. C. 1. </w:t>
            </w:r>
            <w:r w:rsidR="00F12AB8">
              <w:t>Demonstrable Costs</w:t>
            </w:r>
          </w:p>
        </w:tc>
        <w:tc>
          <w:tcPr>
            <w:tcW w:w="11790" w:type="dxa"/>
          </w:tcPr>
          <w:p w14:paraId="09F8F148" w14:textId="4E351925" w:rsidR="00F12AB8" w:rsidRDefault="00F12AB8">
            <w:r>
              <w:t xml:space="preserve">Demonstrable costs should include </w:t>
            </w:r>
            <w:r w:rsidR="003A7074">
              <w:t xml:space="preserve">(a) </w:t>
            </w:r>
            <w:r>
              <w:t xml:space="preserve">staff time to attend required </w:t>
            </w:r>
            <w:r w:rsidR="003A7074">
              <w:t xml:space="preserve">initial and annual </w:t>
            </w:r>
            <w:r>
              <w:t>training for handling batteries</w:t>
            </w:r>
            <w:r w:rsidR="00D564A9">
              <w:t>,</w:t>
            </w:r>
            <w:r w:rsidR="003A7074">
              <w:t xml:space="preserve"> (b) staff time to schedule battery </w:t>
            </w:r>
            <w:proofErr w:type="spellStart"/>
            <w:r w:rsidR="003A7074">
              <w:t>pick ups</w:t>
            </w:r>
            <w:proofErr w:type="spellEnd"/>
            <w:r w:rsidR="00D564A9">
              <w:t>, and (c) printing costs for collection site signage.</w:t>
            </w:r>
            <w:r w:rsidR="00D93915">
              <w:t xml:space="preserve"> If printing costs for signage aren’t covered, then the scope of the </w:t>
            </w:r>
            <w:proofErr w:type="spellStart"/>
            <w:r w:rsidR="00D93915">
              <w:t>The</w:t>
            </w:r>
            <w:proofErr w:type="spellEnd"/>
            <w:r w:rsidR="00D93915">
              <w:t xml:space="preserve"> Battery Network’s work under Section 2 of the local government service agreement should include providing printed signage at no cost.</w:t>
            </w:r>
          </w:p>
        </w:tc>
      </w:tr>
      <w:tr w:rsidR="00D564A9" w14:paraId="5883AA74" w14:textId="77777777" w:rsidTr="0041066D">
        <w:tc>
          <w:tcPr>
            <w:tcW w:w="1885" w:type="dxa"/>
          </w:tcPr>
          <w:p w14:paraId="3649C72A" w14:textId="3ACBB146" w:rsidR="00D564A9" w:rsidRDefault="00D564A9" w:rsidP="00D564A9">
            <w:r>
              <w:t>Appendix C. Local Government Reimbursement Template</w:t>
            </w:r>
          </w:p>
        </w:tc>
        <w:tc>
          <w:tcPr>
            <w:tcW w:w="11790" w:type="dxa"/>
          </w:tcPr>
          <w:p w14:paraId="335CB042" w14:textId="77777777" w:rsidR="00D564A9" w:rsidRDefault="00D564A9" w:rsidP="00D564A9">
            <w:r>
              <w:t xml:space="preserve">2. Services: Cost reimbursement is too slow. If reimbursement happens within 30 days of sorting, and sorting is typically completed within 90 days, reimbursement may not happen for 120 days. </w:t>
            </w:r>
          </w:p>
          <w:p w14:paraId="476A6A7A" w14:textId="77777777" w:rsidR="00D564A9" w:rsidRDefault="00D564A9" w:rsidP="00D564A9"/>
        </w:tc>
      </w:tr>
      <w:tr w:rsidR="00F12AB8" w14:paraId="4D6F88E0" w14:textId="77777777" w:rsidTr="0041066D">
        <w:tc>
          <w:tcPr>
            <w:tcW w:w="1885" w:type="dxa"/>
          </w:tcPr>
          <w:p w14:paraId="5D10B559" w14:textId="1F3667D1" w:rsidR="00F12AB8" w:rsidRDefault="0041066D">
            <w:r>
              <w:t>Appendix C. Local Government Reimbursement Template</w:t>
            </w:r>
          </w:p>
        </w:tc>
        <w:tc>
          <w:tcPr>
            <w:tcW w:w="11790" w:type="dxa"/>
          </w:tcPr>
          <w:p w14:paraId="44080FDE" w14:textId="77777777" w:rsidR="00F12AB8" w:rsidRDefault="0041066D">
            <w:r>
              <w:t xml:space="preserve">9. Insurance: The insurance requirements for The Battery Network are vague and insufficient (“comprehensive insurance coverage with reputable insurers”). For example, the City of Renton’s consultant contract template has the following insurance requirements: </w:t>
            </w:r>
          </w:p>
          <w:p w14:paraId="1EF40E84" w14:textId="06519BB2" w:rsidR="0041066D" w:rsidRPr="0041066D" w:rsidRDefault="0041066D" w:rsidP="0041066D">
            <w:r>
              <w:br/>
              <w:t>“</w:t>
            </w:r>
            <w:r w:rsidRPr="0041066D">
              <w:t>Consultant shall secure and maintain: </w:t>
            </w:r>
          </w:p>
          <w:p w14:paraId="13DD9BEC" w14:textId="77777777" w:rsidR="0041066D" w:rsidRPr="0041066D" w:rsidRDefault="0041066D" w:rsidP="0041066D">
            <w:pPr>
              <w:numPr>
                <w:ilvl w:val="0"/>
                <w:numId w:val="3"/>
              </w:numPr>
            </w:pPr>
            <w:r w:rsidRPr="0041066D">
              <w:t>Commercial general liability insurance in the minimum amounts of $1,000,000 for each occurrence/$2,000,000 aggregate for the Term of this Agreement. </w:t>
            </w:r>
          </w:p>
          <w:p w14:paraId="37B36887" w14:textId="77777777" w:rsidR="0041066D" w:rsidRPr="0041066D" w:rsidRDefault="0041066D" w:rsidP="0041066D">
            <w:r w:rsidRPr="0041066D">
              <w:t> </w:t>
            </w:r>
          </w:p>
          <w:p w14:paraId="78BDDAEE" w14:textId="77777777" w:rsidR="0041066D" w:rsidRPr="0041066D" w:rsidRDefault="0041066D" w:rsidP="0041066D">
            <w:pPr>
              <w:numPr>
                <w:ilvl w:val="0"/>
                <w:numId w:val="4"/>
              </w:numPr>
            </w:pPr>
            <w:proofErr w:type="gramStart"/>
            <w:r w:rsidRPr="0041066D">
              <w:t>In the event that</w:t>
            </w:r>
            <w:proofErr w:type="gramEnd"/>
            <w:r w:rsidRPr="0041066D">
              <w:t> Work delivered pursuant to this Agreement either directly or indirectly involve or require Professional Services, Professional Liability, Errors and Omissions coverage shall be provided with minimum limits of $1,000,000 per occurrence. "Professional Services", for the purpose of this section, shall mean any Work provided by a licensed professional or </w:t>
            </w:r>
            <w:proofErr w:type="gramStart"/>
            <w:r w:rsidRPr="0041066D">
              <w:t>Work</w:t>
            </w:r>
            <w:proofErr w:type="gramEnd"/>
            <w:r w:rsidRPr="0041066D">
              <w:t> that requires a professional standard of care. </w:t>
            </w:r>
          </w:p>
          <w:p w14:paraId="2684DF23" w14:textId="77777777" w:rsidR="0041066D" w:rsidRPr="0041066D" w:rsidRDefault="0041066D" w:rsidP="0041066D">
            <w:r w:rsidRPr="0041066D">
              <w:t> </w:t>
            </w:r>
          </w:p>
          <w:p w14:paraId="52711329" w14:textId="77777777" w:rsidR="0041066D" w:rsidRPr="0041066D" w:rsidRDefault="0041066D" w:rsidP="0041066D">
            <w:pPr>
              <w:numPr>
                <w:ilvl w:val="0"/>
                <w:numId w:val="5"/>
              </w:numPr>
            </w:pPr>
            <w:r w:rsidRPr="0041066D">
              <w:t>Workers’ compensation coverage, as required by the Industrial Insurance laws of the State of Washington, shall also be secured. </w:t>
            </w:r>
          </w:p>
          <w:p w14:paraId="56F8F6BE" w14:textId="77777777" w:rsidR="0041066D" w:rsidRPr="0041066D" w:rsidRDefault="0041066D" w:rsidP="0041066D">
            <w:r w:rsidRPr="0041066D">
              <w:t> </w:t>
            </w:r>
          </w:p>
          <w:p w14:paraId="281EB19D" w14:textId="77777777" w:rsidR="0041066D" w:rsidRPr="0041066D" w:rsidRDefault="0041066D" w:rsidP="0041066D">
            <w:pPr>
              <w:numPr>
                <w:ilvl w:val="0"/>
                <w:numId w:val="6"/>
              </w:numPr>
            </w:pPr>
            <w:r w:rsidRPr="0041066D">
              <w:t>Commercial Automobile Liability for owned, leased, hired or non-owned, leased, hired or non-owned, with minimum limits of $1,000,000 per occurrence combined single limit, if there will be any use of Consultant’s vehicles on the City’s Premises by or on behalf of the City, beyond normal commutes. </w:t>
            </w:r>
          </w:p>
          <w:p w14:paraId="3C909EAA" w14:textId="77777777" w:rsidR="0041066D" w:rsidRPr="0041066D" w:rsidRDefault="0041066D" w:rsidP="0041066D">
            <w:r w:rsidRPr="0041066D">
              <w:lastRenderedPageBreak/>
              <w:t> </w:t>
            </w:r>
          </w:p>
          <w:p w14:paraId="1323B64E" w14:textId="77777777" w:rsidR="0041066D" w:rsidRPr="0041066D" w:rsidRDefault="0041066D" w:rsidP="0041066D">
            <w:pPr>
              <w:numPr>
                <w:ilvl w:val="0"/>
                <w:numId w:val="7"/>
              </w:numPr>
            </w:pPr>
            <w:r w:rsidRPr="0041066D">
              <w:t xml:space="preserve">Consultant shall name the City as an Additional Insured on its commercial general liability policy on a non-contributory primary basis. The City’s insurance policies shall not be a source for payment of any Consultant liability, nor shall the maintenance of any insurance required by this Agreement be construed to limit the liability of </w:t>
            </w:r>
            <w:proofErr w:type="gramStart"/>
            <w:r w:rsidRPr="0041066D">
              <w:t>Consultant</w:t>
            </w:r>
            <w:proofErr w:type="gramEnd"/>
            <w:r w:rsidRPr="0041066D">
              <w:t xml:space="preserve"> to the coverage provided by such insurance or otherwise limit the City’s recourse to any remedy available at law or in equity. </w:t>
            </w:r>
          </w:p>
          <w:p w14:paraId="5C1579F1" w14:textId="77777777" w:rsidR="0041066D" w:rsidRPr="0041066D" w:rsidRDefault="0041066D" w:rsidP="0041066D">
            <w:r w:rsidRPr="0041066D">
              <w:t> </w:t>
            </w:r>
          </w:p>
          <w:p w14:paraId="3EF407D0" w14:textId="77777777" w:rsidR="0041066D" w:rsidRPr="0041066D" w:rsidRDefault="0041066D" w:rsidP="0041066D">
            <w:pPr>
              <w:numPr>
                <w:ilvl w:val="0"/>
                <w:numId w:val="8"/>
              </w:numPr>
            </w:pPr>
            <w:r w:rsidRPr="0041066D">
              <w:t xml:space="preserve">Subject to the City’s review and acceptance, a certificate of insurance showing the proper </w:t>
            </w:r>
            <w:proofErr w:type="gramStart"/>
            <w:r w:rsidRPr="0041066D">
              <w:t>endorsements,</w:t>
            </w:r>
            <w:proofErr w:type="gramEnd"/>
            <w:r w:rsidRPr="0041066D">
              <w:t xml:space="preserve"> shall be delivered to the City before performing the Work. </w:t>
            </w:r>
          </w:p>
          <w:p w14:paraId="32DC9AAB" w14:textId="77777777" w:rsidR="0041066D" w:rsidRPr="0041066D" w:rsidRDefault="0041066D" w:rsidP="0041066D">
            <w:r w:rsidRPr="0041066D">
              <w:t> </w:t>
            </w:r>
          </w:p>
          <w:p w14:paraId="650A0BB2" w14:textId="7A838B27" w:rsidR="0041066D" w:rsidRDefault="0041066D" w:rsidP="0041066D">
            <w:pPr>
              <w:numPr>
                <w:ilvl w:val="0"/>
                <w:numId w:val="9"/>
              </w:numPr>
            </w:pPr>
            <w:r w:rsidRPr="0041066D">
              <w:t>Consultant shall provide the City with written notice of any policy cancellation, within two (2) business days of their receipt of such notice.</w:t>
            </w:r>
            <w:r>
              <w:t>”</w:t>
            </w:r>
          </w:p>
        </w:tc>
      </w:tr>
      <w:tr w:rsidR="00F12AB8" w14:paraId="2364B83F" w14:textId="77777777" w:rsidTr="0041066D">
        <w:tc>
          <w:tcPr>
            <w:tcW w:w="1885" w:type="dxa"/>
          </w:tcPr>
          <w:p w14:paraId="4AE2D1B7" w14:textId="7D76960C" w:rsidR="00F12AB8" w:rsidRDefault="0041066D">
            <w:r>
              <w:lastRenderedPageBreak/>
              <w:t>Appendix C. Local Government Reimbursement Template</w:t>
            </w:r>
          </w:p>
        </w:tc>
        <w:tc>
          <w:tcPr>
            <w:tcW w:w="11790" w:type="dxa"/>
          </w:tcPr>
          <w:p w14:paraId="666DD36E" w14:textId="30DD9E40" w:rsidR="0041066D" w:rsidRDefault="00D564A9" w:rsidP="0041066D">
            <w:r>
              <w:t>10</w:t>
            </w:r>
            <w:r w:rsidR="0041066D">
              <w:t xml:space="preserve">. </w:t>
            </w:r>
            <w:r>
              <w:t>Reimbursement Rate Adjustment</w:t>
            </w:r>
            <w:r w:rsidR="0041066D">
              <w:t xml:space="preserve">: </w:t>
            </w:r>
            <w:r>
              <w:t>The Battery Network should not be able to unilaterally adjust the reimbursement rates. I can’t think of any contract that would allow this. There must be a process for adjusting the rate that requires the party requesting the rate change to demonstrate how the new rate was calculated and why the rate change is needed. Any change to the reimbursement rate must be agreed upon by both parties.</w:t>
            </w:r>
          </w:p>
          <w:p w14:paraId="7A94393C" w14:textId="77777777" w:rsidR="00F12AB8" w:rsidRDefault="00F12AB8"/>
        </w:tc>
      </w:tr>
    </w:tbl>
    <w:p w14:paraId="5A0EFC52" w14:textId="77777777" w:rsidR="00F12AB8" w:rsidRDefault="00F12AB8"/>
    <w:sectPr w:rsidR="00F12AB8" w:rsidSect="0041066D">
      <w:headerReference w:type="default" r:id="rId7"/>
      <w:pgSz w:w="15840" w:h="12240" w:orient="landscape"/>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1276F" w14:textId="77777777" w:rsidR="004D4C62" w:rsidRDefault="004D4C62" w:rsidP="0041066D">
      <w:pPr>
        <w:spacing w:after="0" w:line="240" w:lineRule="auto"/>
      </w:pPr>
      <w:r>
        <w:separator/>
      </w:r>
    </w:p>
  </w:endnote>
  <w:endnote w:type="continuationSeparator" w:id="0">
    <w:p w14:paraId="043FBF8B" w14:textId="77777777" w:rsidR="004D4C62" w:rsidRDefault="004D4C62" w:rsidP="004106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05FFA" w14:textId="77777777" w:rsidR="004D4C62" w:rsidRDefault="004D4C62" w:rsidP="0041066D">
      <w:pPr>
        <w:spacing w:after="0" w:line="240" w:lineRule="auto"/>
      </w:pPr>
      <w:r>
        <w:separator/>
      </w:r>
    </w:p>
  </w:footnote>
  <w:footnote w:type="continuationSeparator" w:id="0">
    <w:p w14:paraId="16F25E1E" w14:textId="77777777" w:rsidR="004D4C62" w:rsidRDefault="004D4C62" w:rsidP="004106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33ADE" w14:textId="093161E4" w:rsidR="0041066D" w:rsidRPr="0041066D" w:rsidRDefault="0041066D" w:rsidP="0041066D">
    <w:pPr>
      <w:pStyle w:val="Header"/>
      <w:jc w:val="center"/>
      <w:rPr>
        <w:b/>
        <w:bCs/>
      </w:rPr>
    </w:pPr>
    <w:r w:rsidRPr="0041066D">
      <w:rPr>
        <w:b/>
        <w:bCs/>
      </w:rPr>
      <w:t>City of Renton comments on draft battery stewardship plan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72C23"/>
    <w:multiLevelType w:val="multilevel"/>
    <w:tmpl w:val="03088892"/>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15:restartNumberingAfterBreak="0">
    <w:nsid w:val="0C5A1B7D"/>
    <w:multiLevelType w:val="multilevel"/>
    <w:tmpl w:val="8102A28C"/>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15:restartNumberingAfterBreak="0">
    <w:nsid w:val="1DF908C7"/>
    <w:multiLevelType w:val="multilevel"/>
    <w:tmpl w:val="C18CC3A0"/>
    <w:lvl w:ilvl="0">
      <w:start w:val="6"/>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 w15:restartNumberingAfterBreak="0">
    <w:nsid w:val="2CAE4C6B"/>
    <w:multiLevelType w:val="multilevel"/>
    <w:tmpl w:val="C70217DE"/>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 w15:restartNumberingAfterBreak="0">
    <w:nsid w:val="3A882E9D"/>
    <w:multiLevelType w:val="multilevel"/>
    <w:tmpl w:val="F3AEFF9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E6C4FFC"/>
    <w:multiLevelType w:val="multilevel"/>
    <w:tmpl w:val="9C562F82"/>
    <w:lvl w:ilvl="0">
      <w:start w:val="5"/>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53A35C55"/>
    <w:multiLevelType w:val="hybridMultilevel"/>
    <w:tmpl w:val="3F5E8C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CF7323C"/>
    <w:multiLevelType w:val="multilevel"/>
    <w:tmpl w:val="C058A206"/>
    <w:lvl w:ilvl="0">
      <w:start w:val="7"/>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8" w15:restartNumberingAfterBreak="0">
    <w:nsid w:val="769879AA"/>
    <w:multiLevelType w:val="multilevel"/>
    <w:tmpl w:val="9C0E345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16cid:durableId="1579901041">
    <w:abstractNumId w:val="6"/>
  </w:num>
  <w:num w:numId="2" w16cid:durableId="586764646">
    <w:abstractNumId w:val="4"/>
  </w:num>
  <w:num w:numId="3" w16cid:durableId="1028219043">
    <w:abstractNumId w:val="8"/>
  </w:num>
  <w:num w:numId="4" w16cid:durableId="1006633053">
    <w:abstractNumId w:val="1"/>
  </w:num>
  <w:num w:numId="5" w16cid:durableId="2102558401">
    <w:abstractNumId w:val="3"/>
  </w:num>
  <w:num w:numId="6" w16cid:durableId="1965891050">
    <w:abstractNumId w:val="0"/>
  </w:num>
  <w:num w:numId="7" w16cid:durableId="2091729828">
    <w:abstractNumId w:val="5"/>
  </w:num>
  <w:num w:numId="8" w16cid:durableId="996036782">
    <w:abstractNumId w:val="2"/>
  </w:num>
  <w:num w:numId="9" w16cid:durableId="41890787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AB8"/>
    <w:rsid w:val="002D3B13"/>
    <w:rsid w:val="003A7074"/>
    <w:rsid w:val="0041066D"/>
    <w:rsid w:val="00497451"/>
    <w:rsid w:val="004A4C49"/>
    <w:rsid w:val="004D4C62"/>
    <w:rsid w:val="00D564A9"/>
    <w:rsid w:val="00D93915"/>
    <w:rsid w:val="00E35875"/>
    <w:rsid w:val="00F12A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344E03"/>
  <w15:chartTrackingRefBased/>
  <w15:docId w15:val="{61299050-123E-4641-B936-62C64D077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2A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2A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2A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2A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2A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2A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2A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2A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2A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2A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2A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2A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2A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2A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2A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2A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2A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2AB8"/>
    <w:rPr>
      <w:rFonts w:eastAsiaTheme="majorEastAsia" w:cstheme="majorBidi"/>
      <w:color w:val="272727" w:themeColor="text1" w:themeTint="D8"/>
    </w:rPr>
  </w:style>
  <w:style w:type="paragraph" w:styleId="Title">
    <w:name w:val="Title"/>
    <w:basedOn w:val="Normal"/>
    <w:next w:val="Normal"/>
    <w:link w:val="TitleChar"/>
    <w:uiPriority w:val="10"/>
    <w:qFormat/>
    <w:rsid w:val="00F12A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2A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2A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2A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2AB8"/>
    <w:pPr>
      <w:spacing w:before="160"/>
      <w:jc w:val="center"/>
    </w:pPr>
    <w:rPr>
      <w:i/>
      <w:iCs/>
      <w:color w:val="404040" w:themeColor="text1" w:themeTint="BF"/>
    </w:rPr>
  </w:style>
  <w:style w:type="character" w:customStyle="1" w:styleId="QuoteChar">
    <w:name w:val="Quote Char"/>
    <w:basedOn w:val="DefaultParagraphFont"/>
    <w:link w:val="Quote"/>
    <w:uiPriority w:val="29"/>
    <w:rsid w:val="00F12AB8"/>
    <w:rPr>
      <w:i/>
      <w:iCs/>
      <w:color w:val="404040" w:themeColor="text1" w:themeTint="BF"/>
    </w:rPr>
  </w:style>
  <w:style w:type="paragraph" w:styleId="ListParagraph">
    <w:name w:val="List Paragraph"/>
    <w:basedOn w:val="Normal"/>
    <w:uiPriority w:val="34"/>
    <w:qFormat/>
    <w:rsid w:val="00F12AB8"/>
    <w:pPr>
      <w:ind w:left="720"/>
      <w:contextualSpacing/>
    </w:pPr>
  </w:style>
  <w:style w:type="character" w:styleId="IntenseEmphasis">
    <w:name w:val="Intense Emphasis"/>
    <w:basedOn w:val="DefaultParagraphFont"/>
    <w:uiPriority w:val="21"/>
    <w:qFormat/>
    <w:rsid w:val="00F12AB8"/>
    <w:rPr>
      <w:i/>
      <w:iCs/>
      <w:color w:val="0F4761" w:themeColor="accent1" w:themeShade="BF"/>
    </w:rPr>
  </w:style>
  <w:style w:type="paragraph" w:styleId="IntenseQuote">
    <w:name w:val="Intense Quote"/>
    <w:basedOn w:val="Normal"/>
    <w:next w:val="Normal"/>
    <w:link w:val="IntenseQuoteChar"/>
    <w:uiPriority w:val="30"/>
    <w:qFormat/>
    <w:rsid w:val="00F12A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2AB8"/>
    <w:rPr>
      <w:i/>
      <w:iCs/>
      <w:color w:val="0F4761" w:themeColor="accent1" w:themeShade="BF"/>
    </w:rPr>
  </w:style>
  <w:style w:type="character" w:styleId="IntenseReference">
    <w:name w:val="Intense Reference"/>
    <w:basedOn w:val="DefaultParagraphFont"/>
    <w:uiPriority w:val="32"/>
    <w:qFormat/>
    <w:rsid w:val="00F12AB8"/>
    <w:rPr>
      <w:b/>
      <w:bCs/>
      <w:smallCaps/>
      <w:color w:val="0F4761" w:themeColor="accent1" w:themeShade="BF"/>
      <w:spacing w:val="5"/>
    </w:rPr>
  </w:style>
  <w:style w:type="table" w:styleId="TableGrid">
    <w:name w:val="Table Grid"/>
    <w:basedOn w:val="TableNormal"/>
    <w:uiPriority w:val="39"/>
    <w:rsid w:val="00F12A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106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066D"/>
  </w:style>
  <w:style w:type="paragraph" w:styleId="Footer">
    <w:name w:val="footer"/>
    <w:basedOn w:val="Normal"/>
    <w:link w:val="FooterChar"/>
    <w:uiPriority w:val="99"/>
    <w:unhideWhenUsed/>
    <w:rsid w:val="004106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06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501</Words>
  <Characters>2859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Meara Heubach</dc:creator>
  <cp:keywords/>
  <dc:description/>
  <cp:lastModifiedBy>Meara Heubach</cp:lastModifiedBy>
  <cp:revision>1</cp:revision>
  <dcterms:created xsi:type="dcterms:W3CDTF">2026-08-17T22:40:00Z</dcterms:created>
  <dcterms:modified xsi:type="dcterms:W3CDTF">2026-08-17T23:23:00Z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4958da9-7a5a-45cf-8468-86fee99ff41e_Enabled">
    <vt:lpwstr>true</vt:lpwstr>
  </property>
  <property fmtid="{D5CDD505-2E9C-101B-9397-08002B2CF9AE}" pid="3" name="MSIP_Label_34958da9-7a5a-45cf-8468-86fee99ff41e_SetDate">
    <vt:lpwstr>2026-08-17T23:23:50Z</vt:lpwstr>
  </property>
  <property fmtid="{D5CDD505-2E9C-101B-9397-08002B2CF9AE}" pid="4" name="MSIP_Label_34958da9-7a5a-45cf-8468-86fee99ff41e_Method">
    <vt:lpwstr>Standard</vt:lpwstr>
  </property>
  <property fmtid="{D5CDD505-2E9C-101B-9397-08002B2CF9AE}" pid="5" name="MSIP_Label_34958da9-7a5a-45cf-8468-86fee99ff41e_Name">
    <vt:lpwstr>Internal</vt:lpwstr>
  </property>
  <property fmtid="{D5CDD505-2E9C-101B-9397-08002B2CF9AE}" pid="6" name="MSIP_Label_34958da9-7a5a-45cf-8468-86fee99ff41e_SiteId">
    <vt:lpwstr>71014141-0611-4885-8e98-cc96a05e1675</vt:lpwstr>
  </property>
  <property fmtid="{D5CDD505-2E9C-101B-9397-08002B2CF9AE}" pid="7" name="MSIP_Label_34958da9-7a5a-45cf-8468-86fee99ff41e_ActionId">
    <vt:lpwstr>c2fc7f23-cd7b-45db-aa77-62e9c1a5c273</vt:lpwstr>
  </property>
  <property fmtid="{D5CDD505-2E9C-101B-9397-08002B2CF9AE}" pid="8" name="MSIP_Label_34958da9-7a5a-45cf-8468-86fee99ff41e_ContentBits">
    <vt:lpwstr>0</vt:lpwstr>
  </property>
  <property fmtid="{D5CDD505-2E9C-101B-9397-08002B2CF9AE}" pid="9" name="MSIP_Label_34958da9-7a5a-45cf-8468-86fee99ff41e_Tag">
    <vt:lpwstr>10, 3, 0, 1</vt:lpwstr>
  </property>
</Properties>
</file>