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588AD" w14:textId="43C6884A" w:rsidR="00C166D8" w:rsidRDefault="00C166D8" w:rsidP="00A5341A">
      <w:r>
        <w:t>August 18, 2026</w:t>
      </w:r>
    </w:p>
    <w:p w14:paraId="4DBD4F20" w14:textId="58E945CF" w:rsidR="00C166D8" w:rsidRDefault="00D21589" w:rsidP="00A5341A">
      <w:r>
        <w:t xml:space="preserve">RE: </w:t>
      </w:r>
      <w:r w:rsidR="00F22EA5">
        <w:t>Comments of the Washington Refuse and Recycling Association (WRRA) on Proposed Battery Stewardship Plan</w:t>
      </w:r>
    </w:p>
    <w:p w14:paraId="6417E73F" w14:textId="77777777" w:rsidR="00D21589" w:rsidRDefault="00D21589" w:rsidP="00A5341A"/>
    <w:p w14:paraId="5AF69F6A" w14:textId="72E3F3C9" w:rsidR="00D21589" w:rsidRDefault="004410AB" w:rsidP="00771972">
      <w:pPr>
        <w:ind w:firstLine="720"/>
      </w:pPr>
      <w:r>
        <w:t>The Washington Refuse and Recycling Association (WRRA) submits the following comments on the battery stewardship plan submitted by the Battery Network under WAC 173-905. WRRA represents solid waste, recycling, and composting companies throughout Washington State</w:t>
      </w:r>
      <w:r w:rsidR="006F2832">
        <w:t>, many of whom operate transfer stations, household hazardous waste (HHW) facilities, and material recovery facilities that are directly implicated by the plan’s collection site provisions.</w:t>
      </w:r>
    </w:p>
    <w:p w14:paraId="2BFCB2FE" w14:textId="77777777" w:rsidR="006F2832" w:rsidRPr="00560994" w:rsidRDefault="006F2832" w:rsidP="00A5341A">
      <w:pPr>
        <w:rPr>
          <w:sz w:val="16"/>
          <w:szCs w:val="16"/>
        </w:rPr>
      </w:pPr>
    </w:p>
    <w:p w14:paraId="6DDC7F38" w14:textId="11143272" w:rsidR="006F2832" w:rsidRDefault="006F2832" w:rsidP="00771972">
      <w:pPr>
        <w:ind w:firstLine="360"/>
      </w:pPr>
      <w:r>
        <w:t>WRRA supports the goals of this program. Batteries that enter the general waste or recycling stream are a leading cause of fires at transfer stations, processing facilities, and in</w:t>
      </w:r>
      <w:r w:rsidR="001F6FD6">
        <w:t xml:space="preserve"> </w:t>
      </w:r>
      <w:r>
        <w:t xml:space="preserve">collection vehicles, and our members bear significant safety risk </w:t>
      </w:r>
      <w:r w:rsidR="001F6FD6">
        <w:t xml:space="preserve">and cost from this problem today. A well-designed, adequately funded statewide collection network is a genuine benefit to our members and the residents they serve. We offer the comments below to help ensure the plan is workable for the solid waste and recycling facilities that will be asked to serve as collection sites, and that DOE’s approval conditions reflect these concerns. </w:t>
      </w:r>
    </w:p>
    <w:p w14:paraId="03B1C142" w14:textId="77777777" w:rsidR="001F6FD6" w:rsidRPr="00F22EA5" w:rsidRDefault="001F6FD6" w:rsidP="00A5341A">
      <w:pPr>
        <w:rPr>
          <w:sz w:val="16"/>
          <w:szCs w:val="16"/>
        </w:rPr>
      </w:pPr>
    </w:p>
    <w:p w14:paraId="6E155473" w14:textId="72573C86" w:rsidR="001F6FD6" w:rsidRDefault="001F6FD6" w:rsidP="001F6FD6">
      <w:pPr>
        <w:pStyle w:val="ListParagraph"/>
        <w:numPr>
          <w:ilvl w:val="0"/>
          <w:numId w:val="2"/>
        </w:numPr>
      </w:pPr>
      <w:r>
        <w:t xml:space="preserve">Site Designation, Terms, and Liability. </w:t>
      </w:r>
    </w:p>
    <w:p w14:paraId="51EA087F" w14:textId="77777777" w:rsidR="003979F5" w:rsidRPr="00560994" w:rsidRDefault="003979F5" w:rsidP="003979F5">
      <w:pPr>
        <w:pStyle w:val="ListParagraph"/>
        <w:rPr>
          <w:sz w:val="10"/>
          <w:szCs w:val="10"/>
        </w:rPr>
      </w:pPr>
    </w:p>
    <w:p w14:paraId="1DBEF32B" w14:textId="7779F031" w:rsidR="003979F5" w:rsidRDefault="00E94D3B" w:rsidP="00043CF9">
      <w:pPr>
        <w:pStyle w:val="ListParagraph"/>
        <w:numPr>
          <w:ilvl w:val="0"/>
          <w:numId w:val="3"/>
        </w:numPr>
        <w:spacing w:after="120"/>
        <w:contextualSpacing w:val="0"/>
      </w:pPr>
      <w:r>
        <w:t>The plan states that any entity will be accepted as a collection site “upon request” (Section VII.F</w:t>
      </w:r>
      <w:r w:rsidR="00CF41EA">
        <w:t xml:space="preserve">) but does not clarify who may initiate that request or whether a facility may decline to participate without penalty or effect on other program relationships. We ask DOE to require the plan to state clearly that collection site participation is voluntary and that no facility may be compelled to serve as a site. </w:t>
      </w:r>
    </w:p>
    <w:p w14:paraId="2333E1A1" w14:textId="712F653D" w:rsidR="00CF41EA" w:rsidRDefault="00CF41EA" w:rsidP="00043CF9">
      <w:pPr>
        <w:pStyle w:val="ListParagraph"/>
        <w:numPr>
          <w:ilvl w:val="0"/>
          <w:numId w:val="3"/>
        </w:numPr>
        <w:spacing w:after="120"/>
        <w:contextualSpacing w:val="0"/>
      </w:pPr>
      <w:r>
        <w:t>The plan does not address liability or indemnification for a fire, spill, or thermal event occurring at a host facility. We request that the approved plan specify how liability is allocated between The Battery Network and the site operator, and that any site agreement includes indemnification terms adequate to protect host facilities.</w:t>
      </w:r>
    </w:p>
    <w:p w14:paraId="0AB57B54" w14:textId="7A7D1769" w:rsidR="00CF41EA" w:rsidRDefault="00B60D69" w:rsidP="00043CF9">
      <w:pPr>
        <w:pStyle w:val="ListParagraph"/>
        <w:numPr>
          <w:ilvl w:val="0"/>
          <w:numId w:val="3"/>
        </w:numPr>
        <w:spacing w:after="120"/>
        <w:contextualSpacing w:val="0"/>
      </w:pPr>
      <w:r>
        <w:t xml:space="preserve">Section VII.G.7 allows The Battery Network to suspend or terminate a site for noncompliance or safety concerns without a described process. We request that the plan include a defined notice process before suspension or termination, along with an appeal mechanism. </w:t>
      </w:r>
    </w:p>
    <w:p w14:paraId="6D6BC37F" w14:textId="77777777" w:rsidR="003979F5" w:rsidRPr="00F22EA5" w:rsidRDefault="003979F5" w:rsidP="003979F5">
      <w:pPr>
        <w:pStyle w:val="ListParagraph"/>
        <w:rPr>
          <w:sz w:val="16"/>
          <w:szCs w:val="16"/>
        </w:rPr>
      </w:pPr>
    </w:p>
    <w:p w14:paraId="02BBBDAB" w14:textId="18C02D11" w:rsidR="0052080A" w:rsidRDefault="003979F5" w:rsidP="001F6FD6">
      <w:pPr>
        <w:pStyle w:val="ListParagraph"/>
        <w:numPr>
          <w:ilvl w:val="0"/>
          <w:numId w:val="2"/>
        </w:numPr>
      </w:pPr>
      <w:r>
        <w:t>Routing of Damaged and Defective Batteries to HHW Facilities</w:t>
      </w:r>
    </w:p>
    <w:p w14:paraId="6576DC2B" w14:textId="77777777" w:rsidR="00B60D69" w:rsidRPr="00560994" w:rsidRDefault="00B60D69" w:rsidP="00B60D69">
      <w:pPr>
        <w:rPr>
          <w:sz w:val="10"/>
          <w:szCs w:val="10"/>
        </w:rPr>
      </w:pPr>
    </w:p>
    <w:p w14:paraId="3D105864" w14:textId="7CFBE8EF" w:rsidR="00B60D69" w:rsidRDefault="005D37A3" w:rsidP="00043CF9">
      <w:pPr>
        <w:pStyle w:val="ListParagraph"/>
        <w:numPr>
          <w:ilvl w:val="0"/>
          <w:numId w:val="4"/>
        </w:numPr>
        <w:spacing w:after="120"/>
        <w:contextualSpacing w:val="0"/>
      </w:pPr>
      <w:r>
        <w:t xml:space="preserve">The plan directs that retail sites </w:t>
      </w:r>
      <w:proofErr w:type="gramStart"/>
      <w:r>
        <w:t>not manage</w:t>
      </w:r>
      <w:proofErr w:type="gramEnd"/>
      <w:r>
        <w:t xml:space="preserve"> damaged or defective (DD) batteries and instead routes all DD batteries to HHW facilities (Section V.G), concentrating the highest-risk material </w:t>
      </w:r>
      <w:r w:rsidR="00D73619">
        <w:t xml:space="preserve">at the subset of sites that are trained to handle it, most of these sites are operated by our members and local governments. As the network expands primarily through retail signups, we ask DOE to require The Battery Network to demonstrate that HHW and transfer-station capacity will scale proportionally with DD battery volume, not just with total site count. </w:t>
      </w:r>
    </w:p>
    <w:p w14:paraId="6B6E7AEA" w14:textId="3BA517A2" w:rsidR="00D73619" w:rsidRDefault="00D73619" w:rsidP="00043CF9">
      <w:pPr>
        <w:pStyle w:val="ListParagraph"/>
        <w:numPr>
          <w:ilvl w:val="0"/>
          <w:numId w:val="4"/>
        </w:numPr>
        <w:spacing w:after="120"/>
        <w:contextualSpacing w:val="0"/>
      </w:pPr>
      <w:r>
        <w:t xml:space="preserve">The plan commits to shipping a specialized container to a site within two business days of notification of a DD battery discovery (Section V.G). We ask that this turnaround be made a binding service standard in the approved plan, with a defined </w:t>
      </w:r>
      <w:r w:rsidR="00725AB6">
        <w:t>fallback</w:t>
      </w:r>
      <w:r>
        <w:t xml:space="preserve"> (e.g., </w:t>
      </w:r>
      <w:r w:rsidR="00725AB6">
        <w:t>temporary</w:t>
      </w:r>
      <w:r>
        <w:t xml:space="preserve"> safe-</w:t>
      </w:r>
      <w:r w:rsidR="00725AB6">
        <w:t>storage</w:t>
      </w:r>
      <w:r>
        <w:t xml:space="preserve"> guidance) if The Battery Network </w:t>
      </w:r>
      <w:r w:rsidR="00725AB6">
        <w:t xml:space="preserve">does not meet it. </w:t>
      </w:r>
    </w:p>
    <w:p w14:paraId="7386D442" w14:textId="0CEC5EF3" w:rsidR="00725AB6" w:rsidRDefault="00725AB6" w:rsidP="00B60D69">
      <w:pPr>
        <w:pStyle w:val="ListParagraph"/>
        <w:numPr>
          <w:ilvl w:val="0"/>
          <w:numId w:val="4"/>
        </w:numPr>
      </w:pPr>
      <w:r>
        <w:t xml:space="preserve">Annual DD-battery handling training is required of all DD collection sites (section V.J). We ask that the plan clarify whether The Battery Network will cover costs associated with staff time for this training, not solely the training content. </w:t>
      </w:r>
    </w:p>
    <w:p w14:paraId="42BB0288" w14:textId="77777777" w:rsidR="00B60D69" w:rsidRPr="00F22EA5" w:rsidRDefault="00B60D69" w:rsidP="00B60D69">
      <w:pPr>
        <w:rPr>
          <w:sz w:val="16"/>
          <w:szCs w:val="16"/>
        </w:rPr>
      </w:pPr>
    </w:p>
    <w:p w14:paraId="18C3D236" w14:textId="545C1E99" w:rsidR="003979F5" w:rsidRDefault="003979F5" w:rsidP="001F6FD6">
      <w:pPr>
        <w:pStyle w:val="ListParagraph"/>
        <w:numPr>
          <w:ilvl w:val="0"/>
          <w:numId w:val="2"/>
        </w:numPr>
      </w:pPr>
      <w:r>
        <w:t>Site Expansion Timeline and Cost-to-Serve</w:t>
      </w:r>
    </w:p>
    <w:p w14:paraId="0E960A97" w14:textId="77777777" w:rsidR="00725AB6" w:rsidRPr="00560994" w:rsidRDefault="00725AB6" w:rsidP="00725AB6">
      <w:pPr>
        <w:rPr>
          <w:sz w:val="10"/>
          <w:szCs w:val="10"/>
        </w:rPr>
      </w:pPr>
    </w:p>
    <w:p w14:paraId="5E7AA895" w14:textId="14C43F6A" w:rsidR="00725AB6" w:rsidRDefault="00725AB6" w:rsidP="00043CF9">
      <w:pPr>
        <w:pStyle w:val="ListParagraph"/>
        <w:numPr>
          <w:ilvl w:val="0"/>
          <w:numId w:val="5"/>
        </w:numPr>
        <w:spacing w:after="120"/>
        <w:contextualSpacing w:val="0"/>
      </w:pPr>
      <w:r>
        <w:t xml:space="preserve">The plan identifies a statewide gap of 165 additional permanent sites needed to meet the </w:t>
      </w:r>
      <w:r w:rsidR="0022485A">
        <w:t>convenience</w:t>
      </w:r>
      <w:r w:rsidR="001D2F7E">
        <w:t xml:space="preserve"> standards of WAC 173-905-500, with a target date of June 1, 2027 (Table 2), including 53 additional </w:t>
      </w:r>
      <w:r w:rsidR="006244ED">
        <w:t xml:space="preserve">sites in King County alone. We ask DOE to require a sequencing and prioritization plan showing how this gap will be closed, and specifically how much of it The Battery Network expects to fill through existing solid waste and HHW infrastructure versus new retail sites. </w:t>
      </w:r>
    </w:p>
    <w:p w14:paraId="30DDFD83" w14:textId="14ECDC09" w:rsidR="006244ED" w:rsidRDefault="006244ED" w:rsidP="00043CF9">
      <w:pPr>
        <w:pStyle w:val="ListParagraph"/>
        <w:numPr>
          <w:ilvl w:val="0"/>
          <w:numId w:val="5"/>
        </w:numPr>
        <w:spacing w:after="120"/>
        <w:contextualSpacing w:val="0"/>
      </w:pPr>
      <w:r>
        <w:t>The plan lists “cost-effectiveness</w:t>
      </w:r>
      <w:r w:rsidR="00AF57CE">
        <w:t xml:space="preserve">” as a siting factor alongside accessibility (section V.B). We are concerned this could result in rural and </w:t>
      </w:r>
      <w:r w:rsidR="0022485A">
        <w:t>overburdened</w:t>
      </w:r>
      <w:r w:rsidR="00AF57CE">
        <w:t xml:space="preserve"> communities</w:t>
      </w:r>
      <w:r w:rsidR="0022485A">
        <w:t xml:space="preserve"> (where new site development is more expensive) being deprioritized relative to the per-county minimums required by WAC 173-905-500(3)(c). We ask DOE to confirm that cost-to-serve considerations may not override the statutory county coverage requirements. </w:t>
      </w:r>
    </w:p>
    <w:p w14:paraId="476A03B5" w14:textId="77777777" w:rsidR="00725AB6" w:rsidRPr="00F22EA5" w:rsidRDefault="00725AB6" w:rsidP="00725AB6">
      <w:pPr>
        <w:rPr>
          <w:sz w:val="16"/>
          <w:szCs w:val="16"/>
        </w:rPr>
      </w:pPr>
    </w:p>
    <w:p w14:paraId="796FDB04" w14:textId="2E2E5A57" w:rsidR="0022485A" w:rsidRDefault="003979F5" w:rsidP="0022485A">
      <w:pPr>
        <w:pStyle w:val="ListParagraph"/>
        <w:numPr>
          <w:ilvl w:val="0"/>
          <w:numId w:val="2"/>
        </w:numPr>
      </w:pPr>
      <w:r>
        <w:t>Use of Existing Collection and Recycling Infrastructure</w:t>
      </w:r>
    </w:p>
    <w:p w14:paraId="6B50509E" w14:textId="77777777" w:rsidR="00560994" w:rsidRPr="00560994" w:rsidRDefault="00560994" w:rsidP="00560994">
      <w:pPr>
        <w:pStyle w:val="ListParagraph"/>
        <w:rPr>
          <w:sz w:val="10"/>
          <w:szCs w:val="10"/>
        </w:rPr>
      </w:pPr>
    </w:p>
    <w:p w14:paraId="3E510E29" w14:textId="0083D3F7" w:rsidR="0022485A" w:rsidRDefault="0022485A" w:rsidP="00043CF9">
      <w:pPr>
        <w:pStyle w:val="ListParagraph"/>
        <w:numPr>
          <w:ilvl w:val="0"/>
          <w:numId w:val="6"/>
        </w:numPr>
        <w:spacing w:after="120"/>
        <w:contextualSpacing w:val="0"/>
      </w:pPr>
      <w:r>
        <w:t>The plan identifies NWR</w:t>
      </w:r>
      <w:r w:rsidR="009E068C">
        <w:t xml:space="preserve">A, </w:t>
      </w:r>
      <w:proofErr w:type="spellStart"/>
      <w:r>
        <w:t>Arcwood</w:t>
      </w:r>
      <w:proofErr w:type="spellEnd"/>
      <w:r>
        <w:t>, and Recology as existing partners. We ask The</w:t>
      </w:r>
      <w:r w:rsidR="00687227">
        <w:t xml:space="preserve"> Battery Network to clarify the cope of these partnerships and whether a standard site-</w:t>
      </w:r>
      <w:r w:rsidR="009E068C">
        <w:t>participation</w:t>
      </w:r>
      <w:r w:rsidR="00687227">
        <w:t xml:space="preserve"> agreement is available for review, so that WRRA members considering participation are not each negotiating terms individually. </w:t>
      </w:r>
    </w:p>
    <w:p w14:paraId="4A6B2FA6" w14:textId="0B86607B" w:rsidR="00687227" w:rsidRDefault="00687227" w:rsidP="00043CF9">
      <w:pPr>
        <w:pStyle w:val="ListParagraph"/>
        <w:numPr>
          <w:ilvl w:val="0"/>
          <w:numId w:val="6"/>
        </w:numPr>
        <w:spacing w:after="120"/>
        <w:contextualSpacing w:val="0"/>
      </w:pPr>
      <w:r>
        <w:t>For collection events under Section VI.D, costs are borne by the requesting entity unless otherwise agreed with T</w:t>
      </w:r>
      <w:r w:rsidR="00FE7176">
        <w:t>he Battery Network. Because collection events will be relied upon to me</w:t>
      </w:r>
      <w:r w:rsidR="009E068C">
        <w:t>et the annual</w:t>
      </w:r>
      <w:r w:rsidR="00FE7176">
        <w:t xml:space="preserve"> per-county requirement in counties without a permanent site, we ask DOE to require </w:t>
      </w:r>
      <w:r w:rsidR="009E068C">
        <w:t>that The Battery Network, rather than the host facility, bear the default cost of events initiated to fill program coverage gaps</w:t>
      </w:r>
      <w:r w:rsidR="00576B8C">
        <w:t xml:space="preserve"> for both private businesses and local governments</w:t>
      </w:r>
      <w:r w:rsidR="009E068C">
        <w:t xml:space="preserve">. </w:t>
      </w:r>
    </w:p>
    <w:p w14:paraId="77B4F960" w14:textId="77777777" w:rsidR="0022485A" w:rsidRPr="00F22EA5" w:rsidRDefault="0022485A" w:rsidP="0022485A">
      <w:pPr>
        <w:rPr>
          <w:sz w:val="16"/>
          <w:szCs w:val="16"/>
        </w:rPr>
      </w:pPr>
    </w:p>
    <w:p w14:paraId="71D91C22" w14:textId="09F547EA" w:rsidR="00373B7E" w:rsidRDefault="00373B7E" w:rsidP="001F6FD6">
      <w:pPr>
        <w:pStyle w:val="ListParagraph"/>
        <w:numPr>
          <w:ilvl w:val="0"/>
          <w:numId w:val="2"/>
        </w:numPr>
      </w:pPr>
      <w:r>
        <w:t>Local Government Reimbursement Agreement Terms</w:t>
      </w:r>
    </w:p>
    <w:p w14:paraId="53530B00" w14:textId="77777777" w:rsidR="00043CF9" w:rsidRPr="00043CF9" w:rsidRDefault="00043CF9" w:rsidP="00043CF9">
      <w:pPr>
        <w:pStyle w:val="ListParagraph"/>
        <w:ind w:left="360"/>
        <w:rPr>
          <w:sz w:val="10"/>
          <w:szCs w:val="10"/>
        </w:rPr>
      </w:pPr>
    </w:p>
    <w:p w14:paraId="722CBE3E" w14:textId="54F0C372" w:rsidR="00373B7E" w:rsidRDefault="00373B7E" w:rsidP="00043CF9">
      <w:pPr>
        <w:pStyle w:val="ListParagraph"/>
        <w:numPr>
          <w:ilvl w:val="1"/>
          <w:numId w:val="2"/>
        </w:numPr>
        <w:spacing w:after="120"/>
        <w:contextualSpacing w:val="0"/>
      </w:pPr>
      <w:r>
        <w:t xml:space="preserve">Reimbursement under this program is structured as a local-government-only mechanism: Section IV.D states that </w:t>
      </w:r>
      <w:proofErr w:type="spellStart"/>
      <w:r>
        <w:t>GreenVantage</w:t>
      </w:r>
      <w:proofErr w:type="spellEnd"/>
      <w:r>
        <w:t xml:space="preserve"> “reimburse[s] relevant local government collection sites,” and the underlying agreement in Appendix C runs only with a “Local Government Battery Collection Site.” Private member facilities – most solid waste and recycling companies – that participate as stand</w:t>
      </w:r>
      <w:r w:rsidR="00A53744">
        <w:t xml:space="preserve">ard collection sites therefore have no reimbursement path at all; they receive only the in-kind services described in Section V.L. We ask DOE to require that the plan address whether and how private host facilities </w:t>
      </w:r>
      <w:r w:rsidR="006376F1">
        <w:t xml:space="preserve">that operate as an essential part of local government solid waste management systems </w:t>
      </w:r>
      <w:r w:rsidR="00855E62">
        <w:t xml:space="preserve">may recover demonstrable costs, not only local governments. </w:t>
      </w:r>
    </w:p>
    <w:p w14:paraId="67EFF527" w14:textId="1F679579" w:rsidR="00D20D22" w:rsidRDefault="00F170C6" w:rsidP="00D20D22">
      <w:pPr>
        <w:pStyle w:val="ListParagraph"/>
        <w:numPr>
          <w:ilvl w:val="1"/>
          <w:numId w:val="2"/>
        </w:numPr>
        <w:spacing w:after="120"/>
        <w:contextualSpacing w:val="0"/>
      </w:pPr>
      <w:r>
        <w:t>The PRO plan should account for private sector</w:t>
      </w:r>
      <w:r w:rsidR="00385948">
        <w:t xml:space="preserve"> entity </w:t>
      </w:r>
      <w:r>
        <w:t>reimbursement</w:t>
      </w:r>
      <w:r w:rsidR="00385948">
        <w:t xml:space="preserve"> under certain conditions. </w:t>
      </w:r>
      <w:r w:rsidR="00385948" w:rsidRPr="00385948">
        <w:t>RCW 70A.555.060</w:t>
      </w:r>
      <w:r w:rsidR="00385948">
        <w:t xml:space="preserve"> requires a battery stewardship organization to “</w:t>
      </w:r>
      <w:r w:rsidR="00385948" w:rsidRPr="00385948">
        <w:t>ensure adequate funding is available to fully implement approved battery stewardship plans</w:t>
      </w:r>
      <w:r w:rsidR="00385948">
        <w:t>” including “battery collection, transporting, and processing.”</w:t>
      </w:r>
      <w:r w:rsidR="00576B8C">
        <w:t xml:space="preserve"> </w:t>
      </w:r>
      <w:r w:rsidR="001F642F">
        <w:t xml:space="preserve">Private businesses are within the scope of the program per RCW 70A.555.070. Similarly. </w:t>
      </w:r>
      <w:r w:rsidR="00385948" w:rsidRPr="00385948">
        <w:t>RCW 70A.555.060</w:t>
      </w:r>
      <w:r w:rsidR="00385948">
        <w:t>(3) requires that “</w:t>
      </w:r>
      <w:r w:rsidR="00385948" w:rsidRPr="00385948">
        <w:t>each battery stewardship organization is responsible for all costs of participating covered battery collection, transportation, processing, education, administration, agency reimbursement, recycling, and end-of-life management</w:t>
      </w:r>
      <w:r w:rsidR="00385948">
        <w:t>.”</w:t>
      </w:r>
      <w:r w:rsidR="001F642F">
        <w:t xml:space="preserve"> </w:t>
      </w:r>
      <w:r w:rsidR="001F642F" w:rsidRPr="00385948">
        <w:t>RCW 70A.555.060</w:t>
      </w:r>
      <w:r w:rsidR="001F642F">
        <w:t>(3) &amp; 4 also discuss</w:t>
      </w:r>
      <w:r w:rsidR="00D20D22">
        <w:t>es additional</w:t>
      </w:r>
      <w:r w:rsidR="001F642F">
        <w:t xml:space="preserve"> reimbur</w:t>
      </w:r>
      <w:r w:rsidR="00D20D22">
        <w:t>sable expenses</w:t>
      </w:r>
      <w:r w:rsidR="001F642F">
        <w:t xml:space="preserve"> for local governments and local government facilities</w:t>
      </w:r>
      <w:r w:rsidR="00D20D22">
        <w:t>, like staffing</w:t>
      </w:r>
      <w:r w:rsidR="001F642F">
        <w:t>.</w:t>
      </w:r>
    </w:p>
    <w:p w14:paraId="12660307" w14:textId="2C98D89F" w:rsidR="00F170C6" w:rsidRDefault="00D20D22" w:rsidP="00D20D22">
      <w:pPr>
        <w:pStyle w:val="ListParagraph"/>
        <w:numPr>
          <w:ilvl w:val="1"/>
          <w:numId w:val="2"/>
        </w:numPr>
        <w:spacing w:after="120"/>
        <w:contextualSpacing w:val="0"/>
      </w:pPr>
      <w:r>
        <w:t xml:space="preserve">Ownership of local government solid waste facilities can be </w:t>
      </w:r>
      <w:r w:rsidR="006376F1">
        <w:t>complex,</w:t>
      </w:r>
      <w:r>
        <w:t xml:space="preserve"> and the Plan should provide adequate reimbursement to facilities utilized as part of a local government solid waste system. Local governments can own and operate facilities themselves, utilize a private sector service provider’s facility as an integral part of their local government solid waste system, or contract with a private service provider to operate a government owned facility</w:t>
      </w:r>
      <w:r w:rsidR="006376F1">
        <w:t>,</w:t>
      </w:r>
      <w:r>
        <w:t xml:space="preserve"> and various other contractual relationships. These essential solid waste facilities, such as transfer stations, </w:t>
      </w:r>
      <w:r w:rsidR="006376F1">
        <w:t>from an integral part of local solid waste management systems and the Plan should address a pathway for reimbursement at these essential local facilities.</w:t>
      </w:r>
    </w:p>
    <w:p w14:paraId="62296D01" w14:textId="52BADB31" w:rsidR="00855E62" w:rsidRDefault="00855E62" w:rsidP="00043CF9">
      <w:pPr>
        <w:pStyle w:val="ListParagraph"/>
        <w:numPr>
          <w:ilvl w:val="1"/>
          <w:numId w:val="2"/>
        </w:numPr>
        <w:spacing w:after="120"/>
        <w:contextualSpacing w:val="0"/>
      </w:pPr>
      <w:r>
        <w:t xml:space="preserve">The plan’s item-by-item mapping of the regulatory “demonstrable costs” definition (Section IV.C.1) shows that most cost categories – sorting, storage containers, transport to the recycling vendor, and event-collected batteries – are provided in-kind at no cost, so no local </w:t>
      </w:r>
      <w:r w:rsidR="00B437B6">
        <w:t>government</w:t>
      </w:r>
      <w:r>
        <w:t xml:space="preserve"> expe3nse is actually incurred for those items. Only two </w:t>
      </w:r>
      <w:r w:rsidR="00B437B6">
        <w:t>categories</w:t>
      </w:r>
      <w:r>
        <w:t xml:space="preserve"> involve real cost exposure to the local government: (c) transportation/consolidation from satellite sites, which is reimbursed only “on a case-by-case basis” for geographically isolated communities, and (g) “additional </w:t>
      </w:r>
      <w:r w:rsidR="0037404B">
        <w:t>agreed-to costs,” which are handled through open-ended, undefined “ongoing collaboration” rather than a defined process. We ask DOE to require that satellite-site transportation reimbursement be ava</w:t>
      </w:r>
      <w:r w:rsidR="00EF40B2">
        <w:t>ilable to any site meeting defined geographic-isolation criteria, and that “additional agreed-to costs” be reimbursed under a defined process with clear criteria and timeline rather than case-by-case discretion.</w:t>
      </w:r>
    </w:p>
    <w:p w14:paraId="5592C5C1" w14:textId="0A41E9A3" w:rsidR="00EF40B2" w:rsidRDefault="00EF40B2" w:rsidP="00043CF9">
      <w:pPr>
        <w:pStyle w:val="ListParagraph"/>
        <w:numPr>
          <w:ilvl w:val="1"/>
          <w:numId w:val="2"/>
        </w:numPr>
        <w:spacing w:after="120"/>
        <w:contextualSpacing w:val="0"/>
      </w:pPr>
      <w:r>
        <w:t xml:space="preserve">The plan states that the $0.20 per pound base rate was derived from a review of </w:t>
      </w:r>
      <w:r w:rsidR="00752FC1">
        <w:t>labor</w:t>
      </w:r>
      <w:r>
        <w:t xml:space="preserve"> rates and times studies covering the “full oversight of collection, preparation, shipment, and reorder” (</w:t>
      </w:r>
      <w:r w:rsidR="00752FC1">
        <w:t>S</w:t>
      </w:r>
      <w:r>
        <w:t>ection IV.D.</w:t>
      </w:r>
      <w:r w:rsidR="00752FC1">
        <w:t>1), but does not disclose that methodology or its underlying assumption. We ask</w:t>
      </w:r>
      <w:r w:rsidR="00B437B6">
        <w:t xml:space="preserve"> </w:t>
      </w:r>
      <w:r w:rsidR="00FC4FA9">
        <w:t xml:space="preserve">DOE to require The Battery Network to publish the methodology </w:t>
      </w:r>
      <w:r w:rsidR="00B437B6">
        <w:t xml:space="preserve">and data supporting the rate, confirm what oversight activities it is intended to cover (including whether required training time is included), and commit to periodic reassessment of the rate. </w:t>
      </w:r>
    </w:p>
    <w:p w14:paraId="3D34B01D" w14:textId="1C5C45E6" w:rsidR="00B437B6" w:rsidRDefault="00E54613" w:rsidP="00043CF9">
      <w:pPr>
        <w:pStyle w:val="ListParagraph"/>
        <w:numPr>
          <w:ilvl w:val="1"/>
          <w:numId w:val="2"/>
        </w:numPr>
        <w:spacing w:after="120"/>
        <w:contextualSpacing w:val="0"/>
      </w:pPr>
      <w:r>
        <w:t xml:space="preserve">Section IV.D states that The Battery Network “may establish reasonable reimbursement minimums and operational eligibility criteria” for the </w:t>
      </w:r>
      <w:proofErr w:type="spellStart"/>
      <w:r>
        <w:t>GreenVantage</w:t>
      </w:r>
      <w:proofErr w:type="spellEnd"/>
      <w:r>
        <w:t xml:space="preserve"> program, without specifying what those minimums or criteria are. We ask DOE to require that any such thresholds be disclosed in the approved plan and be set at a level that does not exclude smaller-volume local government collection sies from reimbursement altogether. </w:t>
      </w:r>
    </w:p>
    <w:p w14:paraId="5C51756B" w14:textId="31D27DC0" w:rsidR="00E54613" w:rsidRDefault="00C954AB" w:rsidP="00043CF9">
      <w:pPr>
        <w:pStyle w:val="ListParagraph"/>
        <w:numPr>
          <w:ilvl w:val="1"/>
          <w:numId w:val="2"/>
        </w:numPr>
        <w:spacing w:after="120"/>
        <w:contextualSpacing w:val="0"/>
      </w:pPr>
      <w:r>
        <w:t xml:space="preserve">Section 7(c) of </w:t>
      </w:r>
      <w:r w:rsidR="008D7A7E">
        <w:t xml:space="preserve">Appendix C caps The Battery Network’s total liability at the aggregate amount of reimbursement paid to the host for the calendar year – potentially a </w:t>
      </w:r>
      <w:r w:rsidR="00576B8C">
        <w:t>f</w:t>
      </w:r>
      <w:r w:rsidR="008D7A7E">
        <w:t xml:space="preserve">ew hundred dollars for a modest-volume site. This cap would apply even to claims arising from The Battery Network’s own negligence or </w:t>
      </w:r>
      <w:r w:rsidR="00C02A35">
        <w:t>willful</w:t>
      </w:r>
      <w:r w:rsidR="008D7A7E">
        <w:t xml:space="preserve"> misconduct </w:t>
      </w:r>
      <w:r w:rsidR="00C02A35">
        <w:t xml:space="preserve">in program design, container specifications, or shipping instructions, and is disproportionate to the potential costs of a battery-related fire or injury. We ask DOE to require that this cap be removed, or at a minimum not apply to claims arising from The Battery Network’s negligence or willful misconduct. </w:t>
      </w:r>
    </w:p>
    <w:p w14:paraId="7832763E" w14:textId="7DF613E6" w:rsidR="00C02A35" w:rsidRDefault="00693B81" w:rsidP="00043CF9">
      <w:pPr>
        <w:pStyle w:val="ListParagraph"/>
        <w:numPr>
          <w:ilvl w:val="1"/>
          <w:numId w:val="2"/>
        </w:numPr>
        <w:spacing w:after="120"/>
        <w:contextualSpacing w:val="0"/>
      </w:pPr>
      <w:r>
        <w:t xml:space="preserve">Section 4(a) of the agreement allows either party to terminate for convenience on thirty </w:t>
      </w:r>
      <w:r w:rsidR="00720D75">
        <w:t>days’ notice</w:t>
      </w:r>
      <w:r>
        <w:t xml:space="preserve">. Host facilities will have invested staff time in training and built battery collection into their operations; a short, unilateral termination window gives hosts little ability to recover transition costs or wind down responsibly. We ask DOE to require a longer minimum term, or a </w:t>
      </w:r>
      <w:r w:rsidR="001A28A7">
        <w:t xml:space="preserve">transition period during which The Battery Network continues to support collection kit pickup and reimbursement obligations already incurred.  </w:t>
      </w:r>
    </w:p>
    <w:p w14:paraId="4660C668" w14:textId="43122F78" w:rsidR="001A28A7" w:rsidRDefault="001A28A7" w:rsidP="00043CF9">
      <w:pPr>
        <w:pStyle w:val="ListParagraph"/>
        <w:numPr>
          <w:ilvl w:val="1"/>
          <w:numId w:val="2"/>
        </w:numPr>
        <w:spacing w:after="120"/>
        <w:contextualSpacing w:val="0"/>
      </w:pPr>
      <w:r>
        <w:t>Section 8 of the agreement makes the host sole</w:t>
      </w:r>
      <w:r w:rsidR="00720D75">
        <w:t>l</w:t>
      </w:r>
      <w:r>
        <w:t xml:space="preserve">y responsible for correctly representing materials for shipment and allows The Battey Network </w:t>
      </w:r>
      <w:r w:rsidR="00CA257A">
        <w:t xml:space="preserve">to invoice the host for fees on non-covered materials (including recalled batteries and vapes) if the </w:t>
      </w:r>
      <w:proofErr w:type="spellStart"/>
      <w:r w:rsidR="00CA257A">
        <w:t>GreenVantage</w:t>
      </w:r>
      <w:proofErr w:type="spellEnd"/>
      <w:r w:rsidR="00CA257A">
        <w:t xml:space="preserve"> credit does not cover them</w:t>
      </w:r>
      <w:r w:rsidR="00720D75">
        <w:t xml:space="preserve">. Because public drop-off sites cannot fully control what residents place in a collection box, we ask DOE to require a reasonable de minimis allowance before such fees apply, along with clear notice and a process to dispute a contested fee. </w:t>
      </w:r>
    </w:p>
    <w:p w14:paraId="21039790" w14:textId="61EDAA43" w:rsidR="00F45005" w:rsidRDefault="00F45005" w:rsidP="00043CF9">
      <w:pPr>
        <w:pStyle w:val="ListParagraph"/>
        <w:numPr>
          <w:ilvl w:val="1"/>
          <w:numId w:val="2"/>
        </w:numPr>
        <w:spacing w:after="120"/>
        <w:contextualSpacing w:val="0"/>
      </w:pPr>
      <w:r>
        <w:t xml:space="preserve">Taken together, these terms show that even local governments </w:t>
      </w:r>
      <w:r w:rsidR="005A4F44">
        <w:t xml:space="preserve">– with a negotiated written agreement, defined reimbursement rights, and DOE oversight of the template through a formal stakeholder process – are exposed to a low liability cap, asymmetric </w:t>
      </w:r>
      <w:r w:rsidR="00283E2E">
        <w:t xml:space="preserve">insurance terms, and a unilateral rate and termination rights. Private collection sites have none of that: no written agreement, no defined liability or insurance terms, and no reimbursement mechanism at all, relying entirely on the plan’s general description of in-kind services. </w:t>
      </w:r>
      <w:r w:rsidR="00576B8C">
        <w:t xml:space="preserve">Private solid waste and recycling facilities are a core part of Washington’s existing collection infrastructure, and the site-expansion targets in Table 2 cannot realistically be met without their participation. </w:t>
      </w:r>
      <w:r w:rsidR="00283E2E">
        <w:t xml:space="preserve">We ask DOE to clarify </w:t>
      </w:r>
      <w:r w:rsidR="00A41110">
        <w:t xml:space="preserve">whether this is intentional and to require The Battery Network to offer every participating collection site, public or private, a written site agreement that at a minimum defines liability allocation, insurance expectations, and termination notice, rather than leaving private hosts with no contractual protection or reimbursement pathway whatsoever. </w:t>
      </w:r>
    </w:p>
    <w:p w14:paraId="5564478D" w14:textId="77777777" w:rsidR="00720D75" w:rsidRPr="00F22EA5" w:rsidRDefault="00720D75" w:rsidP="00043CF9">
      <w:pPr>
        <w:rPr>
          <w:sz w:val="16"/>
          <w:szCs w:val="16"/>
        </w:rPr>
      </w:pPr>
    </w:p>
    <w:p w14:paraId="6C40D37F" w14:textId="1024E104" w:rsidR="003979F5" w:rsidRDefault="003979F5" w:rsidP="001F6FD6">
      <w:pPr>
        <w:pStyle w:val="ListParagraph"/>
        <w:numPr>
          <w:ilvl w:val="0"/>
          <w:numId w:val="2"/>
        </w:numPr>
      </w:pPr>
      <w:r>
        <w:t>Reporting and Recordkeeping</w:t>
      </w:r>
    </w:p>
    <w:p w14:paraId="05568044" w14:textId="77777777" w:rsidR="009E068C" w:rsidRPr="00560994" w:rsidRDefault="009E068C" w:rsidP="009E068C">
      <w:pPr>
        <w:rPr>
          <w:sz w:val="10"/>
          <w:szCs w:val="10"/>
        </w:rPr>
      </w:pPr>
    </w:p>
    <w:p w14:paraId="75B09269" w14:textId="70F5E0EE" w:rsidR="009E068C" w:rsidRDefault="009E068C" w:rsidP="009E068C">
      <w:pPr>
        <w:pStyle w:val="ListParagraph"/>
        <w:numPr>
          <w:ilvl w:val="0"/>
          <w:numId w:val="7"/>
        </w:numPr>
      </w:pPr>
      <w:r>
        <w:t xml:space="preserve">Host facilities will generate training, incident, and shipment records as part of their participation. We ask that the approved plan confirm that host facilities retain independent access to their own records within the Collection Hub and </w:t>
      </w:r>
      <w:proofErr w:type="spellStart"/>
      <w:r>
        <w:t>GreenTrax</w:t>
      </w:r>
      <w:proofErr w:type="spellEnd"/>
      <w:r>
        <w:t xml:space="preserve"> platforms for their own compliance and audit purposes, rather than those records being visible only to the Battery Network. </w:t>
      </w:r>
    </w:p>
    <w:p w14:paraId="0B017E94" w14:textId="77777777" w:rsidR="009E068C" w:rsidRPr="00560994" w:rsidRDefault="009E068C" w:rsidP="009E068C">
      <w:pPr>
        <w:rPr>
          <w:sz w:val="16"/>
          <w:szCs w:val="16"/>
        </w:rPr>
      </w:pPr>
    </w:p>
    <w:p w14:paraId="4713BFD8" w14:textId="632C6524" w:rsidR="009E068C" w:rsidRDefault="009E068C" w:rsidP="009E068C">
      <w:r>
        <w:t xml:space="preserve">WRRA appreciates the opportunity to comment on this plan and the Department’s consideration of these issues. We would welcome the opportunity to discuss these comments further before the plan is finalized. Please contact </w:t>
      </w:r>
      <w:r w:rsidR="00DB252A">
        <w:t xml:space="preserve">India Brine at </w:t>
      </w:r>
      <w:hyperlink r:id="rId10" w:history="1">
        <w:r w:rsidR="00DB252A" w:rsidRPr="00740118">
          <w:rPr>
            <w:rStyle w:val="Hyperlink"/>
          </w:rPr>
          <w:t>india@wrra.org</w:t>
        </w:r>
      </w:hyperlink>
      <w:r w:rsidR="00DB252A">
        <w:t xml:space="preserve"> or </w:t>
      </w:r>
      <w:proofErr w:type="gramStart"/>
      <w:r w:rsidR="00DB252A">
        <w:t>myself</w:t>
      </w:r>
      <w:proofErr w:type="gramEnd"/>
      <w:r w:rsidR="00DB252A">
        <w:t xml:space="preserve"> at </w:t>
      </w:r>
      <w:hyperlink r:id="rId11" w:history="1">
        <w:r w:rsidR="00DB252A" w:rsidRPr="00740118">
          <w:rPr>
            <w:rStyle w:val="Hyperlink"/>
          </w:rPr>
          <w:t>brad@wrra.org</w:t>
        </w:r>
      </w:hyperlink>
      <w:r w:rsidR="00DB252A">
        <w:t xml:space="preserve"> with any questions.</w:t>
      </w:r>
    </w:p>
    <w:p w14:paraId="270EC96C" w14:textId="77777777" w:rsidR="00DB252A" w:rsidRDefault="00DB252A" w:rsidP="009E068C"/>
    <w:p w14:paraId="39A94E90" w14:textId="30ED4BC6" w:rsidR="00DB252A" w:rsidRDefault="00DB252A" w:rsidP="009E068C">
      <w:r>
        <w:t>Sincerely,</w:t>
      </w:r>
    </w:p>
    <w:p w14:paraId="0AF6AC20" w14:textId="48796B9F" w:rsidR="00DB252A" w:rsidRDefault="00B60287" w:rsidP="00B60287">
      <w:pPr>
        <w:pStyle w:val="NormalWeb"/>
        <w:spacing w:before="0" w:beforeAutospacing="0" w:after="0" w:afterAutospacing="0"/>
      </w:pPr>
      <w:r>
        <w:rPr>
          <w:noProof/>
        </w:rPr>
        <w:drawing>
          <wp:inline distT="0" distB="0" distL="0" distR="0" wp14:anchorId="653849D2" wp14:editId="22E572A4">
            <wp:extent cx="1597628" cy="75247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18801"/>
                    <a:stretch>
                      <a:fillRect/>
                    </a:stretch>
                  </pic:blipFill>
                  <pic:spPr bwMode="auto">
                    <a:xfrm>
                      <a:off x="0" y="0"/>
                      <a:ext cx="1620251" cy="763130"/>
                    </a:xfrm>
                    <a:prstGeom prst="rect">
                      <a:avLst/>
                    </a:prstGeom>
                    <a:noFill/>
                    <a:ln>
                      <a:noFill/>
                    </a:ln>
                    <a:extLst>
                      <a:ext uri="{53640926-AAD7-44D8-BBD7-CCE9431645EC}">
                        <a14:shadowObscured xmlns:a14="http://schemas.microsoft.com/office/drawing/2010/main"/>
                      </a:ext>
                    </a:extLst>
                  </pic:spPr>
                </pic:pic>
              </a:graphicData>
            </a:graphic>
          </wp:inline>
        </w:drawing>
      </w:r>
    </w:p>
    <w:p w14:paraId="1D31AA3E" w14:textId="77777777" w:rsidR="00560994" w:rsidRDefault="00DB252A" w:rsidP="009E068C">
      <w:r>
        <w:t>Brad Lovaas</w:t>
      </w:r>
    </w:p>
    <w:p w14:paraId="4ECBC9CE" w14:textId="5421511D" w:rsidR="00DB252A" w:rsidRDefault="00DB252A" w:rsidP="009E068C">
      <w:r>
        <w:t>Executive Director, WRRA</w:t>
      </w:r>
    </w:p>
    <w:p w14:paraId="4EA05AAD" w14:textId="77777777" w:rsidR="003979F5" w:rsidRPr="00A5341A" w:rsidRDefault="003979F5" w:rsidP="003979F5"/>
    <w:sectPr w:rsidR="003979F5" w:rsidRPr="00A5341A" w:rsidSect="00560994">
      <w:headerReference w:type="even" r:id="rId13"/>
      <w:headerReference w:type="default" r:id="rId14"/>
      <w:footerReference w:type="even" r:id="rId15"/>
      <w:footerReference w:type="default" r:id="rId16"/>
      <w:headerReference w:type="first" r:id="rId17"/>
      <w:footerReference w:type="first" r:id="rId18"/>
      <w:pgSz w:w="12240" w:h="15840"/>
      <w:pgMar w:top="1440" w:right="1080" w:bottom="1440" w:left="1080" w:header="15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576A4" w14:textId="77777777" w:rsidR="00E7761F" w:rsidRDefault="00E7761F" w:rsidP="00EC06DF">
      <w:r>
        <w:separator/>
      </w:r>
    </w:p>
  </w:endnote>
  <w:endnote w:type="continuationSeparator" w:id="0">
    <w:p w14:paraId="5EC9A468" w14:textId="77777777" w:rsidR="00E7761F" w:rsidRDefault="00E7761F" w:rsidP="00EC0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91625" w14:textId="77777777" w:rsidR="00EA1878" w:rsidRDefault="00EA18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BC022" w14:textId="5B81A8D4" w:rsidR="00EC06DF" w:rsidRPr="00D03AE8" w:rsidRDefault="00EC06DF" w:rsidP="00EC06DF">
    <w:pPr>
      <w:jc w:val="center"/>
      <w:rPr>
        <w:rFonts w:ascii="Arial" w:eastAsia="Arial Unicode MS" w:hAnsi="Arial" w:cs="Arial"/>
        <w:color w:val="002A7E"/>
      </w:rPr>
    </w:pPr>
    <w:r>
      <w:rPr>
        <w:rFonts w:ascii="Arial" w:eastAsia="Arial Unicode MS" w:hAnsi="Arial" w:cs="Arial"/>
        <w:color w:val="002A7E"/>
      </w:rPr>
      <w:t>105 8</w:t>
    </w:r>
    <w:r w:rsidRPr="00EC06DF">
      <w:rPr>
        <w:rFonts w:ascii="Arial" w:eastAsia="Arial Unicode MS" w:hAnsi="Arial" w:cs="Arial"/>
        <w:color w:val="002A7E"/>
        <w:vertAlign w:val="superscript"/>
      </w:rPr>
      <w:t>th</w:t>
    </w:r>
    <w:r>
      <w:rPr>
        <w:rFonts w:ascii="Arial" w:eastAsia="Arial Unicode MS" w:hAnsi="Arial" w:cs="Arial"/>
        <w:color w:val="002A7E"/>
      </w:rPr>
      <w:t xml:space="preserve"> Ave SE, Suite 102</w:t>
    </w:r>
    <w:r w:rsidRPr="00D03AE8">
      <w:rPr>
        <w:rFonts w:ascii="Arial" w:eastAsia="Arial Unicode MS" w:hAnsi="Arial" w:cs="Arial"/>
        <w:color w:val="002A7E"/>
      </w:rPr>
      <w:t xml:space="preserve"> • </w:t>
    </w:r>
    <w:r>
      <w:rPr>
        <w:rFonts w:ascii="Arial" w:eastAsia="Arial Unicode MS" w:hAnsi="Arial" w:cs="Arial"/>
        <w:color w:val="002A7E"/>
      </w:rPr>
      <w:t>Olympia</w:t>
    </w:r>
    <w:r w:rsidRPr="00D03AE8">
      <w:rPr>
        <w:rFonts w:ascii="Arial" w:eastAsia="Arial Unicode MS" w:hAnsi="Arial" w:cs="Arial"/>
        <w:color w:val="002A7E"/>
      </w:rPr>
      <w:t>, WA 9850</w:t>
    </w:r>
    <w:r>
      <w:rPr>
        <w:rFonts w:ascii="Arial" w:eastAsia="Arial Unicode MS" w:hAnsi="Arial" w:cs="Arial"/>
        <w:color w:val="002A7E"/>
      </w:rPr>
      <w:t>1</w:t>
    </w:r>
    <w:r w:rsidRPr="00D03AE8">
      <w:rPr>
        <w:rFonts w:ascii="Arial" w:eastAsia="Arial Unicode MS" w:hAnsi="Arial" w:cs="Arial"/>
        <w:color w:val="002A7E"/>
      </w:rPr>
      <w:t xml:space="preserve"> • Phone: (360) 943-8859</w:t>
    </w:r>
  </w:p>
  <w:p w14:paraId="59667FC3" w14:textId="77777777" w:rsidR="00EC06DF" w:rsidRPr="00D03AE8" w:rsidRDefault="00EC06DF" w:rsidP="00EC06DF">
    <w:pPr>
      <w:jc w:val="center"/>
      <w:rPr>
        <w:rFonts w:ascii="Arial" w:eastAsia="Arial Unicode MS" w:hAnsi="Arial" w:cs="Arial"/>
        <w:color w:val="002A7E"/>
      </w:rPr>
    </w:pPr>
    <w:r w:rsidRPr="00D03AE8">
      <w:rPr>
        <w:rFonts w:ascii="Arial" w:eastAsia="Arial Unicode MS" w:hAnsi="Arial" w:cs="Arial"/>
        <w:color w:val="002A7E"/>
      </w:rPr>
      <w:t xml:space="preserve">Web: </w:t>
    </w:r>
    <w:hyperlink r:id="rId1" w:history="1">
      <w:r w:rsidRPr="00D03AE8">
        <w:rPr>
          <w:rStyle w:val="Hyperlink"/>
          <w:rFonts w:ascii="Arial" w:eastAsia="Arial Unicode MS" w:hAnsi="Arial"/>
        </w:rPr>
        <w:t>www.wrra.org</w:t>
      </w:r>
    </w:hyperlink>
    <w:r w:rsidRPr="00D03AE8">
      <w:rPr>
        <w:rFonts w:ascii="Arial" w:eastAsia="Arial Unicode MS" w:hAnsi="Arial" w:cs="Arial"/>
        <w:color w:val="002A7E"/>
      </w:rPr>
      <w:t xml:space="preserve"> • E-mail </w:t>
    </w:r>
    <w:hyperlink r:id="rId2" w:history="1">
      <w:r w:rsidRPr="002E435B">
        <w:rPr>
          <w:rStyle w:val="Hyperlink"/>
          <w:rFonts w:ascii="Arial" w:eastAsia="Arial Unicode MS" w:hAnsi="Arial"/>
        </w:rPr>
        <w:t>office@wrra.org</w:t>
      </w:r>
    </w:hyperlink>
    <w:r w:rsidRPr="00D03AE8">
      <w:rPr>
        <w:rFonts w:ascii="Arial" w:eastAsia="Arial Unicode MS" w:hAnsi="Arial" w:cs="Arial"/>
        <w:color w:val="002A7E"/>
      </w:rPr>
      <w:t xml:space="preserve"> </w:t>
    </w:r>
  </w:p>
  <w:p w14:paraId="4C404A82" w14:textId="77777777" w:rsidR="00EC06DF" w:rsidRDefault="00EC06DF" w:rsidP="00EC06DF">
    <w:pPr>
      <w:pStyle w:val="Footer"/>
    </w:pPr>
  </w:p>
  <w:p w14:paraId="384F5A5D" w14:textId="77777777" w:rsidR="00EC06DF" w:rsidRDefault="00EC0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D05B" w14:textId="77777777" w:rsidR="00EA1878" w:rsidRDefault="00EA18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10A54" w14:textId="77777777" w:rsidR="00E7761F" w:rsidRDefault="00E7761F" w:rsidP="00EC06DF">
      <w:r>
        <w:separator/>
      </w:r>
    </w:p>
  </w:footnote>
  <w:footnote w:type="continuationSeparator" w:id="0">
    <w:p w14:paraId="0DCC4E83" w14:textId="77777777" w:rsidR="00E7761F" w:rsidRDefault="00E7761F" w:rsidP="00EC0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35F71" w14:textId="77777777" w:rsidR="00EA1878" w:rsidRDefault="00EA18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745AE" w14:textId="416926FB" w:rsidR="00EC06DF" w:rsidRPr="008303E3" w:rsidRDefault="008303E3" w:rsidP="008303E3">
    <w:pPr>
      <w:pStyle w:val="Header"/>
    </w:pPr>
    <w:r>
      <w:rPr>
        <w:noProof/>
      </w:rPr>
      <w:drawing>
        <wp:anchor distT="0" distB="0" distL="114300" distR="114300" simplePos="0" relativeHeight="251658240" behindDoc="0" locked="0" layoutInCell="1" allowOverlap="1" wp14:anchorId="10EFB1E6" wp14:editId="57A8A2AD">
          <wp:simplePos x="0" y="0"/>
          <wp:positionH relativeFrom="column">
            <wp:posOffset>1781175</wp:posOffset>
          </wp:positionH>
          <wp:positionV relativeFrom="paragraph">
            <wp:posOffset>-834390</wp:posOffset>
          </wp:positionV>
          <wp:extent cx="2085975" cy="926272"/>
          <wp:effectExtent l="0" t="0" r="0" b="7620"/>
          <wp:wrapNone/>
          <wp:docPr id="1492671510" name="Picture 1" descr="A logo with blue arrows an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671510" name="Picture 1" descr="A logo with blue arrows and wor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85975" cy="92627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14D48" w14:textId="77777777" w:rsidR="00EA1878" w:rsidRDefault="00EA18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20922"/>
    <w:multiLevelType w:val="hybridMultilevel"/>
    <w:tmpl w:val="19AC3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C6AA2"/>
    <w:multiLevelType w:val="hybridMultilevel"/>
    <w:tmpl w:val="212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605783"/>
    <w:multiLevelType w:val="hybridMultilevel"/>
    <w:tmpl w:val="2060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364043"/>
    <w:multiLevelType w:val="hybridMultilevel"/>
    <w:tmpl w:val="01D6E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953494"/>
    <w:multiLevelType w:val="hybridMultilevel"/>
    <w:tmpl w:val="265E2942"/>
    <w:lvl w:ilvl="0" w:tplc="0409000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5911E23"/>
    <w:multiLevelType w:val="hybridMultilevel"/>
    <w:tmpl w:val="CEC4C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592B2F"/>
    <w:multiLevelType w:val="hybridMultilevel"/>
    <w:tmpl w:val="C3F2B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6176001">
    <w:abstractNumId w:val="1"/>
  </w:num>
  <w:num w:numId="2" w16cid:durableId="1575630248">
    <w:abstractNumId w:val="4"/>
  </w:num>
  <w:num w:numId="3" w16cid:durableId="1297374747">
    <w:abstractNumId w:val="6"/>
  </w:num>
  <w:num w:numId="4" w16cid:durableId="776752976">
    <w:abstractNumId w:val="5"/>
  </w:num>
  <w:num w:numId="5" w16cid:durableId="1804228872">
    <w:abstractNumId w:val="3"/>
  </w:num>
  <w:num w:numId="6" w16cid:durableId="819731188">
    <w:abstractNumId w:val="2"/>
  </w:num>
  <w:num w:numId="7" w16cid:durableId="2142963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E15"/>
    <w:rsid w:val="00043CF9"/>
    <w:rsid w:val="00086555"/>
    <w:rsid w:val="000E0A65"/>
    <w:rsid w:val="001048CD"/>
    <w:rsid w:val="0015077E"/>
    <w:rsid w:val="00155FB2"/>
    <w:rsid w:val="001972B0"/>
    <w:rsid w:val="001A28A7"/>
    <w:rsid w:val="001D2F7E"/>
    <w:rsid w:val="001F0C36"/>
    <w:rsid w:val="001F642F"/>
    <w:rsid w:val="001F6FD6"/>
    <w:rsid w:val="002051AB"/>
    <w:rsid w:val="0022485A"/>
    <w:rsid w:val="00267392"/>
    <w:rsid w:val="00283E2E"/>
    <w:rsid w:val="002A0135"/>
    <w:rsid w:val="002F420A"/>
    <w:rsid w:val="00321BFB"/>
    <w:rsid w:val="0037244A"/>
    <w:rsid w:val="00373B7E"/>
    <w:rsid w:val="0037404B"/>
    <w:rsid w:val="00385948"/>
    <w:rsid w:val="003979F5"/>
    <w:rsid w:val="003D61C3"/>
    <w:rsid w:val="004410AB"/>
    <w:rsid w:val="00461055"/>
    <w:rsid w:val="004950A0"/>
    <w:rsid w:val="004A52A9"/>
    <w:rsid w:val="004D101D"/>
    <w:rsid w:val="0052080A"/>
    <w:rsid w:val="00560994"/>
    <w:rsid w:val="00576B8C"/>
    <w:rsid w:val="005A4F44"/>
    <w:rsid w:val="005D37A3"/>
    <w:rsid w:val="005E181F"/>
    <w:rsid w:val="005E315B"/>
    <w:rsid w:val="006244ED"/>
    <w:rsid w:val="006376F1"/>
    <w:rsid w:val="00645336"/>
    <w:rsid w:val="00687227"/>
    <w:rsid w:val="00693B81"/>
    <w:rsid w:val="006F2832"/>
    <w:rsid w:val="00720D75"/>
    <w:rsid w:val="00725AB6"/>
    <w:rsid w:val="00734CE8"/>
    <w:rsid w:val="00752FC1"/>
    <w:rsid w:val="00771972"/>
    <w:rsid w:val="007A029B"/>
    <w:rsid w:val="008303E3"/>
    <w:rsid w:val="00855E62"/>
    <w:rsid w:val="008D7A7E"/>
    <w:rsid w:val="008F6965"/>
    <w:rsid w:val="009178BC"/>
    <w:rsid w:val="009236B0"/>
    <w:rsid w:val="00945E66"/>
    <w:rsid w:val="00950F00"/>
    <w:rsid w:val="009579FD"/>
    <w:rsid w:val="0098320F"/>
    <w:rsid w:val="009E068C"/>
    <w:rsid w:val="009E5086"/>
    <w:rsid w:val="00A41110"/>
    <w:rsid w:val="00A5341A"/>
    <w:rsid w:val="00A53744"/>
    <w:rsid w:val="00A75B12"/>
    <w:rsid w:val="00A90866"/>
    <w:rsid w:val="00AF57CE"/>
    <w:rsid w:val="00B02427"/>
    <w:rsid w:val="00B437B6"/>
    <w:rsid w:val="00B60287"/>
    <w:rsid w:val="00B60D69"/>
    <w:rsid w:val="00BA25C5"/>
    <w:rsid w:val="00BE14A0"/>
    <w:rsid w:val="00C02A35"/>
    <w:rsid w:val="00C166D8"/>
    <w:rsid w:val="00C4063B"/>
    <w:rsid w:val="00C47405"/>
    <w:rsid w:val="00C86943"/>
    <w:rsid w:val="00C92C53"/>
    <w:rsid w:val="00C954AB"/>
    <w:rsid w:val="00CA257A"/>
    <w:rsid w:val="00CF41EA"/>
    <w:rsid w:val="00D20D22"/>
    <w:rsid w:val="00D21589"/>
    <w:rsid w:val="00D317D4"/>
    <w:rsid w:val="00D73619"/>
    <w:rsid w:val="00DB252A"/>
    <w:rsid w:val="00DB767A"/>
    <w:rsid w:val="00DE7C35"/>
    <w:rsid w:val="00E54613"/>
    <w:rsid w:val="00E6700D"/>
    <w:rsid w:val="00E7702F"/>
    <w:rsid w:val="00E7761F"/>
    <w:rsid w:val="00E8319D"/>
    <w:rsid w:val="00E94D3B"/>
    <w:rsid w:val="00EA1878"/>
    <w:rsid w:val="00EC06DF"/>
    <w:rsid w:val="00EE6F1B"/>
    <w:rsid w:val="00EF40B2"/>
    <w:rsid w:val="00F170C6"/>
    <w:rsid w:val="00F22EA5"/>
    <w:rsid w:val="00F33E15"/>
    <w:rsid w:val="00F45005"/>
    <w:rsid w:val="00FC4FA9"/>
    <w:rsid w:val="00FE7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7F464"/>
  <w15:chartTrackingRefBased/>
  <w15:docId w15:val="{768A587B-E285-4860-8ACB-840180647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C3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33E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E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E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E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E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E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E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E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E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E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E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E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E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E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E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E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E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E15"/>
    <w:rPr>
      <w:rFonts w:eastAsiaTheme="majorEastAsia" w:cstheme="majorBidi"/>
      <w:color w:val="272727" w:themeColor="text1" w:themeTint="D8"/>
    </w:rPr>
  </w:style>
  <w:style w:type="paragraph" w:styleId="Title">
    <w:name w:val="Title"/>
    <w:basedOn w:val="Normal"/>
    <w:next w:val="Normal"/>
    <w:link w:val="TitleChar"/>
    <w:uiPriority w:val="10"/>
    <w:qFormat/>
    <w:rsid w:val="00F33E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E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E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E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E15"/>
    <w:pPr>
      <w:spacing w:before="160"/>
      <w:jc w:val="center"/>
    </w:pPr>
    <w:rPr>
      <w:i/>
      <w:iCs/>
      <w:color w:val="404040" w:themeColor="text1" w:themeTint="BF"/>
    </w:rPr>
  </w:style>
  <w:style w:type="character" w:customStyle="1" w:styleId="QuoteChar">
    <w:name w:val="Quote Char"/>
    <w:basedOn w:val="DefaultParagraphFont"/>
    <w:link w:val="Quote"/>
    <w:uiPriority w:val="29"/>
    <w:rsid w:val="00F33E15"/>
    <w:rPr>
      <w:i/>
      <w:iCs/>
      <w:color w:val="404040" w:themeColor="text1" w:themeTint="BF"/>
    </w:rPr>
  </w:style>
  <w:style w:type="paragraph" w:styleId="ListParagraph">
    <w:name w:val="List Paragraph"/>
    <w:basedOn w:val="Normal"/>
    <w:uiPriority w:val="34"/>
    <w:qFormat/>
    <w:rsid w:val="00F33E15"/>
    <w:pPr>
      <w:ind w:left="720"/>
      <w:contextualSpacing/>
    </w:pPr>
  </w:style>
  <w:style w:type="character" w:styleId="IntenseEmphasis">
    <w:name w:val="Intense Emphasis"/>
    <w:basedOn w:val="DefaultParagraphFont"/>
    <w:uiPriority w:val="21"/>
    <w:qFormat/>
    <w:rsid w:val="00F33E15"/>
    <w:rPr>
      <w:i/>
      <w:iCs/>
      <w:color w:val="0F4761" w:themeColor="accent1" w:themeShade="BF"/>
    </w:rPr>
  </w:style>
  <w:style w:type="paragraph" w:styleId="IntenseQuote">
    <w:name w:val="Intense Quote"/>
    <w:basedOn w:val="Normal"/>
    <w:next w:val="Normal"/>
    <w:link w:val="IntenseQuoteChar"/>
    <w:uiPriority w:val="30"/>
    <w:qFormat/>
    <w:rsid w:val="00F33E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E15"/>
    <w:rPr>
      <w:i/>
      <w:iCs/>
      <w:color w:val="0F4761" w:themeColor="accent1" w:themeShade="BF"/>
    </w:rPr>
  </w:style>
  <w:style w:type="character" w:styleId="IntenseReference">
    <w:name w:val="Intense Reference"/>
    <w:basedOn w:val="DefaultParagraphFont"/>
    <w:uiPriority w:val="32"/>
    <w:qFormat/>
    <w:rsid w:val="00F33E15"/>
    <w:rPr>
      <w:b/>
      <w:bCs/>
      <w:smallCaps/>
      <w:color w:val="0F4761" w:themeColor="accent1" w:themeShade="BF"/>
      <w:spacing w:val="5"/>
    </w:rPr>
  </w:style>
  <w:style w:type="paragraph" w:styleId="BodyText">
    <w:name w:val="Body Text"/>
    <w:basedOn w:val="Normal"/>
    <w:link w:val="BodyTextChar"/>
    <w:rsid w:val="00DE7C35"/>
    <w:pPr>
      <w:ind w:right="-180"/>
    </w:pPr>
  </w:style>
  <w:style w:type="character" w:customStyle="1" w:styleId="BodyTextChar">
    <w:name w:val="Body Text Char"/>
    <w:basedOn w:val="DefaultParagraphFont"/>
    <w:link w:val="BodyText"/>
    <w:rsid w:val="00DE7C35"/>
    <w:rPr>
      <w:rFonts w:ascii="Times New Roman" w:eastAsia="Times New Roman" w:hAnsi="Times New Roman" w:cs="Times New Roman"/>
      <w:kern w:val="0"/>
      <w14:ligatures w14:val="none"/>
    </w:rPr>
  </w:style>
  <w:style w:type="character" w:styleId="Hyperlink">
    <w:name w:val="Hyperlink"/>
    <w:rsid w:val="00DE7C35"/>
    <w:rPr>
      <w:color w:val="0000FF"/>
      <w:u w:val="single"/>
    </w:rPr>
  </w:style>
  <w:style w:type="paragraph" w:styleId="Header">
    <w:name w:val="header"/>
    <w:basedOn w:val="Normal"/>
    <w:link w:val="HeaderChar"/>
    <w:uiPriority w:val="99"/>
    <w:unhideWhenUsed/>
    <w:rsid w:val="00EC06DF"/>
    <w:pPr>
      <w:tabs>
        <w:tab w:val="center" w:pos="4680"/>
        <w:tab w:val="right" w:pos="9360"/>
      </w:tabs>
    </w:pPr>
  </w:style>
  <w:style w:type="character" w:customStyle="1" w:styleId="HeaderChar">
    <w:name w:val="Header Char"/>
    <w:basedOn w:val="DefaultParagraphFont"/>
    <w:link w:val="Header"/>
    <w:uiPriority w:val="99"/>
    <w:rsid w:val="00EC06D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EC06DF"/>
    <w:pPr>
      <w:tabs>
        <w:tab w:val="center" w:pos="4680"/>
        <w:tab w:val="right" w:pos="9360"/>
      </w:tabs>
    </w:pPr>
  </w:style>
  <w:style w:type="character" w:customStyle="1" w:styleId="FooterChar">
    <w:name w:val="Footer Char"/>
    <w:basedOn w:val="DefaultParagraphFont"/>
    <w:link w:val="Footer"/>
    <w:uiPriority w:val="99"/>
    <w:rsid w:val="00EC06DF"/>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DB252A"/>
    <w:rPr>
      <w:color w:val="605E5C"/>
      <w:shd w:val="clear" w:color="auto" w:fill="E1DFDD"/>
    </w:rPr>
  </w:style>
  <w:style w:type="character" w:styleId="CommentReference">
    <w:name w:val="annotation reference"/>
    <w:basedOn w:val="DefaultParagraphFont"/>
    <w:uiPriority w:val="99"/>
    <w:semiHidden/>
    <w:unhideWhenUsed/>
    <w:rsid w:val="009236B0"/>
    <w:rPr>
      <w:sz w:val="16"/>
      <w:szCs w:val="16"/>
    </w:rPr>
  </w:style>
  <w:style w:type="paragraph" w:styleId="CommentText">
    <w:name w:val="annotation text"/>
    <w:basedOn w:val="Normal"/>
    <w:link w:val="CommentTextChar"/>
    <w:uiPriority w:val="99"/>
    <w:unhideWhenUsed/>
    <w:rsid w:val="009236B0"/>
    <w:rPr>
      <w:sz w:val="20"/>
      <w:szCs w:val="20"/>
    </w:rPr>
  </w:style>
  <w:style w:type="character" w:customStyle="1" w:styleId="CommentTextChar">
    <w:name w:val="Comment Text Char"/>
    <w:basedOn w:val="DefaultParagraphFont"/>
    <w:link w:val="CommentText"/>
    <w:uiPriority w:val="99"/>
    <w:rsid w:val="009236B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236B0"/>
    <w:rPr>
      <w:b/>
      <w:bCs/>
    </w:rPr>
  </w:style>
  <w:style w:type="character" w:customStyle="1" w:styleId="CommentSubjectChar">
    <w:name w:val="Comment Subject Char"/>
    <w:basedOn w:val="CommentTextChar"/>
    <w:link w:val="CommentSubject"/>
    <w:uiPriority w:val="99"/>
    <w:semiHidden/>
    <w:rsid w:val="009236B0"/>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F170C6"/>
    <w:pPr>
      <w:spacing w:after="0"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B6028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rad@wrra.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dia@wrra.org"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mailto:office@wrra.org" TargetMode="External"/><Relationship Id="rId1" Type="http://schemas.openxmlformats.org/officeDocument/2006/relationships/hyperlink" Target="http://www.wrra.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55776948E6E14C91EE9E731FADDB69" ma:contentTypeVersion="15" ma:contentTypeDescription="Create a new document." ma:contentTypeScope="" ma:versionID="a1542ecde455a012ff83f1443f55e790">
  <xsd:schema xmlns:xsd="http://www.w3.org/2001/XMLSchema" xmlns:xs="http://www.w3.org/2001/XMLSchema" xmlns:p="http://schemas.microsoft.com/office/2006/metadata/properties" xmlns:ns2="86f326bf-5db1-415a-80da-c6d2a3541e95" xmlns:ns3="1680c0bc-e6ec-45b1-b9cc-db535821e482" targetNamespace="http://schemas.microsoft.com/office/2006/metadata/properties" ma:root="true" ma:fieldsID="91a187e4980b77cd17b5529d08b61999" ns2:_="" ns3:_="">
    <xsd:import namespace="86f326bf-5db1-415a-80da-c6d2a3541e95"/>
    <xsd:import namespace="1680c0bc-e6ec-45b1-b9cc-db535821e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f326bf-5db1-415a-80da-c6d2a3541e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74f7c67-1953-4fa0-9e83-ab33e0937f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80c0bc-e6ec-45b1-b9cc-db535821e4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dfc8c3-19b1-49a5-a95a-ffae12d8e13d}" ma:internalName="TaxCatchAll" ma:showField="CatchAllData" ma:web="1680c0bc-e6ec-45b1-b9cc-db535821e48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f326bf-5db1-415a-80da-c6d2a3541e95">
      <Terms xmlns="http://schemas.microsoft.com/office/infopath/2007/PartnerControls"/>
    </lcf76f155ced4ddcb4097134ff3c332f>
    <TaxCatchAll xmlns="1680c0bc-e6ec-45b1-b9cc-db535821e482" xsi:nil="true"/>
  </documentManagement>
</p:properties>
</file>

<file path=customXml/itemProps1.xml><?xml version="1.0" encoding="utf-8"?>
<ds:datastoreItem xmlns:ds="http://schemas.openxmlformats.org/officeDocument/2006/customXml" ds:itemID="{D64C855D-55B0-4DA9-AFC2-B32CBD6ADF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f326bf-5db1-415a-80da-c6d2a3541e95"/>
    <ds:schemaRef ds:uri="1680c0bc-e6ec-45b1-b9cc-db535821e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1380C2-9641-4455-BA03-0F28C4705EC4}">
  <ds:schemaRefs>
    <ds:schemaRef ds:uri="http://schemas.microsoft.com/sharepoint/v3/contenttype/forms"/>
  </ds:schemaRefs>
</ds:datastoreItem>
</file>

<file path=customXml/itemProps3.xml><?xml version="1.0" encoding="utf-8"?>
<ds:datastoreItem xmlns:ds="http://schemas.openxmlformats.org/officeDocument/2006/customXml" ds:itemID="{4D0F2DDF-714C-4684-B958-5083A3789C87}">
  <ds:schemaRefs>
    <ds:schemaRef ds:uri="http://schemas.microsoft.com/office/2006/metadata/properties"/>
    <ds:schemaRef ds:uri="http://schemas.microsoft.com/office/infopath/2007/PartnerControls"/>
    <ds:schemaRef ds:uri="86f326bf-5db1-415a-80da-c6d2a3541e95"/>
    <ds:schemaRef ds:uri="1680c0bc-e6ec-45b1-b9cc-db535821e482"/>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1957</Words>
  <Characters>11159</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13090</CharactersWithSpaces>
  <SharedDoc>false</SharedDoc>
  <HLinks>
    <vt:vector size="24" baseType="variant">
      <vt:variant>
        <vt:i4>3801093</vt:i4>
      </vt:variant>
      <vt:variant>
        <vt:i4>3</vt:i4>
      </vt:variant>
      <vt:variant>
        <vt:i4>0</vt:i4>
      </vt:variant>
      <vt:variant>
        <vt:i4>5</vt:i4>
      </vt:variant>
      <vt:variant>
        <vt:lpwstr>mailto:brad@wrra.org</vt:lpwstr>
      </vt:variant>
      <vt:variant>
        <vt:lpwstr/>
      </vt:variant>
      <vt:variant>
        <vt:i4>5701745</vt:i4>
      </vt:variant>
      <vt:variant>
        <vt:i4>0</vt:i4>
      </vt:variant>
      <vt:variant>
        <vt:i4>0</vt:i4>
      </vt:variant>
      <vt:variant>
        <vt:i4>5</vt:i4>
      </vt:variant>
      <vt:variant>
        <vt:lpwstr>mailto:india@wrra.org</vt:lpwstr>
      </vt:variant>
      <vt:variant>
        <vt:lpwstr/>
      </vt:variant>
      <vt:variant>
        <vt:i4>5439609</vt:i4>
      </vt:variant>
      <vt:variant>
        <vt:i4>3</vt:i4>
      </vt:variant>
      <vt:variant>
        <vt:i4>0</vt:i4>
      </vt:variant>
      <vt:variant>
        <vt:i4>5</vt:i4>
      </vt:variant>
      <vt:variant>
        <vt:lpwstr>mailto:office@wrra.org</vt:lpwstr>
      </vt:variant>
      <vt:variant>
        <vt:lpwstr/>
      </vt:variant>
      <vt:variant>
        <vt:i4>6094923</vt:i4>
      </vt:variant>
      <vt:variant>
        <vt:i4>0</vt:i4>
      </vt:variant>
      <vt:variant>
        <vt:i4>0</vt:i4>
      </vt:variant>
      <vt:variant>
        <vt:i4>5</vt:i4>
      </vt:variant>
      <vt:variant>
        <vt:lpwstr>http://www.wrra.org/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Abruscato</dc:creator>
  <cp:keywords/>
  <dc:description/>
  <cp:lastModifiedBy>WRRA</cp:lastModifiedBy>
  <cp:revision>10</cp:revision>
  <dcterms:created xsi:type="dcterms:W3CDTF">2026-08-21T20:51:00Z</dcterms:created>
  <dcterms:modified xsi:type="dcterms:W3CDTF">2026-08-24T17:27:00Z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0x010100FF55776948E6E14C91EE9E731FADDB69</vt:lpwstr>
  </property>
  <property fmtid="{D5CDD505-2E9C-101B-9397-08002B2CF9AE}" pid="3" name="MediaServiceImageTags">
    <vt:lpwstr/>
  </property>
</Properties>
</file>