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9AF4" w14:textId="77777777" w:rsidR="000311BA" w:rsidRPr="00796D87" w:rsidRDefault="009C7DB6" w:rsidP="000311BA">
      <w:pPr>
        <w:jc w:val="center"/>
        <w:rPr>
          <w:rFonts w:asciiTheme="minorHAnsi" w:hAnsiTheme="minorHAnsi" w:cstheme="minorHAnsi"/>
          <w:b/>
        </w:rPr>
      </w:pPr>
      <w:r w:rsidRPr="00796D87">
        <w:rPr>
          <w:rFonts w:asciiTheme="minorHAnsi" w:hAnsiTheme="minorHAnsi" w:cstheme="minorHAnsi"/>
          <w:b/>
          <w:noProof/>
        </w:rPr>
        <w:drawing>
          <wp:inline distT="0" distB="0" distL="0" distR="0" wp14:anchorId="29E9B5CD" wp14:editId="05F04621">
            <wp:extent cx="158496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_logo.jpg"/>
                    <pic:cNvPicPr/>
                  </pic:nvPicPr>
                  <pic:blipFill>
                    <a:blip r:embed="rId8">
                      <a:extLst>
                        <a:ext uri="{28A0092B-C50C-407E-A947-70E740481C1C}">
                          <a14:useLocalDpi xmlns:a14="http://schemas.microsoft.com/office/drawing/2010/main" val="0"/>
                        </a:ext>
                      </a:extLst>
                    </a:blip>
                    <a:stretch>
                      <a:fillRect/>
                    </a:stretch>
                  </pic:blipFill>
                  <pic:spPr>
                    <a:xfrm>
                      <a:off x="0" y="0"/>
                      <a:ext cx="1584960" cy="792480"/>
                    </a:xfrm>
                    <a:prstGeom prst="rect">
                      <a:avLst/>
                    </a:prstGeom>
                  </pic:spPr>
                </pic:pic>
              </a:graphicData>
            </a:graphic>
          </wp:inline>
        </w:drawing>
      </w:r>
    </w:p>
    <w:p w14:paraId="6772464C" w14:textId="7E86B928" w:rsidR="000311BA" w:rsidRPr="00796D87" w:rsidRDefault="000311BA" w:rsidP="000311BA">
      <w:pPr>
        <w:jc w:val="both"/>
        <w:rPr>
          <w:rFonts w:asciiTheme="minorHAnsi" w:hAnsiTheme="minorHAnsi" w:cstheme="minorHAnsi"/>
        </w:rPr>
      </w:pPr>
      <w:r w:rsidRPr="00796D87">
        <w:rPr>
          <w:rFonts w:asciiTheme="minorHAnsi" w:hAnsiTheme="minorHAnsi" w:cstheme="minorHAnsi"/>
        </w:rPr>
        <w:fldChar w:fldCharType="begin"/>
      </w:r>
      <w:r w:rsidRPr="00796D87">
        <w:rPr>
          <w:rFonts w:asciiTheme="minorHAnsi" w:hAnsiTheme="minorHAnsi" w:cstheme="minorHAnsi"/>
        </w:rPr>
        <w:instrText xml:space="preserve"> DATE \@ "MMMM d, yyyy" </w:instrText>
      </w:r>
      <w:r w:rsidRPr="00796D87">
        <w:rPr>
          <w:rFonts w:asciiTheme="minorHAnsi" w:hAnsiTheme="minorHAnsi" w:cstheme="minorHAnsi"/>
        </w:rPr>
        <w:fldChar w:fldCharType="separate"/>
      </w:r>
      <w:r w:rsidR="00D36E27">
        <w:rPr>
          <w:rFonts w:asciiTheme="minorHAnsi" w:hAnsiTheme="minorHAnsi" w:cstheme="minorHAnsi"/>
          <w:noProof/>
        </w:rPr>
        <w:t>September 27, 2021</w:t>
      </w:r>
      <w:r w:rsidRPr="00796D87">
        <w:rPr>
          <w:rFonts w:asciiTheme="minorHAnsi" w:hAnsiTheme="minorHAnsi" w:cstheme="minorHAnsi"/>
        </w:rPr>
        <w:fldChar w:fldCharType="end"/>
      </w:r>
    </w:p>
    <w:p w14:paraId="25FFD2A3" w14:textId="77777777" w:rsidR="000311BA" w:rsidRPr="00796D87" w:rsidRDefault="000311BA" w:rsidP="000311BA">
      <w:pPr>
        <w:spacing w:after="0" w:line="240" w:lineRule="auto"/>
        <w:jc w:val="both"/>
        <w:rPr>
          <w:rFonts w:asciiTheme="minorHAnsi" w:hAnsiTheme="minorHAnsi" w:cstheme="minorHAnsi"/>
        </w:rPr>
      </w:pPr>
    </w:p>
    <w:p w14:paraId="30B1CC05" w14:textId="77777777" w:rsidR="00C93888" w:rsidRPr="00C93888"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Alex Hess</w:t>
      </w:r>
    </w:p>
    <w:p w14:paraId="2FECA1F3" w14:textId="77777777" w:rsidR="00C93888" w:rsidRPr="00C93888"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Maritime Risk Lead</w:t>
      </w:r>
    </w:p>
    <w:p w14:paraId="240DC1B8" w14:textId="77777777" w:rsidR="00C93888" w:rsidRPr="00C93888"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Spills Prevention Section</w:t>
      </w:r>
    </w:p>
    <w:p w14:paraId="3ECD6C89" w14:textId="77777777" w:rsidR="00C93888" w:rsidRPr="00C93888"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Spill Prevention, Preparedness, and Response Program</w:t>
      </w:r>
    </w:p>
    <w:p w14:paraId="69C9A28D" w14:textId="77777777" w:rsidR="00C93888" w:rsidRPr="00C93888"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Washington State Department of Ecology</w:t>
      </w:r>
    </w:p>
    <w:p w14:paraId="776DF2CE" w14:textId="77777777" w:rsidR="00C93888" w:rsidRPr="00C93888"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 xml:space="preserve">PO Box 47600 </w:t>
      </w:r>
    </w:p>
    <w:p w14:paraId="710AD289" w14:textId="5008C524" w:rsidR="00894E29" w:rsidRPr="00796D87" w:rsidRDefault="00C93888" w:rsidP="00C93888">
      <w:pPr>
        <w:spacing w:after="0" w:line="240" w:lineRule="auto"/>
        <w:jc w:val="both"/>
        <w:outlineLvl w:val="0"/>
        <w:rPr>
          <w:rFonts w:asciiTheme="minorHAnsi" w:hAnsiTheme="minorHAnsi" w:cstheme="minorHAnsi"/>
        </w:rPr>
      </w:pPr>
      <w:r w:rsidRPr="00C93888">
        <w:rPr>
          <w:rFonts w:asciiTheme="minorHAnsi" w:hAnsiTheme="minorHAnsi" w:cstheme="minorHAnsi"/>
        </w:rPr>
        <w:t>Olympia, WA, 98504-7600</w:t>
      </w:r>
    </w:p>
    <w:p w14:paraId="473BC755" w14:textId="77777777" w:rsidR="00CB4F7E" w:rsidRPr="00796D87" w:rsidRDefault="00CB4F7E" w:rsidP="000311BA">
      <w:pPr>
        <w:spacing w:after="0" w:line="240" w:lineRule="auto"/>
        <w:jc w:val="both"/>
        <w:rPr>
          <w:rFonts w:asciiTheme="minorHAnsi" w:hAnsiTheme="minorHAnsi" w:cstheme="minorHAnsi"/>
        </w:rPr>
      </w:pPr>
    </w:p>
    <w:p w14:paraId="5B5AE191" w14:textId="77777777" w:rsidR="000311BA" w:rsidRPr="00796D87" w:rsidRDefault="000311BA" w:rsidP="000311BA">
      <w:pPr>
        <w:spacing w:after="0" w:line="240" w:lineRule="auto"/>
        <w:jc w:val="both"/>
        <w:rPr>
          <w:rFonts w:asciiTheme="minorHAnsi" w:hAnsiTheme="minorHAnsi" w:cstheme="minorHAnsi"/>
        </w:rPr>
      </w:pPr>
    </w:p>
    <w:p w14:paraId="488C61C6" w14:textId="4B6992A1" w:rsidR="000311BA" w:rsidRPr="00796D87" w:rsidRDefault="000311BA" w:rsidP="00894E29">
      <w:pPr>
        <w:spacing w:after="0" w:line="240" w:lineRule="auto"/>
        <w:jc w:val="both"/>
        <w:rPr>
          <w:rFonts w:asciiTheme="minorHAnsi" w:hAnsiTheme="minorHAnsi" w:cstheme="minorHAnsi"/>
          <w:b/>
          <w:bCs/>
        </w:rPr>
      </w:pPr>
      <w:r w:rsidRPr="00796D87">
        <w:rPr>
          <w:rFonts w:asciiTheme="minorHAnsi" w:hAnsiTheme="minorHAnsi" w:cstheme="minorHAnsi"/>
          <w:b/>
          <w:bCs/>
        </w:rPr>
        <w:t xml:space="preserve">Re:  </w:t>
      </w:r>
      <w:r w:rsidR="00C93888">
        <w:rPr>
          <w:rFonts w:asciiTheme="minorHAnsi" w:hAnsiTheme="minorHAnsi" w:cstheme="minorHAnsi"/>
          <w:b/>
          <w:bCs/>
        </w:rPr>
        <w:t>Comments Regarding ERTV Analysis – Scope of Work.</w:t>
      </w:r>
      <w:r w:rsidRPr="00796D87">
        <w:rPr>
          <w:rFonts w:asciiTheme="minorHAnsi" w:hAnsiTheme="minorHAnsi" w:cstheme="minorHAnsi"/>
          <w:b/>
          <w:bCs/>
        </w:rPr>
        <w:tab/>
      </w:r>
    </w:p>
    <w:p w14:paraId="4C8FCA90" w14:textId="77777777" w:rsidR="000311BA" w:rsidRPr="00796D87" w:rsidRDefault="000311BA" w:rsidP="000311BA">
      <w:pPr>
        <w:spacing w:after="0" w:line="240" w:lineRule="auto"/>
        <w:jc w:val="both"/>
        <w:rPr>
          <w:rFonts w:asciiTheme="minorHAnsi" w:hAnsiTheme="minorHAnsi" w:cstheme="minorHAnsi"/>
        </w:rPr>
      </w:pPr>
    </w:p>
    <w:p w14:paraId="435AC3CA" w14:textId="77777777" w:rsidR="000311BA" w:rsidRPr="00796D87" w:rsidRDefault="000311BA" w:rsidP="000311BA">
      <w:pPr>
        <w:spacing w:after="0" w:line="240" w:lineRule="auto"/>
        <w:jc w:val="both"/>
        <w:rPr>
          <w:rFonts w:asciiTheme="minorHAnsi" w:hAnsiTheme="minorHAnsi" w:cstheme="minorHAnsi"/>
        </w:rPr>
      </w:pPr>
    </w:p>
    <w:p w14:paraId="0C15EF2F" w14:textId="3BAB5E3C" w:rsidR="00894E29" w:rsidRPr="00796D87" w:rsidRDefault="00894E29" w:rsidP="000311BA">
      <w:pPr>
        <w:spacing w:after="0" w:line="240" w:lineRule="auto"/>
        <w:jc w:val="both"/>
        <w:rPr>
          <w:rFonts w:asciiTheme="minorHAnsi" w:hAnsiTheme="minorHAnsi" w:cstheme="minorHAnsi"/>
        </w:rPr>
      </w:pPr>
      <w:r w:rsidRPr="00796D87">
        <w:rPr>
          <w:rFonts w:asciiTheme="minorHAnsi" w:hAnsiTheme="minorHAnsi" w:cstheme="minorHAnsi"/>
        </w:rPr>
        <w:t>Dear</w:t>
      </w:r>
      <w:r w:rsidR="00C93888">
        <w:rPr>
          <w:rFonts w:asciiTheme="minorHAnsi" w:hAnsiTheme="minorHAnsi" w:cstheme="minorHAnsi"/>
        </w:rPr>
        <w:t xml:space="preserve"> </w:t>
      </w:r>
      <w:r w:rsidR="00C36A34">
        <w:rPr>
          <w:rFonts w:asciiTheme="minorHAnsi" w:hAnsiTheme="minorHAnsi" w:cstheme="minorHAnsi"/>
        </w:rPr>
        <w:t>Mr. Hess</w:t>
      </w:r>
      <w:r w:rsidR="00C93888">
        <w:rPr>
          <w:rFonts w:asciiTheme="minorHAnsi" w:hAnsiTheme="minorHAnsi" w:cstheme="minorHAnsi"/>
        </w:rPr>
        <w:t xml:space="preserve"> &amp; Team</w:t>
      </w:r>
      <w:r w:rsidRPr="00796D87">
        <w:rPr>
          <w:rFonts w:asciiTheme="minorHAnsi" w:hAnsiTheme="minorHAnsi" w:cstheme="minorHAnsi"/>
        </w:rPr>
        <w:t>,</w:t>
      </w:r>
    </w:p>
    <w:p w14:paraId="40858689" w14:textId="77777777" w:rsidR="00894E29" w:rsidRPr="00796D87" w:rsidRDefault="00894E29" w:rsidP="000311BA">
      <w:pPr>
        <w:spacing w:after="0" w:line="240" w:lineRule="auto"/>
        <w:jc w:val="both"/>
        <w:rPr>
          <w:rFonts w:asciiTheme="minorHAnsi" w:hAnsiTheme="minorHAnsi" w:cstheme="minorHAnsi"/>
        </w:rPr>
      </w:pPr>
    </w:p>
    <w:p w14:paraId="08BC62EB" w14:textId="1E81964B" w:rsidR="00C93888" w:rsidRDefault="008A0677" w:rsidP="00052D16">
      <w:r>
        <w:t xml:space="preserve">Puget Sound Pilots would like to submit the following comments to the Research Questions proposed by the DOE in the Analysis of Emergency Response Towing Vessel – Scope of Work.  As a general concept, adding an ERTV to the San Juan Island archipelago would certainly reduce the risk of an oil spill to some degree.  The question is, to what degree, and how could the positioning and </w:t>
      </w:r>
      <w:r w:rsidR="00E34F04">
        <w:t>specifications (</w:t>
      </w:r>
      <w:r w:rsidR="006476E8">
        <w:t>such as speed, bollard pull etc.)</w:t>
      </w:r>
      <w:r>
        <w:t xml:space="preserve"> of such a vessel be optimized for maximum effectiveness?  The DOE model should be able to provide relative comparisons to answer the question of positioning and specifications.  The following suggestions should help shape the questions to </w:t>
      </w:r>
      <w:r w:rsidR="006476E8">
        <w:t xml:space="preserve">focus on root technical issues behind the questions: </w:t>
      </w:r>
      <w:r>
        <w:t xml:space="preserve">  </w:t>
      </w:r>
    </w:p>
    <w:p w14:paraId="2C604FB1" w14:textId="56183B4D" w:rsidR="00052D16" w:rsidRDefault="00052D16" w:rsidP="00052D16">
      <w:r>
        <w:t xml:space="preserve">-  The </w:t>
      </w:r>
      <w:r w:rsidR="006476E8">
        <w:t xml:space="preserve">findings of the </w:t>
      </w:r>
      <w:r>
        <w:t xml:space="preserve">Nuka study </w:t>
      </w:r>
      <w:r w:rsidR="006476E8">
        <w:t>commissioned by San Juan County</w:t>
      </w:r>
      <w:r>
        <w:t xml:space="preserve"> provided valuable information regarding where to station an ERTV for </w:t>
      </w:r>
      <w:proofErr w:type="spellStart"/>
      <w:r>
        <w:t>Haro</w:t>
      </w:r>
      <w:proofErr w:type="spellEnd"/>
      <w:r>
        <w:t xml:space="preserve"> Strait and Boundary Pass for the most effective response.  </w:t>
      </w:r>
      <w:r w:rsidR="006476E8">
        <w:t>Because</w:t>
      </w:r>
      <w:r>
        <w:t xml:space="preserve"> the study area </w:t>
      </w:r>
      <w:r w:rsidR="006476E8">
        <w:t xml:space="preserve">required by EHB 1578 </w:t>
      </w:r>
      <w:r>
        <w:t>include</w:t>
      </w:r>
      <w:r w:rsidR="006476E8">
        <w:t>s</w:t>
      </w:r>
      <w:r>
        <w:t xml:space="preserve"> Rosario Strait</w:t>
      </w:r>
      <w:r w:rsidR="00AE595B">
        <w:t xml:space="preserve"> </w:t>
      </w:r>
      <w:proofErr w:type="gramStart"/>
      <w:r w:rsidR="00AE595B">
        <w:t xml:space="preserve">and  </w:t>
      </w:r>
      <w:r w:rsidR="006476E8">
        <w:t>connecting</w:t>
      </w:r>
      <w:proofErr w:type="gramEnd"/>
      <w:r w:rsidR="006476E8">
        <w:t xml:space="preserve"> waters</w:t>
      </w:r>
      <w:r>
        <w:t xml:space="preserve">, the DOE will need to </w:t>
      </w:r>
      <w:r w:rsidR="006476E8">
        <w:t xml:space="preserve">expand on the study area used by the Nuka team to include these additional waters which will, of course result in different finding from the Nuka study.  </w:t>
      </w:r>
      <w:r>
        <w:t xml:space="preserve">Due to the geographic separation of </w:t>
      </w:r>
      <w:proofErr w:type="spellStart"/>
      <w:r>
        <w:t>Haro</w:t>
      </w:r>
      <w:proofErr w:type="spellEnd"/>
      <w:r>
        <w:t xml:space="preserve"> Strait/Boundary Pass from Rosario Strait, the response time will be significantly higher which may prove unsatisfactory.  In this case, it may be necessary to consider employing two ERTV’s, one for each waterway, to keep the response times in an effective envelope.  The DOE model should be used to analyze this larger area </w:t>
      </w:r>
      <w:r w:rsidR="00D36E27">
        <w:t>as well as</w:t>
      </w:r>
      <w:r>
        <w:t xml:space="preserve"> the effectiveness of one</w:t>
      </w:r>
      <w:r w:rsidR="006476E8">
        <w:t xml:space="preserve"> vs. two</w:t>
      </w:r>
      <w:r>
        <w:t xml:space="preserve"> ERTV</w:t>
      </w:r>
      <w:r w:rsidR="006476E8">
        <w:t>s</w:t>
      </w:r>
      <w:r>
        <w:t>.</w:t>
      </w:r>
    </w:p>
    <w:p w14:paraId="05DE0DC0" w14:textId="77777777" w:rsidR="00052D16" w:rsidRDefault="00052D16" w:rsidP="00052D16"/>
    <w:p w14:paraId="32C22710" w14:textId="7C23CD77" w:rsidR="00052D16" w:rsidRDefault="00052D16" w:rsidP="00052D16">
      <w:r>
        <w:lastRenderedPageBreak/>
        <w:t>-  It is unnecessary to study ERTV interaction with the currently escorted tank vessels as these vessels already have effective emergency coverage from their escorts.  The study should specifically focus on every other type of non-escorted vessel as th</w:t>
      </w:r>
      <w:r w:rsidR="00E34F04">
        <w:t>ese</w:t>
      </w:r>
      <w:r>
        <w:t xml:space="preserve"> present a higher risk exposure.</w:t>
      </w:r>
      <w:r w:rsidR="006476E8">
        <w:t xml:space="preserve">  These vessels </w:t>
      </w:r>
      <w:r w:rsidR="00AE595B">
        <w:t>sh</w:t>
      </w:r>
      <w:r w:rsidR="006476E8">
        <w:t xml:space="preserve">ould include: tank vessels not escorted under current regs, </w:t>
      </w:r>
      <w:r w:rsidR="00C36A34">
        <w:t xml:space="preserve">tank vessels in ballast, </w:t>
      </w:r>
      <w:r w:rsidR="006476E8">
        <w:t>container vessels,</w:t>
      </w:r>
      <w:r w:rsidR="00C36A34">
        <w:t xml:space="preserve"> bulkers, general cargo, roll-on/roll-off etc.</w:t>
      </w:r>
    </w:p>
    <w:p w14:paraId="5D616003" w14:textId="7214CCD4" w:rsidR="00052D16" w:rsidRDefault="00052D16" w:rsidP="00052D16">
      <w:r>
        <w:t xml:space="preserve">-  ERTV Characteristics:  </w:t>
      </w:r>
      <w:r w:rsidR="00C36A34">
        <w:t xml:space="preserve">The model should be able to </w:t>
      </w:r>
      <w:r>
        <w:t>directly study</w:t>
      </w:r>
      <w:r w:rsidR="00C36A34">
        <w:t>/compare</w:t>
      </w:r>
      <w:r>
        <w:t xml:space="preserve"> ERTV speed and bollard pull capability and could also indirectly study towing vessel equipment </w:t>
      </w:r>
      <w:r w:rsidR="00C36A34">
        <w:t>by how various tow-gear configurations effect the response time and therefore success rate in an emergency operation.  It is suggested that this aspect of the study would include input from towing industry experts with experience/credibility in emergency towing.</w:t>
      </w:r>
      <w:r>
        <w:t xml:space="preserve">      </w:t>
      </w:r>
    </w:p>
    <w:p w14:paraId="20E42D8D" w14:textId="048E55DB" w:rsidR="00894E29" w:rsidRPr="00796D87" w:rsidRDefault="00C36A34" w:rsidP="000311BA">
      <w:pPr>
        <w:spacing w:after="0" w:line="240" w:lineRule="auto"/>
        <w:jc w:val="both"/>
        <w:rPr>
          <w:rFonts w:asciiTheme="minorHAnsi" w:hAnsiTheme="minorHAnsi" w:cstheme="minorHAnsi"/>
        </w:rPr>
      </w:pPr>
      <w:r>
        <w:rPr>
          <w:rFonts w:asciiTheme="minorHAnsi" w:hAnsiTheme="minorHAnsi" w:cstheme="minorHAnsi"/>
        </w:rPr>
        <w:t xml:space="preserve">In addition to the above comments, Puget Sound Pilots </w:t>
      </w:r>
      <w:r w:rsidR="00E34F04">
        <w:rPr>
          <w:rFonts w:asciiTheme="minorHAnsi" w:hAnsiTheme="minorHAnsi" w:cstheme="minorHAnsi"/>
        </w:rPr>
        <w:t>continues</w:t>
      </w:r>
      <w:r>
        <w:rPr>
          <w:rFonts w:asciiTheme="minorHAnsi" w:hAnsiTheme="minorHAnsi" w:cstheme="minorHAnsi"/>
        </w:rPr>
        <w:t xml:space="preserve"> to offer our services and input to assist the OTSC and DOE in developing the model, designing the exercises</w:t>
      </w:r>
      <w:r w:rsidR="00AE595B">
        <w:rPr>
          <w:rFonts w:asciiTheme="minorHAnsi" w:hAnsiTheme="minorHAnsi" w:cstheme="minorHAnsi"/>
        </w:rPr>
        <w:t>,</w:t>
      </w:r>
      <w:r>
        <w:rPr>
          <w:rFonts w:asciiTheme="minorHAnsi" w:hAnsiTheme="minorHAnsi" w:cstheme="minorHAnsi"/>
        </w:rPr>
        <w:t xml:space="preserve"> and interpreting the results.</w:t>
      </w:r>
    </w:p>
    <w:p w14:paraId="6CB43291" w14:textId="77777777" w:rsidR="00894E29" w:rsidRPr="00796D87" w:rsidRDefault="00894E29" w:rsidP="000311BA">
      <w:pPr>
        <w:spacing w:after="0" w:line="240" w:lineRule="auto"/>
        <w:jc w:val="both"/>
        <w:rPr>
          <w:rFonts w:asciiTheme="minorHAnsi" w:hAnsiTheme="minorHAnsi" w:cstheme="minorHAnsi"/>
        </w:rPr>
      </w:pPr>
    </w:p>
    <w:p w14:paraId="5804D54B" w14:textId="77777777" w:rsidR="00894E29" w:rsidRPr="00796D87" w:rsidRDefault="00894E29" w:rsidP="000311BA">
      <w:pPr>
        <w:spacing w:after="0" w:line="240" w:lineRule="auto"/>
        <w:jc w:val="both"/>
        <w:rPr>
          <w:rFonts w:asciiTheme="minorHAnsi" w:hAnsiTheme="minorHAnsi" w:cstheme="minorHAnsi"/>
        </w:rPr>
      </w:pPr>
    </w:p>
    <w:p w14:paraId="4C777862" w14:textId="77777777" w:rsidR="000311BA" w:rsidRPr="00796D87" w:rsidRDefault="000311BA" w:rsidP="000311BA">
      <w:pPr>
        <w:spacing w:after="0" w:line="240" w:lineRule="auto"/>
        <w:jc w:val="both"/>
        <w:rPr>
          <w:rFonts w:asciiTheme="minorHAnsi" w:hAnsiTheme="minorHAnsi" w:cstheme="minorHAnsi"/>
        </w:rPr>
      </w:pPr>
      <w:r w:rsidRPr="00796D87">
        <w:rPr>
          <w:rFonts w:asciiTheme="minorHAnsi" w:hAnsiTheme="minorHAnsi" w:cstheme="minorHAnsi"/>
        </w:rPr>
        <w:t>Respectfully,</w:t>
      </w:r>
    </w:p>
    <w:p w14:paraId="1E523526" w14:textId="77777777" w:rsidR="000311BA" w:rsidRPr="00796D87" w:rsidRDefault="000311BA" w:rsidP="000311BA">
      <w:pPr>
        <w:spacing w:after="0" w:line="240" w:lineRule="auto"/>
        <w:jc w:val="both"/>
        <w:rPr>
          <w:rFonts w:asciiTheme="minorHAnsi" w:hAnsiTheme="minorHAnsi" w:cstheme="minorHAnsi"/>
        </w:rPr>
      </w:pPr>
    </w:p>
    <w:p w14:paraId="39A704D7" w14:textId="519FE5EC" w:rsidR="000311BA" w:rsidRPr="00796D87" w:rsidRDefault="00C36A34" w:rsidP="000311BA">
      <w:pPr>
        <w:spacing w:after="0" w:line="240" w:lineRule="auto"/>
        <w:jc w:val="both"/>
        <w:rPr>
          <w:rFonts w:asciiTheme="minorHAnsi" w:hAnsiTheme="minorHAnsi" w:cstheme="minorHAnsi"/>
        </w:rPr>
      </w:pPr>
      <w:r>
        <w:rPr>
          <w:rFonts w:asciiTheme="minorHAnsi" w:hAnsiTheme="minorHAnsi" w:cstheme="minorHAnsi"/>
        </w:rPr>
        <w:t>Capt. Blair Bouma (OTSC Member)</w:t>
      </w:r>
      <w:r w:rsidR="000311BA" w:rsidRPr="00796D87">
        <w:rPr>
          <w:rFonts w:asciiTheme="minorHAnsi" w:hAnsiTheme="minorHAnsi" w:cstheme="minorHAnsi"/>
        </w:rPr>
        <w:t xml:space="preserve"> </w:t>
      </w:r>
    </w:p>
    <w:p w14:paraId="57719022" w14:textId="77777777" w:rsidR="000311BA" w:rsidRPr="00796D87" w:rsidRDefault="000311BA" w:rsidP="000311BA">
      <w:pPr>
        <w:spacing w:after="0" w:line="240" w:lineRule="auto"/>
        <w:jc w:val="both"/>
        <w:rPr>
          <w:rFonts w:asciiTheme="minorHAnsi" w:hAnsiTheme="minorHAnsi" w:cstheme="minorHAnsi"/>
        </w:rPr>
      </w:pPr>
    </w:p>
    <w:p w14:paraId="3B0A84E7" w14:textId="77777777" w:rsidR="000311BA" w:rsidRPr="00796D87" w:rsidRDefault="000311BA" w:rsidP="000311BA">
      <w:pPr>
        <w:spacing w:after="0" w:line="240" w:lineRule="auto"/>
        <w:jc w:val="both"/>
        <w:rPr>
          <w:rFonts w:asciiTheme="minorHAnsi" w:hAnsiTheme="minorHAnsi" w:cstheme="minorHAnsi"/>
        </w:rPr>
      </w:pPr>
      <w:r w:rsidRPr="00796D87">
        <w:rPr>
          <w:rFonts w:asciiTheme="minorHAnsi" w:hAnsiTheme="minorHAnsi" w:cstheme="minorHAnsi"/>
        </w:rPr>
        <w:t>Puget Sound Pilots</w:t>
      </w:r>
    </w:p>
    <w:p w14:paraId="1D997174" w14:textId="77777777" w:rsidR="000311BA" w:rsidRPr="00796D87" w:rsidRDefault="000311BA" w:rsidP="000311BA">
      <w:pPr>
        <w:spacing w:after="0" w:line="240" w:lineRule="auto"/>
        <w:jc w:val="both"/>
        <w:rPr>
          <w:rFonts w:asciiTheme="minorHAnsi" w:hAnsiTheme="minorHAnsi" w:cstheme="minorHAnsi"/>
        </w:rPr>
      </w:pPr>
    </w:p>
    <w:p w14:paraId="22A23952" w14:textId="77777777" w:rsidR="000311BA" w:rsidRPr="00796D87" w:rsidRDefault="000311BA" w:rsidP="000311BA">
      <w:pPr>
        <w:spacing w:after="0" w:line="240" w:lineRule="auto"/>
        <w:jc w:val="both"/>
        <w:rPr>
          <w:rFonts w:asciiTheme="minorHAnsi" w:hAnsiTheme="minorHAnsi" w:cstheme="minorHAnsi"/>
        </w:rPr>
      </w:pPr>
      <w:r w:rsidRPr="00796D87">
        <w:rPr>
          <w:rFonts w:asciiTheme="minorHAnsi" w:hAnsiTheme="minorHAnsi" w:cstheme="minorHAnsi"/>
        </w:rPr>
        <w:t>cc:</w:t>
      </w:r>
      <w:r w:rsidRPr="00796D87">
        <w:rPr>
          <w:rFonts w:asciiTheme="minorHAnsi" w:hAnsiTheme="minorHAnsi" w:cstheme="minorHAnsi"/>
        </w:rPr>
        <w:tab/>
      </w:r>
    </w:p>
    <w:p w14:paraId="447DD1E2" w14:textId="77777777" w:rsidR="00E9065A" w:rsidRPr="00796D87" w:rsidRDefault="00E9065A" w:rsidP="0039385E">
      <w:pPr>
        <w:spacing w:after="0" w:line="240" w:lineRule="auto"/>
        <w:rPr>
          <w:rFonts w:asciiTheme="minorHAnsi" w:hAnsiTheme="minorHAnsi" w:cstheme="minorHAnsi"/>
        </w:rPr>
      </w:pPr>
    </w:p>
    <w:sectPr w:rsidR="00E9065A" w:rsidRPr="00796D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2556" w14:textId="77777777" w:rsidR="00D96E7B" w:rsidRDefault="00D96E7B" w:rsidP="00D74D4D">
      <w:pPr>
        <w:spacing w:after="0" w:line="240" w:lineRule="auto"/>
      </w:pPr>
      <w:r>
        <w:separator/>
      </w:r>
    </w:p>
  </w:endnote>
  <w:endnote w:type="continuationSeparator" w:id="0">
    <w:p w14:paraId="0E54D7B9" w14:textId="77777777" w:rsidR="00D96E7B" w:rsidRDefault="00D96E7B" w:rsidP="00D7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ECC9" w14:textId="77777777" w:rsidR="00D74D4D" w:rsidRPr="00D74D4D" w:rsidRDefault="00D74D4D">
    <w:pPr>
      <w:pStyle w:val="Footer"/>
      <w:rPr>
        <w:rFonts w:asciiTheme="minorHAnsi" w:hAnsiTheme="minorHAnsi" w:cstheme="minorHAnsi"/>
      </w:rPr>
    </w:pPr>
    <w:r w:rsidRPr="00D74D4D">
      <w:rPr>
        <w:rFonts w:asciiTheme="minorHAnsi" w:hAnsiTheme="minorHAnsi" w:cstheme="minorHAnsi"/>
        <w:color w:val="1F497D" w:themeColor="text2"/>
        <w:sz w:val="20"/>
        <w:szCs w:val="18"/>
      </w:rPr>
      <w:t>2003 Western Ave, Suite 200, Seattle, WA 98121</w:t>
    </w:r>
    <w:r w:rsidRPr="00D74D4D">
      <w:rPr>
        <w:rFonts w:asciiTheme="minorHAnsi" w:hAnsiTheme="minorHAnsi" w:cstheme="minorHAnsi"/>
        <w:color w:val="1F497D" w:themeColor="text2"/>
        <w:sz w:val="20"/>
        <w:szCs w:val="18"/>
      </w:rPr>
      <w:ptab w:relativeTo="margin" w:alignment="center" w:leader="none"/>
    </w:r>
    <w:r w:rsidRPr="00D74D4D">
      <w:rPr>
        <w:rFonts w:asciiTheme="minorHAnsi" w:hAnsiTheme="minorHAnsi" w:cstheme="minorHAnsi"/>
      </w:rPr>
      <w:ptab w:relativeTo="margin" w:alignment="right" w:leader="none"/>
    </w:r>
    <w:r w:rsidRPr="00D74D4D">
      <w:rPr>
        <w:rFonts w:asciiTheme="minorHAnsi" w:hAnsiTheme="minorHAnsi" w:cstheme="minorHAnsi"/>
        <w:color w:val="1F497D" w:themeColor="text2"/>
        <w:sz w:val="20"/>
        <w:szCs w:val="18"/>
      </w:rPr>
      <w:t>www.pspilots.org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3B06" w14:textId="77777777" w:rsidR="00D96E7B" w:rsidRDefault="00D96E7B" w:rsidP="00D74D4D">
      <w:pPr>
        <w:spacing w:after="0" w:line="240" w:lineRule="auto"/>
      </w:pPr>
      <w:r>
        <w:separator/>
      </w:r>
    </w:p>
  </w:footnote>
  <w:footnote w:type="continuationSeparator" w:id="0">
    <w:p w14:paraId="139B3EE0" w14:textId="77777777" w:rsidR="00D96E7B" w:rsidRDefault="00D96E7B" w:rsidP="00D7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15269"/>
    <w:multiLevelType w:val="hybridMultilevel"/>
    <w:tmpl w:val="9108712A"/>
    <w:lvl w:ilvl="0" w:tplc="15C8E73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DE04975"/>
    <w:multiLevelType w:val="hybridMultilevel"/>
    <w:tmpl w:val="AB4A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1MzExMDY3MTExMjFV0lEKTi0uzszPAykwrgUA1lllziwAAAA="/>
  </w:docVars>
  <w:rsids>
    <w:rsidRoot w:val="002E3825"/>
    <w:rsid w:val="000311BA"/>
    <w:rsid w:val="000323DA"/>
    <w:rsid w:val="00052D16"/>
    <w:rsid w:val="00094209"/>
    <w:rsid w:val="000A183E"/>
    <w:rsid w:val="000C3EF6"/>
    <w:rsid w:val="00103216"/>
    <w:rsid w:val="00127025"/>
    <w:rsid w:val="00191D57"/>
    <w:rsid w:val="001F3C09"/>
    <w:rsid w:val="0023072C"/>
    <w:rsid w:val="0027358B"/>
    <w:rsid w:val="00277CE8"/>
    <w:rsid w:val="002E3825"/>
    <w:rsid w:val="00325451"/>
    <w:rsid w:val="003717BD"/>
    <w:rsid w:val="0039385E"/>
    <w:rsid w:val="004C38D1"/>
    <w:rsid w:val="004E498C"/>
    <w:rsid w:val="004F79C1"/>
    <w:rsid w:val="005119EE"/>
    <w:rsid w:val="005B7239"/>
    <w:rsid w:val="005F304B"/>
    <w:rsid w:val="005F4856"/>
    <w:rsid w:val="006476E8"/>
    <w:rsid w:val="00686F4D"/>
    <w:rsid w:val="006D462E"/>
    <w:rsid w:val="00721BF4"/>
    <w:rsid w:val="007307A1"/>
    <w:rsid w:val="0075645C"/>
    <w:rsid w:val="0078510A"/>
    <w:rsid w:val="007935B3"/>
    <w:rsid w:val="00796D87"/>
    <w:rsid w:val="007A3717"/>
    <w:rsid w:val="00844950"/>
    <w:rsid w:val="00884C40"/>
    <w:rsid w:val="00893176"/>
    <w:rsid w:val="00894E29"/>
    <w:rsid w:val="008A0677"/>
    <w:rsid w:val="008E69A4"/>
    <w:rsid w:val="00911068"/>
    <w:rsid w:val="00924F07"/>
    <w:rsid w:val="00945DC9"/>
    <w:rsid w:val="009861F4"/>
    <w:rsid w:val="009C7DB6"/>
    <w:rsid w:val="00A23F98"/>
    <w:rsid w:val="00A81871"/>
    <w:rsid w:val="00AA442E"/>
    <w:rsid w:val="00AE595B"/>
    <w:rsid w:val="00B74ECF"/>
    <w:rsid w:val="00B8682E"/>
    <w:rsid w:val="00BA5431"/>
    <w:rsid w:val="00BF431E"/>
    <w:rsid w:val="00C166D3"/>
    <w:rsid w:val="00C36A34"/>
    <w:rsid w:val="00C61FC4"/>
    <w:rsid w:val="00C660CF"/>
    <w:rsid w:val="00C93888"/>
    <w:rsid w:val="00CB4F7E"/>
    <w:rsid w:val="00CD2808"/>
    <w:rsid w:val="00CF59D7"/>
    <w:rsid w:val="00D36E27"/>
    <w:rsid w:val="00D44263"/>
    <w:rsid w:val="00D74D4D"/>
    <w:rsid w:val="00D80848"/>
    <w:rsid w:val="00D96E7B"/>
    <w:rsid w:val="00E34F04"/>
    <w:rsid w:val="00E52188"/>
    <w:rsid w:val="00E9065A"/>
    <w:rsid w:val="00EA5079"/>
    <w:rsid w:val="00EE1B1E"/>
    <w:rsid w:val="00F23012"/>
    <w:rsid w:val="00F31AF0"/>
    <w:rsid w:val="00F31C83"/>
    <w:rsid w:val="00FC060B"/>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6F4E"/>
  <w15:docId w15:val="{2E64CA82-917A-47D2-A2DB-3AAFE0A4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263"/>
    <w:pPr>
      <w:spacing w:after="0" w:line="240" w:lineRule="auto"/>
      <w:ind w:left="720"/>
    </w:pPr>
    <w:rPr>
      <w:rFonts w:cs="Times New Roman"/>
      <w:szCs w:val="24"/>
    </w:rPr>
  </w:style>
  <w:style w:type="paragraph" w:styleId="Revision">
    <w:name w:val="Revision"/>
    <w:hidden/>
    <w:uiPriority w:val="99"/>
    <w:semiHidden/>
    <w:rsid w:val="004F79C1"/>
  </w:style>
  <w:style w:type="paragraph" w:styleId="BalloonText">
    <w:name w:val="Balloon Text"/>
    <w:basedOn w:val="Normal"/>
    <w:link w:val="BalloonTextChar"/>
    <w:uiPriority w:val="99"/>
    <w:semiHidden/>
    <w:unhideWhenUsed/>
    <w:rsid w:val="004F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C1"/>
    <w:rPr>
      <w:rFonts w:ascii="Tahoma" w:hAnsi="Tahoma" w:cs="Tahoma"/>
      <w:sz w:val="16"/>
      <w:szCs w:val="16"/>
    </w:rPr>
  </w:style>
  <w:style w:type="paragraph" w:styleId="Header">
    <w:name w:val="header"/>
    <w:basedOn w:val="Normal"/>
    <w:link w:val="HeaderChar"/>
    <w:uiPriority w:val="99"/>
    <w:unhideWhenUsed/>
    <w:rsid w:val="00D7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4D"/>
  </w:style>
  <w:style w:type="paragraph" w:styleId="Footer">
    <w:name w:val="footer"/>
    <w:basedOn w:val="Normal"/>
    <w:link w:val="FooterChar"/>
    <w:uiPriority w:val="99"/>
    <w:unhideWhenUsed/>
    <w:rsid w:val="00D7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9007">
      <w:bodyDiv w:val="1"/>
      <w:marLeft w:val="0"/>
      <w:marRight w:val="0"/>
      <w:marTop w:val="0"/>
      <w:marBottom w:val="0"/>
      <w:divBdr>
        <w:top w:val="none" w:sz="0" w:space="0" w:color="auto"/>
        <w:left w:val="none" w:sz="0" w:space="0" w:color="auto"/>
        <w:bottom w:val="none" w:sz="0" w:space="0" w:color="auto"/>
        <w:right w:val="none" w:sz="0" w:space="0" w:color="auto"/>
      </w:divBdr>
    </w:div>
    <w:div w:id="926811788">
      <w:bodyDiv w:val="1"/>
      <w:marLeft w:val="0"/>
      <w:marRight w:val="0"/>
      <w:marTop w:val="0"/>
      <w:marBottom w:val="0"/>
      <w:divBdr>
        <w:top w:val="none" w:sz="0" w:space="0" w:color="auto"/>
        <w:left w:val="none" w:sz="0" w:space="0" w:color="auto"/>
        <w:bottom w:val="none" w:sz="0" w:space="0" w:color="auto"/>
        <w:right w:val="none" w:sz="0" w:space="0" w:color="auto"/>
      </w:divBdr>
    </w:div>
    <w:div w:id="16912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20Director\Documents\Custom%20Office%20Templates\PSP%20Letterhead%20with%20Address%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90D3-61E2-4B8A-99A7-56430553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Letterhead with Address footer</Template>
  <TotalTime>57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Blair W. Bouma</cp:lastModifiedBy>
  <cp:revision>5</cp:revision>
  <cp:lastPrinted>2019-09-11T18:45:00Z</cp:lastPrinted>
  <dcterms:created xsi:type="dcterms:W3CDTF">2021-09-25T18:51:00Z</dcterms:created>
  <dcterms:modified xsi:type="dcterms:W3CDTF">2021-09-27T20:57:00Z</dcterms:modified>
</cp:coreProperties>
</file>