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66559" w14:textId="5E13BDF7" w:rsidR="00BF5E0B" w:rsidRPr="00BF5E0B" w:rsidRDefault="00BF5E0B" w:rsidP="00BF5E0B">
      <w:pPr>
        <w:spacing w:after="0" w:line="240" w:lineRule="auto"/>
        <w:rPr>
          <w:rFonts w:ascii="Times New Roman" w:eastAsia="Aptos" w:hAnsi="Times New Roman"/>
          <w:kern w:val="2"/>
          <w:sz w:val="24"/>
          <w:szCs w:val="24"/>
          <w14:ligatures w14:val="standardContextual"/>
        </w:rPr>
      </w:pPr>
      <w:r w:rsidRPr="00BF5E0B">
        <w:rPr>
          <w:rFonts w:ascii="Times New Roman" w:eastAsia="Aptos" w:hAnsi="Times New Roman"/>
          <w:kern w:val="2"/>
          <w:sz w:val="24"/>
          <w:szCs w:val="24"/>
          <w14:ligatures w14:val="standardContextual"/>
        </w:rPr>
        <w:t>December 18, 2024</w:t>
      </w:r>
    </w:p>
    <w:p w14:paraId="6BB42785"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p>
    <w:p w14:paraId="795D0450"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r w:rsidRPr="00BF5E0B">
        <w:rPr>
          <w:rFonts w:ascii="Times New Roman" w:eastAsia="Aptos" w:hAnsi="Times New Roman"/>
          <w:kern w:val="2"/>
          <w:sz w:val="24"/>
          <w:szCs w:val="24"/>
          <w14:ligatures w14:val="standardContextual"/>
        </w:rPr>
        <w:t>Sam Meng</w:t>
      </w:r>
    </w:p>
    <w:p w14:paraId="007B5997"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r w:rsidRPr="00BF5E0B">
        <w:rPr>
          <w:rFonts w:ascii="Times New Roman" w:eastAsia="Aptos" w:hAnsi="Times New Roman"/>
          <w:kern w:val="2"/>
          <w:sz w:val="24"/>
          <w:szCs w:val="24"/>
          <w14:ligatures w14:val="standardContextual"/>
        </w:rPr>
        <w:t>Project Manager</w:t>
      </w:r>
    </w:p>
    <w:p w14:paraId="1728B852"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r w:rsidRPr="00BF5E0B">
        <w:rPr>
          <w:rFonts w:ascii="Times New Roman" w:eastAsia="Aptos" w:hAnsi="Times New Roman"/>
          <w:kern w:val="2"/>
          <w:sz w:val="24"/>
          <w:szCs w:val="24"/>
          <w14:ligatures w14:val="standardContextual"/>
        </w:rPr>
        <w:t>Toxics Cleanup Program</w:t>
      </w:r>
    </w:p>
    <w:p w14:paraId="1033D9B1"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r w:rsidRPr="00BF5E0B">
        <w:rPr>
          <w:rFonts w:ascii="Times New Roman" w:eastAsia="Aptos" w:hAnsi="Times New Roman"/>
          <w:kern w:val="2"/>
          <w:sz w:val="24"/>
          <w:szCs w:val="24"/>
          <w14:ligatures w14:val="standardContextual"/>
        </w:rPr>
        <w:t>Washington Department of Ecology</w:t>
      </w:r>
    </w:p>
    <w:p w14:paraId="3033073F"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p>
    <w:p w14:paraId="30A9D6F7"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r w:rsidRPr="00BF5E0B">
        <w:rPr>
          <w:rFonts w:ascii="Times New Roman" w:eastAsia="Aptos" w:hAnsi="Times New Roman"/>
          <w:kern w:val="2"/>
          <w:sz w:val="24"/>
          <w:szCs w:val="24"/>
          <w14:ligatures w14:val="standardContextual"/>
        </w:rPr>
        <w:t>RE:  Eatonville Landfill Cleanup Action Plan Comment;</w:t>
      </w:r>
      <w:r w:rsidRPr="00BF5E0B">
        <w:rPr>
          <w:rFonts w:ascii="Aptos" w:eastAsia="Aptos" w:hAnsi="Aptos"/>
          <w:kern w:val="2"/>
          <w:sz w:val="24"/>
          <w:szCs w:val="24"/>
          <w14:ligatures w14:val="standardContextual"/>
        </w:rPr>
        <w:t xml:space="preserve"> </w:t>
      </w:r>
      <w:r w:rsidRPr="00BF5E0B">
        <w:rPr>
          <w:rFonts w:ascii="Times New Roman" w:eastAsia="Aptos" w:hAnsi="Times New Roman"/>
          <w:kern w:val="2"/>
          <w:sz w:val="24"/>
          <w:szCs w:val="24"/>
          <w14:ligatures w14:val="standardContextual"/>
        </w:rPr>
        <w:t>Facility Site ID# 85933; Cleanup Site ID# 15271</w:t>
      </w:r>
    </w:p>
    <w:p w14:paraId="7EA8801B"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p>
    <w:p w14:paraId="2147811C"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r w:rsidRPr="00BF5E0B">
        <w:rPr>
          <w:rFonts w:ascii="Times New Roman" w:eastAsia="Aptos" w:hAnsi="Times New Roman"/>
          <w:kern w:val="2"/>
          <w:sz w:val="24"/>
          <w:szCs w:val="24"/>
          <w14:ligatures w14:val="standardContextual"/>
        </w:rPr>
        <w:t>Dear Sam Meng:</w:t>
      </w:r>
    </w:p>
    <w:p w14:paraId="4F30E39E"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p>
    <w:p w14:paraId="2198F313"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proofErr w:type="spellStart"/>
      <w:r w:rsidRPr="00BF5E0B">
        <w:rPr>
          <w:rFonts w:ascii="Times New Roman" w:eastAsia="Aptos" w:hAnsi="Times New Roman"/>
          <w:i/>
          <w:iCs/>
          <w:kern w:val="2"/>
          <w:sz w:val="24"/>
          <w:szCs w:val="24"/>
          <w14:ligatures w14:val="standardContextual"/>
        </w:rPr>
        <w:t>Squalli</w:t>
      </w:r>
      <w:proofErr w:type="spellEnd"/>
      <w:r w:rsidRPr="00BF5E0B">
        <w:rPr>
          <w:rFonts w:ascii="Times New Roman" w:eastAsia="Aptos" w:hAnsi="Times New Roman"/>
          <w:i/>
          <w:iCs/>
          <w:kern w:val="2"/>
          <w:sz w:val="24"/>
          <w:szCs w:val="24"/>
          <w14:ligatures w14:val="standardContextual"/>
        </w:rPr>
        <w:t xml:space="preserve"> </w:t>
      </w:r>
      <w:proofErr w:type="spellStart"/>
      <w:r w:rsidRPr="00BF5E0B">
        <w:rPr>
          <w:rFonts w:ascii="Times New Roman" w:eastAsia="Aptos" w:hAnsi="Times New Roman"/>
          <w:i/>
          <w:iCs/>
          <w:kern w:val="2"/>
          <w:sz w:val="24"/>
          <w:szCs w:val="24"/>
          <w14:ligatures w14:val="standardContextual"/>
        </w:rPr>
        <w:t>Absch</w:t>
      </w:r>
      <w:proofErr w:type="spellEnd"/>
      <w:r w:rsidRPr="00BF5E0B">
        <w:rPr>
          <w:rFonts w:ascii="Times New Roman" w:eastAsia="Aptos" w:hAnsi="Times New Roman"/>
          <w:kern w:val="2"/>
          <w:sz w:val="24"/>
          <w:szCs w:val="24"/>
          <w14:ligatures w14:val="standardContextual"/>
        </w:rPr>
        <w:t xml:space="preserve"> (the </w:t>
      </w:r>
      <w:r w:rsidRPr="00BF5E0B">
        <w:rPr>
          <w:rFonts w:ascii="Times New Roman" w:eastAsia="Times New Roman" w:hAnsi="Times New Roman"/>
          <w:kern w:val="2"/>
          <w:sz w:val="24"/>
          <w:szCs w:val="24"/>
          <w14:ligatures w14:val="standardContextual"/>
        </w:rPr>
        <w:t>Nisqually Indian Tribe or Tribe) has lived on and stewarded the waters and lands of South Puget Sound to Mt. Rainier (</w:t>
      </w:r>
      <w:r w:rsidRPr="00BF5E0B">
        <w:rPr>
          <w:rFonts w:ascii="Times New Roman" w:eastAsia="Times New Roman" w:hAnsi="Times New Roman"/>
          <w:i/>
          <w:kern w:val="2"/>
          <w:sz w:val="24"/>
          <w:szCs w:val="24"/>
          <w14:ligatures w14:val="standardContextual"/>
        </w:rPr>
        <w:t>Ta-co-bet</w:t>
      </w:r>
      <w:r w:rsidRPr="00BF5E0B">
        <w:rPr>
          <w:rFonts w:ascii="Times New Roman" w:eastAsia="Times New Roman" w:hAnsi="Times New Roman"/>
          <w:kern w:val="2"/>
          <w:sz w:val="24"/>
          <w:szCs w:val="24"/>
          <w14:ligatures w14:val="standardContextual"/>
        </w:rPr>
        <w:t xml:space="preserve">) and beyond since time immemorial. The Tribe is a federally recognized sovereign nation and a successor-in-interest to the bands and tribes who were signatories to the 1854 Treaty of Medicine Creek. </w:t>
      </w:r>
      <w:r w:rsidRPr="00BF5E0B">
        <w:rPr>
          <w:rFonts w:ascii="Times New Roman" w:eastAsia="Times New Roman" w:hAnsi="Times New Roman"/>
          <w:i/>
          <w:kern w:val="2"/>
          <w:sz w:val="24"/>
          <w:szCs w:val="24"/>
          <w14:ligatures w14:val="standardContextual"/>
        </w:rPr>
        <w:t>See United States v. Washington</w:t>
      </w:r>
      <w:r w:rsidRPr="00BF5E0B">
        <w:rPr>
          <w:rFonts w:ascii="Times New Roman" w:eastAsia="Times New Roman" w:hAnsi="Times New Roman"/>
          <w:kern w:val="2"/>
          <w:sz w:val="24"/>
          <w:szCs w:val="24"/>
          <w14:ligatures w14:val="standardContextual"/>
        </w:rPr>
        <w:t xml:space="preserve">, 384 F. Supp. 312, 367–68 (W.D. Wash. 1974), </w:t>
      </w:r>
      <w:r w:rsidRPr="00BF5E0B">
        <w:rPr>
          <w:rFonts w:ascii="Times New Roman" w:eastAsia="Times New Roman" w:hAnsi="Times New Roman"/>
          <w:i/>
          <w:kern w:val="2"/>
          <w:sz w:val="24"/>
          <w:szCs w:val="24"/>
          <w14:ligatures w14:val="standardContextual"/>
        </w:rPr>
        <w:t xml:space="preserve">aff’d </w:t>
      </w:r>
      <w:r w:rsidRPr="00BF5E0B">
        <w:rPr>
          <w:rFonts w:ascii="Times New Roman" w:eastAsia="Times New Roman" w:hAnsi="Times New Roman"/>
          <w:kern w:val="2"/>
          <w:sz w:val="24"/>
          <w:szCs w:val="24"/>
          <w14:ligatures w14:val="standardContextual"/>
        </w:rPr>
        <w:t xml:space="preserve">520 F.2d 676 (9th Cir. 1975), </w:t>
      </w:r>
      <w:r w:rsidRPr="00BF5E0B">
        <w:rPr>
          <w:rFonts w:ascii="Times New Roman" w:eastAsia="Times New Roman" w:hAnsi="Times New Roman"/>
          <w:i/>
          <w:kern w:val="2"/>
          <w:sz w:val="24"/>
          <w:szCs w:val="24"/>
          <w14:ligatures w14:val="standardContextual"/>
        </w:rPr>
        <w:t>cert. denied</w:t>
      </w:r>
      <w:r w:rsidRPr="00BF5E0B">
        <w:rPr>
          <w:rFonts w:ascii="Times New Roman" w:eastAsia="Times New Roman" w:hAnsi="Times New Roman"/>
          <w:kern w:val="2"/>
          <w:sz w:val="24"/>
          <w:szCs w:val="24"/>
          <w14:ligatures w14:val="standardContextual"/>
        </w:rPr>
        <w:t xml:space="preserve">, 423 U.S. 1086, 96 S. Ct. 877 (1976); </w:t>
      </w:r>
      <w:r w:rsidRPr="00BF5E0B">
        <w:rPr>
          <w:rFonts w:ascii="Times New Roman" w:eastAsia="Times New Roman" w:hAnsi="Times New Roman"/>
          <w:i/>
          <w:kern w:val="2"/>
          <w:sz w:val="24"/>
          <w:szCs w:val="24"/>
          <w14:ligatures w14:val="standardContextual"/>
        </w:rPr>
        <w:t>see also Treaty of Medicine Creek</w:t>
      </w:r>
      <w:r w:rsidRPr="00BF5E0B">
        <w:rPr>
          <w:rFonts w:ascii="Times New Roman" w:eastAsia="Times New Roman" w:hAnsi="Times New Roman"/>
          <w:kern w:val="2"/>
          <w:sz w:val="24"/>
          <w:szCs w:val="24"/>
          <w14:ligatures w14:val="standardContextual"/>
        </w:rPr>
        <w:t xml:space="preserve">, 10 Stat. 1132 (1854). The Treaty of Medicine Creek recognizes the Tribe’s sovereign right to self-governance and self-determination and guarantees the Tribe the reserved “right of taking fish, at all usual and accustomed grounds and stations [(U&amp;A)], … together with the privilege of hunting, gathering roots and berries, and pasturing their horses on open and unclaimed lands[.]” 10 Stat. 1132, Art. 3. </w:t>
      </w:r>
    </w:p>
    <w:p w14:paraId="03B1EF1B"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p>
    <w:p w14:paraId="5C2E920F"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r w:rsidRPr="00BF5E0B">
        <w:rPr>
          <w:rFonts w:ascii="Times New Roman" w:eastAsia="Aptos" w:hAnsi="Times New Roman"/>
          <w:kern w:val="2"/>
          <w:sz w:val="24"/>
          <w:szCs w:val="24"/>
          <w14:ligatures w14:val="standardContextual"/>
        </w:rPr>
        <w:t xml:space="preserve">The Tribe’s U&amp;A and traditional lands includes South Puget Sound and the Nisqually watershed. We are a </w:t>
      </w:r>
      <w:proofErr w:type="spellStart"/>
      <w:r w:rsidRPr="00BF5E0B">
        <w:rPr>
          <w:rFonts w:ascii="Times New Roman" w:eastAsia="Aptos" w:hAnsi="Times New Roman"/>
          <w:kern w:val="2"/>
          <w:sz w:val="24"/>
          <w:szCs w:val="24"/>
          <w14:ligatures w14:val="standardContextual"/>
        </w:rPr>
        <w:t>co-manager</w:t>
      </w:r>
      <w:proofErr w:type="spellEnd"/>
      <w:r w:rsidRPr="00BF5E0B">
        <w:rPr>
          <w:rFonts w:ascii="Times New Roman" w:eastAsia="Aptos" w:hAnsi="Times New Roman"/>
          <w:kern w:val="2"/>
          <w:sz w:val="24"/>
          <w:szCs w:val="24"/>
          <w14:ligatures w14:val="standardContextual"/>
        </w:rPr>
        <w:t xml:space="preserve"> of fisheries resources with the State of Washington. We have also dedicated innumerable resources to protecting and restoring the ecosystem in our territory, including Endangered Species Act-listed salmon.</w:t>
      </w:r>
    </w:p>
    <w:p w14:paraId="01A62C95"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p>
    <w:p w14:paraId="5F090F84"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r w:rsidRPr="00BF5E0B">
        <w:rPr>
          <w:rFonts w:ascii="Times New Roman" w:eastAsia="Aptos" w:hAnsi="Times New Roman"/>
          <w:kern w:val="2"/>
          <w:sz w:val="24"/>
          <w:szCs w:val="24"/>
          <w14:ligatures w14:val="standardContextual"/>
        </w:rPr>
        <w:t>The Eatonville landfill is located near the Town of Eatonville in rural Pierce County. It is surrounded by Nisqually State Park. The landfill was operated as an uncontrolled dump site for approximately 30 years beginning in 1950, until its closure in March 1980. The approximately two-acre landfill area is unfenced and consists of highly irregular terrain and exposed refuse, including debris such as abandoned appliances, car bodies, drums, and tires. The lower face of the landfill terminates in a high-quality wetland. This wetland area receives stormwater runoff from over the landfill and the surrounding bluff, and from natural springs that discharge at various points along the bluff. </w:t>
      </w:r>
    </w:p>
    <w:p w14:paraId="79A52E6A"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p>
    <w:p w14:paraId="20C99895" w14:textId="77777777" w:rsidR="00BF5E0B" w:rsidRDefault="00BF5E0B" w:rsidP="00BF5E0B">
      <w:pPr>
        <w:spacing w:after="0" w:line="240" w:lineRule="auto"/>
        <w:rPr>
          <w:rFonts w:ascii="Times New Roman" w:eastAsia="Aptos" w:hAnsi="Times New Roman"/>
          <w:kern w:val="2"/>
          <w:sz w:val="24"/>
          <w:szCs w:val="24"/>
          <w14:ligatures w14:val="standardContextual"/>
        </w:rPr>
      </w:pPr>
    </w:p>
    <w:p w14:paraId="25C3EAD8" w14:textId="77777777" w:rsidR="00BF5E0B" w:rsidRDefault="00BF5E0B" w:rsidP="00BF5E0B">
      <w:pPr>
        <w:spacing w:after="0" w:line="240" w:lineRule="auto"/>
        <w:rPr>
          <w:rFonts w:ascii="Times New Roman" w:eastAsia="Aptos" w:hAnsi="Times New Roman"/>
          <w:kern w:val="2"/>
          <w:sz w:val="24"/>
          <w:szCs w:val="24"/>
          <w14:ligatures w14:val="standardContextual"/>
        </w:rPr>
      </w:pPr>
    </w:p>
    <w:p w14:paraId="50F2A0A7" w14:textId="70EF4200" w:rsidR="00BF5E0B" w:rsidRPr="00BF5E0B" w:rsidRDefault="00BF5E0B" w:rsidP="00BF5E0B">
      <w:pPr>
        <w:spacing w:after="0" w:line="240" w:lineRule="auto"/>
        <w:rPr>
          <w:rFonts w:ascii="Times New Roman" w:eastAsia="Aptos" w:hAnsi="Times New Roman"/>
          <w:kern w:val="2"/>
          <w:sz w:val="24"/>
          <w:szCs w:val="24"/>
          <w14:ligatures w14:val="standardContextual"/>
        </w:rPr>
      </w:pPr>
      <w:r w:rsidRPr="00BF5E0B">
        <w:rPr>
          <w:rFonts w:ascii="Times New Roman" w:eastAsia="Aptos" w:hAnsi="Times New Roman"/>
          <w:kern w:val="2"/>
          <w:sz w:val="24"/>
          <w:szCs w:val="24"/>
          <w14:ligatures w14:val="standardContextual"/>
        </w:rPr>
        <w:lastRenderedPageBreak/>
        <w:t xml:space="preserve">Water from the wetland flows downstream about a quarter mile to the </w:t>
      </w:r>
      <w:proofErr w:type="spellStart"/>
      <w:r w:rsidRPr="00BF5E0B">
        <w:rPr>
          <w:rFonts w:ascii="Times New Roman" w:eastAsia="Aptos" w:hAnsi="Times New Roman"/>
          <w:kern w:val="2"/>
          <w:sz w:val="24"/>
          <w:szCs w:val="24"/>
          <w14:ligatures w14:val="standardContextual"/>
        </w:rPr>
        <w:t>Mashel</w:t>
      </w:r>
      <w:proofErr w:type="spellEnd"/>
      <w:r w:rsidRPr="00BF5E0B">
        <w:rPr>
          <w:rFonts w:ascii="Times New Roman" w:eastAsia="Aptos" w:hAnsi="Times New Roman"/>
          <w:kern w:val="2"/>
          <w:sz w:val="24"/>
          <w:szCs w:val="24"/>
          <w14:ligatures w14:val="standardContextual"/>
        </w:rPr>
        <w:t xml:space="preserve"> River. The </w:t>
      </w:r>
      <w:proofErr w:type="spellStart"/>
      <w:r w:rsidRPr="00BF5E0B">
        <w:rPr>
          <w:rFonts w:ascii="Times New Roman" w:eastAsia="Aptos" w:hAnsi="Times New Roman"/>
          <w:kern w:val="2"/>
          <w:sz w:val="24"/>
          <w:szCs w:val="24"/>
          <w14:ligatures w14:val="standardContextual"/>
        </w:rPr>
        <w:t>Mashel</w:t>
      </w:r>
      <w:proofErr w:type="spellEnd"/>
      <w:r w:rsidRPr="00BF5E0B">
        <w:rPr>
          <w:rFonts w:ascii="Times New Roman" w:eastAsia="Aptos" w:hAnsi="Times New Roman"/>
          <w:kern w:val="2"/>
          <w:sz w:val="24"/>
          <w:szCs w:val="24"/>
          <w14:ligatures w14:val="standardContextual"/>
        </w:rPr>
        <w:t xml:space="preserve"> River is a major tributary of the Nisqually River. As described above, the Nisqually Indian Tribe holds treaty fishing, hunting, and gathering rights in the Nisqually watershed. Not only is the area around the site culturally important to the Tribe, but both rivers provide key habitat for fall Chinook salmon and steelhead trout. Salmon are a mainstay of our diet and the foundation of our lifeway.</w:t>
      </w:r>
    </w:p>
    <w:p w14:paraId="070A0229"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p>
    <w:p w14:paraId="26018A0E"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r w:rsidRPr="00BF5E0B">
        <w:rPr>
          <w:rFonts w:ascii="Times New Roman" w:eastAsia="Aptos" w:hAnsi="Times New Roman"/>
          <w:kern w:val="2"/>
          <w:sz w:val="24"/>
          <w:szCs w:val="24"/>
          <w14:ligatures w14:val="standardContextual"/>
        </w:rPr>
        <w:t xml:space="preserve">By this letter, the Nisqually Indian Tribe expresses support for the Department of Ecology’s plan to remediate the Eatonville landfill site, which includes both the “Landfill Area” and the “Wetland Area.” Remediation will permanently remove a known source of heavy metals and other toxics impacting fish health in the nearby </w:t>
      </w:r>
      <w:proofErr w:type="spellStart"/>
      <w:r w:rsidRPr="00BF5E0B">
        <w:rPr>
          <w:rFonts w:ascii="Times New Roman" w:eastAsia="Aptos" w:hAnsi="Times New Roman"/>
          <w:kern w:val="2"/>
          <w:sz w:val="24"/>
          <w:szCs w:val="24"/>
          <w14:ligatures w14:val="standardContextual"/>
        </w:rPr>
        <w:t>Mashel</w:t>
      </w:r>
      <w:proofErr w:type="spellEnd"/>
      <w:r w:rsidRPr="00BF5E0B">
        <w:rPr>
          <w:rFonts w:ascii="Times New Roman" w:eastAsia="Aptos" w:hAnsi="Times New Roman"/>
          <w:kern w:val="2"/>
          <w:sz w:val="24"/>
          <w:szCs w:val="24"/>
          <w14:ligatures w14:val="standardContextual"/>
        </w:rPr>
        <w:t xml:space="preserve"> River. Reducing these toxic threats will contribute to increased fish population health that can better support the Nisqually Tribe’s treaty-secured fishing rights. Honoring treaty rights is also key to ensuring that the principles of environmental justice are achieved. </w:t>
      </w:r>
    </w:p>
    <w:p w14:paraId="241A068A"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p>
    <w:p w14:paraId="1579B29A"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r w:rsidRPr="00BF5E0B">
        <w:rPr>
          <w:rFonts w:ascii="Times New Roman" w:eastAsia="Aptos" w:hAnsi="Times New Roman"/>
          <w:kern w:val="2"/>
          <w:sz w:val="24"/>
          <w:szCs w:val="24"/>
          <w14:ligatures w14:val="standardContextual"/>
        </w:rPr>
        <w:t xml:space="preserve">The Tribe is supportive of the separate selected cleanup action plans for both the Landfill Area and the Wetland Area identified in the Draft Cleanup Action Plan. It is the Tribe’s understanding that for the Landfill Area, all waste and impacted soil beneath the waste prism exceeding clean up levels will be excavated to the maximum extent practicable. The Tribe additionally understands that full excavation will likely not occur at the Wetland Area but encourage removal of as much waste as possible without disrupting the wetland ecosystem. The Tribe believes that monitored natural attenuation at the Wetland Area is essential and urges Ecology to be diligent in ensuring that the monitoring program is followed. The Tribe additionally asks to be updated on monitoring results.  </w:t>
      </w:r>
    </w:p>
    <w:p w14:paraId="78C588F2"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p>
    <w:p w14:paraId="4D23A54C"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r w:rsidRPr="00BF5E0B">
        <w:rPr>
          <w:rFonts w:ascii="Times New Roman" w:eastAsia="Aptos" w:hAnsi="Times New Roman"/>
          <w:kern w:val="2"/>
          <w:sz w:val="24"/>
          <w:szCs w:val="24"/>
          <w14:ligatures w14:val="standardContextual"/>
        </w:rPr>
        <w:t xml:space="preserve">The Draft Clean Up Action Plan provides that a compliance monitoring program will be implemented at the Site both during and after the cleanup. It is the Tribe’s understanding that this will include multiple types of monitoring, including 1) protection monitoring (ensuring that both human health and the environment are being protected during the cleanup), 2) performance monitoring (ensuring that the cleanup action is being successfully implemented), and 3) confirmation monitoring (ensuring that the cleanup remedy continues to be effective). The Tribe recognizes that Ecology expects the cleanup to take approximately ten years, and as such, firmly believes that continued monitoring is of the utmost importance. Given the Tribal significance of the Nisqually </w:t>
      </w:r>
      <w:proofErr w:type="spellStart"/>
      <w:r w:rsidRPr="00BF5E0B">
        <w:rPr>
          <w:rFonts w:ascii="Times New Roman" w:eastAsia="Aptos" w:hAnsi="Times New Roman"/>
          <w:kern w:val="2"/>
          <w:sz w:val="24"/>
          <w:szCs w:val="24"/>
          <w14:ligatures w14:val="standardContextual"/>
        </w:rPr>
        <w:t>Rivershed</w:t>
      </w:r>
      <w:proofErr w:type="spellEnd"/>
      <w:r w:rsidRPr="00BF5E0B">
        <w:rPr>
          <w:rFonts w:ascii="Times New Roman" w:eastAsia="Aptos" w:hAnsi="Times New Roman"/>
          <w:kern w:val="2"/>
          <w:sz w:val="24"/>
          <w:szCs w:val="24"/>
          <w14:ligatures w14:val="standardContextual"/>
        </w:rPr>
        <w:t xml:space="preserve">, as well as the fact that the Tribe faces a disproportionate risk for exposure to and contact with contaminants from the Site, we strongly believe that the Nisqually Indian Tribe should continue to be consulted throughout the remediation and monitoring process. If after ten years contaminants are still above cleanup levels, we urge Ecology to work closely with the Nisqually Indian Tribe to identify and address Tribal interests in advance of any further cleanup actions.  </w:t>
      </w:r>
    </w:p>
    <w:p w14:paraId="6B893856"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p>
    <w:p w14:paraId="0EDB57DC" w14:textId="77777777" w:rsidR="00BF5E0B" w:rsidRDefault="00BF5E0B" w:rsidP="00BF5E0B">
      <w:pPr>
        <w:spacing w:after="0" w:line="240" w:lineRule="auto"/>
        <w:rPr>
          <w:rFonts w:ascii="Times New Roman" w:eastAsia="Aptos" w:hAnsi="Times New Roman"/>
          <w:kern w:val="2"/>
          <w:sz w:val="24"/>
          <w:szCs w:val="24"/>
          <w14:ligatures w14:val="standardContextual"/>
        </w:rPr>
      </w:pPr>
      <w:r w:rsidRPr="00BF5E0B">
        <w:rPr>
          <w:rFonts w:ascii="Times New Roman" w:eastAsia="Aptos" w:hAnsi="Times New Roman"/>
          <w:kern w:val="2"/>
          <w:sz w:val="24"/>
          <w:szCs w:val="24"/>
          <w14:ligatures w14:val="standardContextual"/>
        </w:rPr>
        <w:t xml:space="preserve">Cleanup of the Eatonville landfill should be one of the highest priority Puget Sound cleanup actions and we applaud the Department of Ecology for taking these much needed first steps. </w:t>
      </w:r>
    </w:p>
    <w:p w14:paraId="474AA8EA" w14:textId="77777777" w:rsidR="00BF5E0B" w:rsidRDefault="00BF5E0B" w:rsidP="00BF5E0B">
      <w:pPr>
        <w:spacing w:after="0" w:line="240" w:lineRule="auto"/>
        <w:rPr>
          <w:rFonts w:ascii="Times New Roman" w:eastAsia="Aptos" w:hAnsi="Times New Roman"/>
          <w:kern w:val="2"/>
          <w:sz w:val="24"/>
          <w:szCs w:val="24"/>
          <w14:ligatures w14:val="standardContextual"/>
        </w:rPr>
      </w:pPr>
    </w:p>
    <w:p w14:paraId="05735D7A" w14:textId="77777777" w:rsidR="00BF5E0B" w:rsidRDefault="00BF5E0B" w:rsidP="00BF5E0B">
      <w:pPr>
        <w:spacing w:after="0" w:line="240" w:lineRule="auto"/>
        <w:rPr>
          <w:rFonts w:ascii="Times New Roman" w:eastAsia="Aptos" w:hAnsi="Times New Roman"/>
          <w:kern w:val="2"/>
          <w:sz w:val="24"/>
          <w:szCs w:val="24"/>
          <w14:ligatures w14:val="standardContextual"/>
        </w:rPr>
      </w:pPr>
    </w:p>
    <w:p w14:paraId="6536546B" w14:textId="77777777" w:rsidR="00BF5E0B" w:rsidRDefault="00BF5E0B" w:rsidP="00BF5E0B">
      <w:pPr>
        <w:spacing w:after="0" w:line="240" w:lineRule="auto"/>
        <w:rPr>
          <w:rFonts w:ascii="Times New Roman" w:eastAsia="Aptos" w:hAnsi="Times New Roman"/>
          <w:kern w:val="2"/>
          <w:sz w:val="24"/>
          <w:szCs w:val="24"/>
          <w14:ligatures w14:val="standardContextual"/>
        </w:rPr>
      </w:pPr>
    </w:p>
    <w:p w14:paraId="7C4D1659" w14:textId="35D5C6BF" w:rsidR="00BF5E0B" w:rsidRPr="00BF5E0B" w:rsidRDefault="00BF5E0B" w:rsidP="00BF5E0B">
      <w:pPr>
        <w:spacing w:after="0" w:line="240" w:lineRule="auto"/>
        <w:rPr>
          <w:rFonts w:ascii="Times New Roman" w:eastAsia="Aptos" w:hAnsi="Times New Roman"/>
          <w:kern w:val="2"/>
          <w:sz w:val="24"/>
          <w:szCs w:val="24"/>
          <w14:ligatures w14:val="standardContextual"/>
        </w:rPr>
      </w:pPr>
      <w:bookmarkStart w:id="0" w:name="_GoBack"/>
      <w:bookmarkEnd w:id="0"/>
      <w:r w:rsidRPr="00BF5E0B">
        <w:rPr>
          <w:rFonts w:ascii="Times New Roman" w:eastAsia="Aptos" w:hAnsi="Times New Roman"/>
          <w:kern w:val="2"/>
          <w:sz w:val="24"/>
          <w:szCs w:val="24"/>
          <w14:ligatures w14:val="standardContextual"/>
        </w:rPr>
        <w:lastRenderedPageBreak/>
        <w:t xml:space="preserve">Thank you for your consideration of the Nisqually Indian Tribe’s comment letter and </w:t>
      </w:r>
      <w:r w:rsidRPr="00BF5E0B">
        <w:rPr>
          <w:rFonts w:ascii="Times New Roman" w:eastAsia="Times New Roman" w:hAnsi="Times New Roman"/>
          <w:kern w:val="2"/>
          <w:sz w:val="24"/>
          <w:szCs w:val="24"/>
          <w14:ligatures w14:val="standardContextual"/>
        </w:rPr>
        <w:t xml:space="preserve">please contact me at 360-456-5221 </w:t>
      </w:r>
      <w:r w:rsidRPr="00BF5E0B">
        <w:rPr>
          <w:rFonts w:ascii="Times New Roman" w:eastAsia="Aptos" w:hAnsi="Times New Roman"/>
          <w:kern w:val="2"/>
          <w:sz w:val="24"/>
          <w:szCs w:val="24"/>
          <w14:ligatures w14:val="standardContextual"/>
        </w:rPr>
        <w:t>if you have any questions.</w:t>
      </w:r>
    </w:p>
    <w:p w14:paraId="345F6013"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p>
    <w:p w14:paraId="49F5899A"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p>
    <w:p w14:paraId="6BACA478"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r w:rsidRPr="00BF5E0B">
        <w:rPr>
          <w:rFonts w:ascii="Times New Roman" w:eastAsia="Aptos" w:hAnsi="Times New Roman"/>
          <w:kern w:val="2"/>
          <w:sz w:val="24"/>
          <w:szCs w:val="24"/>
          <w14:ligatures w14:val="standardContextual"/>
        </w:rPr>
        <w:t xml:space="preserve">Sincerely, </w:t>
      </w:r>
    </w:p>
    <w:p w14:paraId="592E9364"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r w:rsidRPr="00BF5E0B">
        <w:rPr>
          <w:rFonts w:ascii="Times New Roman" w:eastAsia="Aptos" w:hAnsi="Times New Roman"/>
          <w:noProof/>
          <w:kern w:val="2"/>
          <w:sz w:val="24"/>
          <w:szCs w:val="24"/>
          <w14:ligatures w14:val="standardContextual"/>
        </w:rPr>
        <w:drawing>
          <wp:inline distT="0" distB="0" distL="0" distR="0" wp14:anchorId="6C2D39E6" wp14:editId="1E131B87">
            <wp:extent cx="1165860" cy="4619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1865" cy="539638"/>
                    </a:xfrm>
                    <a:prstGeom prst="rect">
                      <a:avLst/>
                    </a:prstGeom>
                    <a:noFill/>
                  </pic:spPr>
                </pic:pic>
              </a:graphicData>
            </a:graphic>
          </wp:inline>
        </w:drawing>
      </w:r>
    </w:p>
    <w:p w14:paraId="6AD950A5"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p>
    <w:p w14:paraId="2DF7CAAB"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r w:rsidRPr="00BF5E0B">
        <w:rPr>
          <w:rFonts w:ascii="Times New Roman" w:eastAsia="Aptos" w:hAnsi="Times New Roman"/>
          <w:kern w:val="2"/>
          <w:sz w:val="24"/>
          <w:szCs w:val="24"/>
          <w14:ligatures w14:val="standardContextual"/>
        </w:rPr>
        <w:t>David Troutt</w:t>
      </w:r>
    </w:p>
    <w:p w14:paraId="1626DE5C" w14:textId="77777777" w:rsidR="00BF5E0B" w:rsidRPr="00BF5E0B" w:rsidRDefault="00BF5E0B" w:rsidP="00BF5E0B">
      <w:pPr>
        <w:spacing w:after="0" w:line="240" w:lineRule="auto"/>
        <w:rPr>
          <w:rFonts w:ascii="Times New Roman" w:eastAsia="Aptos" w:hAnsi="Times New Roman"/>
          <w:kern w:val="2"/>
          <w:sz w:val="24"/>
          <w:szCs w:val="24"/>
          <w14:ligatures w14:val="standardContextual"/>
        </w:rPr>
      </w:pPr>
      <w:r w:rsidRPr="00BF5E0B">
        <w:rPr>
          <w:rFonts w:ascii="Times New Roman" w:eastAsia="Aptos" w:hAnsi="Times New Roman"/>
          <w:kern w:val="2"/>
          <w:sz w:val="24"/>
          <w:szCs w:val="24"/>
          <w14:ligatures w14:val="standardContextual"/>
        </w:rPr>
        <w:t>Natural Resources Director</w:t>
      </w:r>
    </w:p>
    <w:p w14:paraId="1F1674A3" w14:textId="2C215853" w:rsidR="0031095B" w:rsidRPr="000D00FB" w:rsidRDefault="0031095B" w:rsidP="000D00FB"/>
    <w:sectPr w:rsidR="0031095B" w:rsidRPr="000D00FB" w:rsidSect="00D852A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E9080" w14:textId="77777777" w:rsidR="0024271C" w:rsidRDefault="0024271C" w:rsidP="00442E5E">
      <w:pPr>
        <w:spacing w:after="0" w:line="240" w:lineRule="auto"/>
      </w:pPr>
      <w:r>
        <w:separator/>
      </w:r>
    </w:p>
  </w:endnote>
  <w:endnote w:type="continuationSeparator" w:id="0">
    <w:p w14:paraId="10FD54B8" w14:textId="77777777" w:rsidR="0024271C" w:rsidRDefault="0024271C" w:rsidP="00442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E427F" w14:textId="77777777" w:rsidR="00C21894" w:rsidRDefault="00C21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FD675" w14:textId="77777777" w:rsidR="00212D51" w:rsidRDefault="00B94824" w:rsidP="00B94824">
    <w:pPr>
      <w:pStyle w:val="Header"/>
      <w:pBdr>
        <w:bottom w:val="single" w:sz="4" w:space="1" w:color="D9D9D9"/>
      </w:pBdr>
      <w:jc w:val="both"/>
      <w:rPr>
        <w:b/>
      </w:rPr>
    </w:pPr>
    <w:r>
      <w:rPr>
        <w:noProof/>
        <w:color w:val="7F7F7F"/>
        <w:spacing w:val="60"/>
      </w:rPr>
      <w:t xml:space="preserve">NISQUALLY INDIAN TRIBE </w:t>
    </w:r>
    <w:r>
      <w:rPr>
        <w:noProof/>
        <w:color w:val="7F7F7F"/>
        <w:spacing w:val="60"/>
      </w:rPr>
      <w:tab/>
    </w:r>
    <w:r>
      <w:rPr>
        <w:noProof/>
        <w:color w:val="7F7F7F"/>
        <w:spacing w:val="60"/>
      </w:rPr>
      <w:tab/>
    </w:r>
    <w:r w:rsidR="00212D51">
      <w:t xml:space="preserve"> </w:t>
    </w:r>
    <w:r w:rsidR="00212D51">
      <w:rPr>
        <w:color w:val="7F7F7F"/>
        <w:spacing w:val="60"/>
      </w:rPr>
      <w:t>Page</w:t>
    </w:r>
    <w:r w:rsidR="00212D51">
      <w:t xml:space="preserve"> | </w:t>
    </w:r>
    <w:r w:rsidR="009D0D8B">
      <w:fldChar w:fldCharType="begin"/>
    </w:r>
    <w:r w:rsidR="009D0D8B">
      <w:instrText xml:space="preserve"> PAGE   \* MERGEFORMAT </w:instrText>
    </w:r>
    <w:r w:rsidR="009D0D8B">
      <w:fldChar w:fldCharType="separate"/>
    </w:r>
    <w:r w:rsidR="00CF1E6F" w:rsidRPr="00CF1E6F">
      <w:rPr>
        <w:b/>
        <w:noProof/>
      </w:rPr>
      <w:t>2</w:t>
    </w:r>
    <w:r w:rsidR="009D0D8B">
      <w:fldChar w:fldCharType="end"/>
    </w:r>
  </w:p>
  <w:p w14:paraId="75D32549" w14:textId="77777777" w:rsidR="00212D51" w:rsidRDefault="00212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A7A4B" w14:textId="77777777" w:rsidR="00C21894" w:rsidRDefault="00C21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CE0D6" w14:textId="77777777" w:rsidR="0024271C" w:rsidRDefault="0024271C" w:rsidP="00442E5E">
      <w:pPr>
        <w:spacing w:after="0" w:line="240" w:lineRule="auto"/>
      </w:pPr>
      <w:r>
        <w:separator/>
      </w:r>
    </w:p>
  </w:footnote>
  <w:footnote w:type="continuationSeparator" w:id="0">
    <w:p w14:paraId="22844183" w14:textId="77777777" w:rsidR="0024271C" w:rsidRDefault="0024271C" w:rsidP="00442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F40FF" w14:textId="77777777" w:rsidR="00C21894" w:rsidRDefault="00C21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28FD8" w14:textId="77777777" w:rsidR="00C21894" w:rsidRDefault="00C218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36BF" w14:textId="77777777" w:rsidR="00212D51" w:rsidRDefault="00212D51" w:rsidP="00212D51">
    <w:pPr>
      <w:pStyle w:val="Header"/>
    </w:pPr>
  </w:p>
  <w:p w14:paraId="36C64AB4" w14:textId="77777777" w:rsidR="00212D51" w:rsidRDefault="00BE411A" w:rsidP="00212D51">
    <w:pPr>
      <w:pStyle w:val="Header"/>
    </w:pPr>
    <w:r>
      <w:rPr>
        <w:noProof/>
        <w:lang w:eastAsia="zh-TW"/>
      </w:rPr>
      <mc:AlternateContent>
        <mc:Choice Requires="wps">
          <w:drawing>
            <wp:anchor distT="0" distB="0" distL="114300" distR="114300" simplePos="0" relativeHeight="251657728" behindDoc="0" locked="0" layoutInCell="1" allowOverlap="1" wp14:anchorId="054FD662" wp14:editId="62E01982">
              <wp:simplePos x="0" y="0"/>
              <wp:positionH relativeFrom="column">
                <wp:posOffset>3286125</wp:posOffset>
              </wp:positionH>
              <wp:positionV relativeFrom="paragraph">
                <wp:posOffset>0</wp:posOffset>
              </wp:positionV>
              <wp:extent cx="2764790" cy="1267460"/>
              <wp:effectExtent l="0" t="0" r="0" b="0"/>
              <wp:wrapNone/>
              <wp:docPr id="12593789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4790" cy="126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5DC83" w14:textId="77777777" w:rsidR="00212D51" w:rsidRPr="00B94824" w:rsidRDefault="00212D51" w:rsidP="00B94824">
                          <w:pPr>
                            <w:spacing w:after="0" w:line="240" w:lineRule="auto"/>
                            <w:ind w:left="1440" w:hanging="1440"/>
                            <w:jc w:val="right"/>
                            <w:rPr>
                              <w:rFonts w:ascii="Arial" w:hAnsi="Arial" w:cs="Arial"/>
                              <w:b/>
                              <w:sz w:val="28"/>
                              <w:szCs w:val="28"/>
                            </w:rPr>
                          </w:pPr>
                          <w:r w:rsidRPr="00B94824">
                            <w:rPr>
                              <w:rFonts w:ascii="Arial" w:hAnsi="Arial" w:cs="Arial"/>
                              <w:b/>
                              <w:sz w:val="28"/>
                              <w:szCs w:val="28"/>
                            </w:rPr>
                            <w:t>NISQUALLY INDIAN TRIBE</w:t>
                          </w:r>
                        </w:p>
                        <w:p w14:paraId="75A963C2" w14:textId="77777777" w:rsidR="00212D51" w:rsidRPr="00B94824" w:rsidRDefault="00B94824" w:rsidP="00212D51">
                          <w:pPr>
                            <w:spacing w:after="0" w:line="240" w:lineRule="auto"/>
                            <w:ind w:left="1440" w:hanging="1440"/>
                            <w:jc w:val="right"/>
                            <w:rPr>
                              <w:rFonts w:ascii="Arial" w:hAnsi="Arial" w:cs="Arial"/>
                              <w:b/>
                              <w:sz w:val="20"/>
                              <w:szCs w:val="20"/>
                            </w:rPr>
                          </w:pPr>
                          <w:r w:rsidRPr="00B94824">
                            <w:rPr>
                              <w:rFonts w:ascii="Arial" w:hAnsi="Arial" w:cs="Arial"/>
                              <w:b/>
                              <w:sz w:val="20"/>
                              <w:szCs w:val="20"/>
                            </w:rPr>
                            <w:t>Department of Natural Resources</w:t>
                          </w:r>
                        </w:p>
                        <w:p w14:paraId="7E64ED5A" w14:textId="77777777" w:rsidR="00212D51" w:rsidRPr="00B94824" w:rsidRDefault="00B94824" w:rsidP="00212D51">
                          <w:pPr>
                            <w:spacing w:after="0" w:line="240" w:lineRule="auto"/>
                            <w:jc w:val="right"/>
                            <w:rPr>
                              <w:rFonts w:ascii="Arial" w:hAnsi="Arial" w:cs="Arial"/>
                              <w:sz w:val="20"/>
                              <w:szCs w:val="20"/>
                            </w:rPr>
                          </w:pPr>
                          <w:r w:rsidRPr="00B94824">
                            <w:rPr>
                              <w:rFonts w:ascii="Arial" w:hAnsi="Arial" w:cs="Arial"/>
                              <w:sz w:val="20"/>
                              <w:szCs w:val="20"/>
                            </w:rPr>
                            <w:t>12501 Yelm Highway SE</w:t>
                          </w:r>
                        </w:p>
                        <w:p w14:paraId="00F29AD9" w14:textId="77777777" w:rsidR="00212D51" w:rsidRPr="00212D51" w:rsidRDefault="00212D51" w:rsidP="00212D51">
                          <w:pPr>
                            <w:spacing w:after="0" w:line="240" w:lineRule="auto"/>
                            <w:jc w:val="right"/>
                            <w:rPr>
                              <w:rFonts w:ascii="Arial" w:hAnsi="Arial" w:cs="Arial"/>
                              <w:sz w:val="20"/>
                              <w:szCs w:val="20"/>
                            </w:rPr>
                          </w:pPr>
                          <w:r w:rsidRPr="00212D51">
                            <w:rPr>
                              <w:rFonts w:ascii="Arial" w:hAnsi="Arial" w:cs="Arial"/>
                              <w:sz w:val="20"/>
                              <w:szCs w:val="20"/>
                            </w:rPr>
                            <w:t>Olympia, Washington 98513</w:t>
                          </w:r>
                        </w:p>
                        <w:p w14:paraId="762B21C3" w14:textId="77777777" w:rsidR="00212D51" w:rsidRDefault="00212D51" w:rsidP="00212D51">
                          <w:pPr>
                            <w:spacing w:after="0" w:line="240" w:lineRule="auto"/>
                            <w:jc w:val="right"/>
                            <w:rPr>
                              <w:rFonts w:ascii="Arial" w:hAnsi="Arial" w:cs="Arial"/>
                              <w:sz w:val="20"/>
                              <w:szCs w:val="20"/>
                            </w:rPr>
                          </w:pPr>
                          <w:r w:rsidRPr="00212D51">
                            <w:rPr>
                              <w:rFonts w:ascii="Arial" w:hAnsi="Arial" w:cs="Arial"/>
                              <w:sz w:val="20"/>
                              <w:szCs w:val="20"/>
                            </w:rPr>
                            <w:t>360.</w:t>
                          </w:r>
                          <w:r w:rsidR="00016CFF">
                            <w:rPr>
                              <w:rFonts w:ascii="Arial" w:hAnsi="Arial" w:cs="Arial"/>
                              <w:sz w:val="20"/>
                              <w:szCs w:val="20"/>
                            </w:rPr>
                            <w:t>438</w:t>
                          </w:r>
                          <w:r w:rsidRPr="00212D51">
                            <w:rPr>
                              <w:rFonts w:ascii="Arial" w:hAnsi="Arial" w:cs="Arial"/>
                              <w:sz w:val="20"/>
                              <w:szCs w:val="20"/>
                            </w:rPr>
                            <w:t>.</w:t>
                          </w:r>
                          <w:r w:rsidR="00016CFF">
                            <w:rPr>
                              <w:rFonts w:ascii="Arial" w:hAnsi="Arial" w:cs="Arial"/>
                              <w:sz w:val="20"/>
                              <w:szCs w:val="20"/>
                            </w:rPr>
                            <w:t>8687</w:t>
                          </w:r>
                          <w:r w:rsidR="00B94824">
                            <w:rPr>
                              <w:rFonts w:ascii="Arial" w:hAnsi="Arial" w:cs="Arial"/>
                              <w:sz w:val="20"/>
                              <w:szCs w:val="20"/>
                            </w:rPr>
                            <w:t xml:space="preserve"> (main)</w:t>
                          </w:r>
                        </w:p>
                        <w:p w14:paraId="6FBB391D" w14:textId="77777777" w:rsidR="00D05696" w:rsidRPr="00212D51" w:rsidRDefault="00D05696" w:rsidP="00212D51">
                          <w:pPr>
                            <w:spacing w:after="0" w:line="240" w:lineRule="auto"/>
                            <w:jc w:val="right"/>
                            <w:rPr>
                              <w:rFonts w:ascii="Arial" w:hAnsi="Arial" w:cs="Arial"/>
                              <w:sz w:val="20"/>
                              <w:szCs w:val="20"/>
                            </w:rPr>
                          </w:pPr>
                          <w:r>
                            <w:rPr>
                              <w:rFonts w:ascii="Arial" w:hAnsi="Arial" w:cs="Arial"/>
                              <w:sz w:val="20"/>
                              <w:szCs w:val="20"/>
                            </w:rPr>
                            <w:t>360.438.8742 (fax)</w:t>
                          </w:r>
                        </w:p>
                        <w:p w14:paraId="7C8AFBE7" w14:textId="77777777" w:rsidR="00212D51" w:rsidRPr="00212D51" w:rsidRDefault="00212D51" w:rsidP="00212D51">
                          <w:pPr>
                            <w:spacing w:after="0" w:line="240" w:lineRule="auto"/>
                            <w:jc w:val="right"/>
                            <w:rPr>
                              <w:rFonts w:ascii="Arial" w:hAnsi="Arial" w:cs="Arial"/>
                              <w:sz w:val="20"/>
                              <w:szCs w:val="20"/>
                            </w:rPr>
                          </w:pPr>
                          <w:r w:rsidRPr="00212D51">
                            <w:rPr>
                              <w:rFonts w:ascii="Arial" w:hAnsi="Arial" w:cs="Arial"/>
                              <w:sz w:val="20"/>
                              <w:szCs w:val="20"/>
                            </w:rPr>
                            <w:t>www.nisqually-nsn.gov</w:t>
                          </w:r>
                        </w:p>
                        <w:p w14:paraId="7AEEBC2F" w14:textId="77777777" w:rsidR="00212D51" w:rsidRDefault="00212D51" w:rsidP="00212D51">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4FD662" id="_x0000_t202" coordsize="21600,21600" o:spt="202" path="m,l,21600r21600,l21600,xe">
              <v:stroke joinstyle="miter"/>
              <v:path gradientshapeok="t" o:connecttype="rect"/>
            </v:shapetype>
            <v:shape id="Text Box 1" o:spid="_x0000_s1026" type="#_x0000_t202" style="position:absolute;margin-left:258.75pt;margin-top:0;width:217.7pt;height:9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" filled="f" stroked="f">
              <v:path arrowok="t"/>
              <v:textbox>
                <w:txbxContent>
                  <w:p w14:paraId="44C5DC83" w14:textId="77777777" w:rsidR="00212D51" w:rsidRPr="00B94824" w:rsidRDefault="00212D51" w:rsidP="00B94824">
                    <w:pPr>
                      <w:spacing w:after="0" w:line="240" w:lineRule="auto"/>
                      <w:ind w:left="1440" w:hanging="1440"/>
                      <w:jc w:val="right"/>
                      <w:rPr>
                        <w:rFonts w:ascii="Arial" w:hAnsi="Arial" w:cs="Arial"/>
                        <w:b/>
                        <w:sz w:val="28"/>
                        <w:szCs w:val="28"/>
                      </w:rPr>
                    </w:pPr>
                    <w:r w:rsidRPr="00B94824">
                      <w:rPr>
                        <w:rFonts w:ascii="Arial" w:hAnsi="Arial" w:cs="Arial"/>
                        <w:b/>
                        <w:sz w:val="28"/>
                        <w:szCs w:val="28"/>
                      </w:rPr>
                      <w:t>NISQUALLY INDIAN TRIBE</w:t>
                    </w:r>
                  </w:p>
                  <w:p w14:paraId="75A963C2" w14:textId="77777777" w:rsidR="00212D51" w:rsidRPr="00B94824" w:rsidRDefault="00B94824" w:rsidP="00212D51">
                    <w:pPr>
                      <w:spacing w:after="0" w:line="240" w:lineRule="auto"/>
                      <w:ind w:left="1440" w:hanging="1440"/>
                      <w:jc w:val="right"/>
                      <w:rPr>
                        <w:rFonts w:ascii="Arial" w:hAnsi="Arial" w:cs="Arial"/>
                        <w:b/>
                        <w:sz w:val="20"/>
                        <w:szCs w:val="20"/>
                      </w:rPr>
                    </w:pPr>
                    <w:r w:rsidRPr="00B94824">
                      <w:rPr>
                        <w:rFonts w:ascii="Arial" w:hAnsi="Arial" w:cs="Arial"/>
                        <w:b/>
                        <w:sz w:val="20"/>
                        <w:szCs w:val="20"/>
                      </w:rPr>
                      <w:t>Department of Natural Resources</w:t>
                    </w:r>
                  </w:p>
                  <w:p w14:paraId="7E64ED5A" w14:textId="77777777" w:rsidR="00212D51" w:rsidRPr="00B94824" w:rsidRDefault="00B94824" w:rsidP="00212D51">
                    <w:pPr>
                      <w:spacing w:after="0" w:line="240" w:lineRule="auto"/>
                      <w:jc w:val="right"/>
                      <w:rPr>
                        <w:rFonts w:ascii="Arial" w:hAnsi="Arial" w:cs="Arial"/>
                        <w:sz w:val="20"/>
                        <w:szCs w:val="20"/>
                      </w:rPr>
                    </w:pPr>
                    <w:r w:rsidRPr="00B94824">
                      <w:rPr>
                        <w:rFonts w:ascii="Arial" w:hAnsi="Arial" w:cs="Arial"/>
                        <w:sz w:val="20"/>
                        <w:szCs w:val="20"/>
                      </w:rPr>
                      <w:t>12501 Yelm Highway SE</w:t>
                    </w:r>
                  </w:p>
                  <w:p w14:paraId="00F29AD9" w14:textId="77777777" w:rsidR="00212D51" w:rsidRPr="00212D51" w:rsidRDefault="00212D51" w:rsidP="00212D51">
                    <w:pPr>
                      <w:spacing w:after="0" w:line="240" w:lineRule="auto"/>
                      <w:jc w:val="right"/>
                      <w:rPr>
                        <w:rFonts w:ascii="Arial" w:hAnsi="Arial" w:cs="Arial"/>
                        <w:sz w:val="20"/>
                        <w:szCs w:val="20"/>
                      </w:rPr>
                    </w:pPr>
                    <w:r w:rsidRPr="00212D51">
                      <w:rPr>
                        <w:rFonts w:ascii="Arial" w:hAnsi="Arial" w:cs="Arial"/>
                        <w:sz w:val="20"/>
                        <w:szCs w:val="20"/>
                      </w:rPr>
                      <w:t>Olympia, Washington 98513</w:t>
                    </w:r>
                  </w:p>
                  <w:p w14:paraId="762B21C3" w14:textId="77777777" w:rsidR="00212D51" w:rsidRDefault="00212D51" w:rsidP="00212D51">
                    <w:pPr>
                      <w:spacing w:after="0" w:line="240" w:lineRule="auto"/>
                      <w:jc w:val="right"/>
                      <w:rPr>
                        <w:rFonts w:ascii="Arial" w:hAnsi="Arial" w:cs="Arial"/>
                        <w:sz w:val="20"/>
                        <w:szCs w:val="20"/>
                      </w:rPr>
                    </w:pPr>
                    <w:r w:rsidRPr="00212D51">
                      <w:rPr>
                        <w:rFonts w:ascii="Arial" w:hAnsi="Arial" w:cs="Arial"/>
                        <w:sz w:val="20"/>
                        <w:szCs w:val="20"/>
                      </w:rPr>
                      <w:t>360.</w:t>
                    </w:r>
                    <w:r w:rsidR="00016CFF">
                      <w:rPr>
                        <w:rFonts w:ascii="Arial" w:hAnsi="Arial" w:cs="Arial"/>
                        <w:sz w:val="20"/>
                        <w:szCs w:val="20"/>
                      </w:rPr>
                      <w:t>438</w:t>
                    </w:r>
                    <w:r w:rsidRPr="00212D51">
                      <w:rPr>
                        <w:rFonts w:ascii="Arial" w:hAnsi="Arial" w:cs="Arial"/>
                        <w:sz w:val="20"/>
                        <w:szCs w:val="20"/>
                      </w:rPr>
                      <w:t>.</w:t>
                    </w:r>
                    <w:r w:rsidR="00016CFF">
                      <w:rPr>
                        <w:rFonts w:ascii="Arial" w:hAnsi="Arial" w:cs="Arial"/>
                        <w:sz w:val="20"/>
                        <w:szCs w:val="20"/>
                      </w:rPr>
                      <w:t>8687</w:t>
                    </w:r>
                    <w:r w:rsidR="00B94824">
                      <w:rPr>
                        <w:rFonts w:ascii="Arial" w:hAnsi="Arial" w:cs="Arial"/>
                        <w:sz w:val="20"/>
                        <w:szCs w:val="20"/>
                      </w:rPr>
                      <w:t xml:space="preserve"> (main)</w:t>
                    </w:r>
                  </w:p>
                  <w:p w14:paraId="6FBB391D" w14:textId="77777777" w:rsidR="00D05696" w:rsidRPr="00212D51" w:rsidRDefault="00D05696" w:rsidP="00212D51">
                    <w:pPr>
                      <w:spacing w:after="0" w:line="240" w:lineRule="auto"/>
                      <w:jc w:val="right"/>
                      <w:rPr>
                        <w:rFonts w:ascii="Arial" w:hAnsi="Arial" w:cs="Arial"/>
                        <w:sz w:val="20"/>
                        <w:szCs w:val="20"/>
                      </w:rPr>
                    </w:pPr>
                    <w:r>
                      <w:rPr>
                        <w:rFonts w:ascii="Arial" w:hAnsi="Arial" w:cs="Arial"/>
                        <w:sz w:val="20"/>
                        <w:szCs w:val="20"/>
                      </w:rPr>
                      <w:t>360.438.8742 (fax)</w:t>
                    </w:r>
                  </w:p>
                  <w:p w14:paraId="7C8AFBE7" w14:textId="77777777" w:rsidR="00212D51" w:rsidRPr="00212D51" w:rsidRDefault="00212D51" w:rsidP="00212D51">
                    <w:pPr>
                      <w:spacing w:after="0" w:line="240" w:lineRule="auto"/>
                      <w:jc w:val="right"/>
                      <w:rPr>
                        <w:rFonts w:ascii="Arial" w:hAnsi="Arial" w:cs="Arial"/>
                        <w:sz w:val="20"/>
                        <w:szCs w:val="20"/>
                      </w:rPr>
                    </w:pPr>
                    <w:r w:rsidRPr="00212D51">
                      <w:rPr>
                        <w:rFonts w:ascii="Arial" w:hAnsi="Arial" w:cs="Arial"/>
                        <w:sz w:val="20"/>
                        <w:szCs w:val="20"/>
                      </w:rPr>
                      <w:t>www.nisqually-nsn.gov</w:t>
                    </w:r>
                  </w:p>
                  <w:p w14:paraId="7AEEBC2F" w14:textId="77777777" w:rsidR="00212D51" w:rsidRDefault="00212D51" w:rsidP="00212D51">
                    <w:pPr>
                      <w:jc w:val="right"/>
                    </w:pPr>
                  </w:p>
                </w:txbxContent>
              </v:textbox>
            </v:shape>
          </w:pict>
        </mc:Fallback>
      </mc:AlternateContent>
    </w:r>
  </w:p>
  <w:p w14:paraId="702CA4E5" w14:textId="77777777" w:rsidR="00212D51" w:rsidRDefault="00BE411A" w:rsidP="00212D51">
    <w:pPr>
      <w:pStyle w:val="Header"/>
    </w:pPr>
    <w:r w:rsidRPr="00CD3A09">
      <w:rPr>
        <w:noProof/>
      </w:rPr>
      <w:drawing>
        <wp:inline distT="0" distB="0" distL="0" distR="0" wp14:anchorId="4A3F7B00" wp14:editId="005E82A0">
          <wp:extent cx="1836420" cy="711835"/>
          <wp:effectExtent l="0" t="0" r="0" b="0"/>
          <wp:docPr id="1" name="Picture 0" descr="Nisqually logo LARG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Nisqually logo LARGE.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711835"/>
                  </a:xfrm>
                  <a:prstGeom prst="rect">
                    <a:avLst/>
                  </a:prstGeom>
                  <a:noFill/>
                  <a:ln>
                    <a:noFill/>
                  </a:ln>
                </pic:spPr>
              </pic:pic>
            </a:graphicData>
          </a:graphic>
        </wp:inline>
      </w:drawing>
    </w:r>
  </w:p>
  <w:p w14:paraId="7BBEC64C" w14:textId="77777777" w:rsidR="00212D51" w:rsidRDefault="00212D51" w:rsidP="00D05696">
    <w:pPr>
      <w:pStyle w:val="Header"/>
      <w:pBdr>
        <w:bottom w:val="single" w:sz="12" w:space="9" w:color="auto"/>
      </w:pBdr>
    </w:pPr>
  </w:p>
  <w:p w14:paraId="60CA3B08" w14:textId="77777777" w:rsidR="00212D51" w:rsidRDefault="00212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5E"/>
    <w:rsid w:val="00016CFF"/>
    <w:rsid w:val="00056EDF"/>
    <w:rsid w:val="000C678C"/>
    <w:rsid w:val="000D00FB"/>
    <w:rsid w:val="001A4B2B"/>
    <w:rsid w:val="001C5455"/>
    <w:rsid w:val="001D039D"/>
    <w:rsid w:val="00212D51"/>
    <w:rsid w:val="002219F0"/>
    <w:rsid w:val="0024271C"/>
    <w:rsid w:val="002949C3"/>
    <w:rsid w:val="0031095B"/>
    <w:rsid w:val="00442E5E"/>
    <w:rsid w:val="00476B74"/>
    <w:rsid w:val="004865AA"/>
    <w:rsid w:val="004B7D15"/>
    <w:rsid w:val="004C323D"/>
    <w:rsid w:val="004E65A1"/>
    <w:rsid w:val="005818EA"/>
    <w:rsid w:val="005A2B73"/>
    <w:rsid w:val="006025E6"/>
    <w:rsid w:val="00652017"/>
    <w:rsid w:val="006C54AD"/>
    <w:rsid w:val="006F6705"/>
    <w:rsid w:val="007624C0"/>
    <w:rsid w:val="00795779"/>
    <w:rsid w:val="007F443C"/>
    <w:rsid w:val="007F46AF"/>
    <w:rsid w:val="00800209"/>
    <w:rsid w:val="00843D76"/>
    <w:rsid w:val="008A5260"/>
    <w:rsid w:val="008C06DF"/>
    <w:rsid w:val="00900C8F"/>
    <w:rsid w:val="00933674"/>
    <w:rsid w:val="0093797B"/>
    <w:rsid w:val="009657CC"/>
    <w:rsid w:val="009D0D8B"/>
    <w:rsid w:val="009F1AEF"/>
    <w:rsid w:val="00A26FB1"/>
    <w:rsid w:val="00AA690F"/>
    <w:rsid w:val="00B05A58"/>
    <w:rsid w:val="00B342D0"/>
    <w:rsid w:val="00B507F5"/>
    <w:rsid w:val="00B94824"/>
    <w:rsid w:val="00BA3F7B"/>
    <w:rsid w:val="00BE411A"/>
    <w:rsid w:val="00BF5E0B"/>
    <w:rsid w:val="00C17623"/>
    <w:rsid w:val="00C21894"/>
    <w:rsid w:val="00C32823"/>
    <w:rsid w:val="00C94710"/>
    <w:rsid w:val="00CD74D9"/>
    <w:rsid w:val="00CF1E6F"/>
    <w:rsid w:val="00D05696"/>
    <w:rsid w:val="00D06AA9"/>
    <w:rsid w:val="00D3691A"/>
    <w:rsid w:val="00D71576"/>
    <w:rsid w:val="00D852A8"/>
    <w:rsid w:val="00DA6029"/>
    <w:rsid w:val="00DC4175"/>
    <w:rsid w:val="00E56E94"/>
    <w:rsid w:val="00E9391E"/>
    <w:rsid w:val="00EB3A67"/>
    <w:rsid w:val="00EC7CA5"/>
    <w:rsid w:val="00ED0612"/>
    <w:rsid w:val="00EE6E0B"/>
    <w:rsid w:val="00EF5375"/>
    <w:rsid w:val="00F639B0"/>
    <w:rsid w:val="00FD0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5D6B5"/>
  <w15:chartTrackingRefBased/>
  <w15:docId w15:val="{1E086621-CB5D-544B-838D-1966CF30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6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E5E"/>
  </w:style>
  <w:style w:type="paragraph" w:styleId="Footer">
    <w:name w:val="footer"/>
    <w:basedOn w:val="Normal"/>
    <w:link w:val="FooterChar"/>
    <w:uiPriority w:val="99"/>
    <w:unhideWhenUsed/>
    <w:rsid w:val="00442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E5E"/>
  </w:style>
  <w:style w:type="paragraph" w:styleId="BalloonText">
    <w:name w:val="Balloon Text"/>
    <w:basedOn w:val="Normal"/>
    <w:link w:val="BalloonTextChar"/>
    <w:uiPriority w:val="99"/>
    <w:semiHidden/>
    <w:unhideWhenUsed/>
    <w:rsid w:val="00442E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E5E"/>
    <w:rPr>
      <w:rFonts w:ascii="Tahoma" w:hAnsi="Tahoma" w:cs="Tahoma"/>
      <w:sz w:val="16"/>
      <w:szCs w:val="16"/>
    </w:rPr>
  </w:style>
  <w:style w:type="paragraph" w:styleId="NormalWeb">
    <w:name w:val="Normal (Web)"/>
    <w:basedOn w:val="Normal"/>
    <w:uiPriority w:val="99"/>
    <w:semiHidden/>
    <w:unhideWhenUsed/>
    <w:rsid w:val="00B9482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B94824"/>
    <w:rPr>
      <w:b/>
      <w:bCs/>
    </w:rPr>
  </w:style>
  <w:style w:type="character" w:customStyle="1" w:styleId="apple-converted-space">
    <w:name w:val="apple-converted-space"/>
    <w:basedOn w:val="DefaultParagraphFont"/>
    <w:rsid w:val="00B94824"/>
  </w:style>
  <w:style w:type="character" w:customStyle="1" w:styleId="jtitle">
    <w:name w:val="jtitle"/>
    <w:basedOn w:val="DefaultParagraphFont"/>
    <w:rsid w:val="00B94824"/>
  </w:style>
  <w:style w:type="character" w:customStyle="1" w:styleId="phone">
    <w:name w:val="phone"/>
    <w:basedOn w:val="DefaultParagraphFont"/>
    <w:rsid w:val="00B94824"/>
  </w:style>
  <w:style w:type="paragraph" w:styleId="Revision">
    <w:name w:val="Revision"/>
    <w:hidden/>
    <w:uiPriority w:val="99"/>
    <w:semiHidden/>
    <w:rsid w:val="00F639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3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EB9950732BCD46A607BF72A1C91328" ma:contentTypeVersion="12" ma:contentTypeDescription="Create a new document." ma:contentTypeScope="" ma:versionID="f83c2594e9e03f71b59cab495159c256">
  <xsd:schema xmlns:xsd="http://www.w3.org/2001/XMLSchema" xmlns:xs="http://www.w3.org/2001/XMLSchema" xmlns:p="http://schemas.microsoft.com/office/2006/metadata/properties" xmlns:ns3="b377c584-2e38-4a6a-86bc-7507cca1e37e" targetNamespace="http://schemas.microsoft.com/office/2006/metadata/properties" ma:root="true" ma:fieldsID="11cb2dc5671f3abdc71ae266c86ba348" ns3:_="">
    <xsd:import namespace="b377c584-2e38-4a6a-86bc-7507cca1e37e"/>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7c584-2e38-4a6a-86bc-7507cca1e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12059-CDFE-4041-964B-B92AB1BB827A}">
  <ds:schemaRef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b377c584-2e38-4a6a-86bc-7507cca1e37e"/>
  </ds:schemaRefs>
</ds:datastoreItem>
</file>

<file path=customXml/itemProps2.xml><?xml version="1.0" encoding="utf-8"?>
<ds:datastoreItem xmlns:ds="http://schemas.openxmlformats.org/officeDocument/2006/customXml" ds:itemID="{2BB3A34C-451B-42D0-A4EA-723BDA15425D}">
  <ds:schemaRefs>
    <ds:schemaRef ds:uri="http://schemas.microsoft.com/sharepoint/v3/contenttype/forms"/>
  </ds:schemaRefs>
</ds:datastoreItem>
</file>

<file path=customXml/itemProps3.xml><?xml version="1.0" encoding="utf-8"?>
<ds:datastoreItem xmlns:ds="http://schemas.openxmlformats.org/officeDocument/2006/customXml" ds:itemID="{51B6228D-6E18-4A36-A0B4-365D0BB9D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7c584-2e38-4a6a-86bc-7507cca1e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Michael</dc:creator>
  <cp:keywords/>
  <cp:lastModifiedBy>David Troutt</cp:lastModifiedBy>
  <cp:revision>2</cp:revision>
  <cp:lastPrinted>2024-02-13T17:44:00Z</cp:lastPrinted>
  <dcterms:created xsi:type="dcterms:W3CDTF">2024-12-19T00:14:00Z</dcterms:created>
  <dcterms:modified xsi:type="dcterms:W3CDTF">2024-12-19T00:14:00Z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0x01010027EB9950732BCD46A607BF72A1C91328</vt:lpwstr>
  </property>
</Properties>
</file>