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F762" w14:textId="2FE125E1" w:rsidR="0050604F" w:rsidRDefault="00717F62" w:rsidP="00717F62">
      <w:pPr>
        <w:pStyle w:val="Heading3"/>
      </w:pPr>
      <w:r>
        <w:t xml:space="preserve">KITSAP COUNTY RESPONSE TO DOE’s PUGET SOUND NUTRIENT GENERAL PERMIT </w:t>
      </w:r>
      <w:r w:rsidR="009613EE">
        <w:t xml:space="preserve">(PSNGP) </w:t>
      </w:r>
      <w:r>
        <w:t>PRELIMINARY DRAFT, JANUARY 2021</w:t>
      </w:r>
    </w:p>
    <w:p w14:paraId="6B76E5E1" w14:textId="4B5DCAF8" w:rsidR="000E08B0" w:rsidRDefault="000E08B0" w:rsidP="000E08B0"/>
    <w:p w14:paraId="68406B07" w14:textId="0884729E" w:rsidR="000E08B0" w:rsidRDefault="00821B07" w:rsidP="00821B07">
      <w:pPr>
        <w:pStyle w:val="Heading3"/>
      </w:pPr>
      <w:r>
        <w:t>General Comment:</w:t>
      </w:r>
    </w:p>
    <w:p w14:paraId="7D7CA2BA" w14:textId="15570268" w:rsidR="002A575C" w:rsidRDefault="001E6069" w:rsidP="00821B07">
      <w:pPr>
        <w:pStyle w:val="ListParagraph"/>
        <w:numPr>
          <w:ilvl w:val="0"/>
          <w:numId w:val="37"/>
        </w:numPr>
      </w:pPr>
      <w:r>
        <w:t>Reclamation and</w:t>
      </w:r>
      <w:r w:rsidR="00821B07">
        <w:t xml:space="preserve"> Reuse of POTW effluent is not mentioned in the preliminary draft as a viable </w:t>
      </w:r>
      <w:r>
        <w:t>nutrient</w:t>
      </w:r>
      <w:r w:rsidR="00821B07">
        <w:t xml:space="preserve"> reduction strategy</w:t>
      </w:r>
      <w:r>
        <w:t>.</w:t>
      </w:r>
      <w:r w:rsidR="00821B07">
        <w:t xml:space="preserve"> </w:t>
      </w:r>
      <w:r w:rsidR="00FD11D7">
        <w:t xml:space="preserve"> Kitsap County believes that Reuse </w:t>
      </w:r>
      <w:r w:rsidR="00D8753C">
        <w:t xml:space="preserve">provides multiple benefits and is in-line with our </w:t>
      </w:r>
      <w:r w:rsidR="00897939">
        <w:t>“</w:t>
      </w:r>
      <w:r w:rsidR="002A575C">
        <w:t>Water as a Resource</w:t>
      </w:r>
      <w:r w:rsidR="00897939">
        <w:t>”</w:t>
      </w:r>
      <w:r w:rsidR="002A575C">
        <w:t xml:space="preserve"> policy.</w:t>
      </w:r>
      <w:r w:rsidR="0004256E">
        <w:t xml:space="preserve">  Ecology needs to evaluate the proposed </w:t>
      </w:r>
      <w:r w:rsidR="00FE54B6">
        <w:t xml:space="preserve">general permit </w:t>
      </w:r>
      <w:r w:rsidR="0004256E">
        <w:t xml:space="preserve">optimization requirements and determine how to incorporate </w:t>
      </w:r>
      <w:r w:rsidR="00FE54B6">
        <w:t>a permittees Reuse planning effort</w:t>
      </w:r>
      <w:r w:rsidR="00897939">
        <w:t xml:space="preserve"> that may influence nutrient reduction improvements.  POTW’s that are evaluating or in progress of </w:t>
      </w:r>
      <w:r w:rsidR="00FE54B6">
        <w:t>producing reclaimed water</w:t>
      </w:r>
      <w:r w:rsidR="00897939">
        <w:t xml:space="preserve"> should have a</w:t>
      </w:r>
      <w:r w:rsidR="001F08AA">
        <w:t>n alternative path recognized by Ecology to pursue impl</w:t>
      </w:r>
      <w:r w:rsidR="004352C5">
        <w:t>ementation</w:t>
      </w:r>
      <w:r w:rsidR="001F08AA">
        <w:t xml:space="preserve"> of Water Reuse systems.  In addition, as Ecology works to determine future WQBEL’s, consideration should be given to </w:t>
      </w:r>
      <w:r w:rsidR="007A0F1E">
        <w:t xml:space="preserve">a </w:t>
      </w:r>
      <w:r w:rsidR="001F08AA">
        <w:t xml:space="preserve">POTW that </w:t>
      </w:r>
      <w:r w:rsidR="007A0F1E">
        <w:t>has</w:t>
      </w:r>
      <w:r w:rsidR="001F08AA">
        <w:t xml:space="preserve"> reduced effluent discharge</w:t>
      </w:r>
      <w:r w:rsidR="007A0F1E">
        <w:t xml:space="preserve"> loads including and beyond TIN loads. </w:t>
      </w:r>
    </w:p>
    <w:p w14:paraId="3B71B8CA" w14:textId="2971DF55" w:rsidR="00821B07" w:rsidRPr="00821B07" w:rsidRDefault="002A575C" w:rsidP="002A575C">
      <w:pPr>
        <w:pStyle w:val="Heading3"/>
      </w:pPr>
      <w:r>
        <w:t>Specific Comments:</w:t>
      </w:r>
      <w:r w:rsidR="00D8753C">
        <w:t xml:space="preserve"> </w:t>
      </w:r>
    </w:p>
    <w:p w14:paraId="69C1A40D" w14:textId="7AC8F475" w:rsidR="00D42F0F" w:rsidRDefault="00D42F0F" w:rsidP="00103D86">
      <w:pPr>
        <w:pStyle w:val="ListParagraph"/>
        <w:numPr>
          <w:ilvl w:val="0"/>
          <w:numId w:val="37"/>
        </w:numPr>
        <w:rPr>
          <w:i/>
          <w:iCs/>
        </w:rPr>
      </w:pPr>
      <w:r w:rsidRPr="00263DE5">
        <w:rPr>
          <w:b/>
          <w:bCs/>
        </w:rPr>
        <w:t xml:space="preserve">Section </w:t>
      </w:r>
      <w:r w:rsidR="00B700A2" w:rsidRPr="00263DE5">
        <w:rPr>
          <w:b/>
          <w:bCs/>
        </w:rPr>
        <w:t>II.</w:t>
      </w:r>
      <w:r w:rsidRPr="00263DE5">
        <w:rPr>
          <w:b/>
          <w:bCs/>
        </w:rPr>
        <w:t>C.</w:t>
      </w:r>
      <w:r w:rsidRPr="00322204">
        <w:t xml:space="preserve"> Facilities exclude</w:t>
      </w:r>
      <w:r w:rsidR="00B700A2" w:rsidRPr="00322204">
        <w:t>d</w:t>
      </w:r>
      <w:r w:rsidRPr="00322204">
        <w:t xml:space="preserve"> from Permit Coverage, pg 5</w:t>
      </w:r>
      <w:r>
        <w:rPr>
          <w:i/>
          <w:iCs/>
        </w:rPr>
        <w:t>: “</w:t>
      </w:r>
      <w:r w:rsidRPr="00D42F0F">
        <w:rPr>
          <w:i/>
          <w:iCs/>
        </w:rPr>
        <w:t>Federal and tribal facilities. Ecology does not have delegated authority to write NPDES permits for these treatment plants. EPA is the responsible permitting authority for federal and tribal wastewater treatment plants in Washington State. Conditions for nutrient controls will be implemented through the 401 Water Quality Certification process.</w:t>
      </w:r>
      <w:r>
        <w:rPr>
          <w:i/>
          <w:iCs/>
        </w:rPr>
        <w:t>”</w:t>
      </w:r>
    </w:p>
    <w:p w14:paraId="0A573746" w14:textId="28D2B034" w:rsidR="00B700A2" w:rsidRDefault="00B700A2" w:rsidP="00B700A2">
      <w:pPr>
        <w:pStyle w:val="ListParagraph"/>
        <w:rPr>
          <w:i/>
          <w:iCs/>
        </w:rPr>
      </w:pPr>
      <w:r>
        <w:rPr>
          <w:i/>
          <w:iCs/>
        </w:rPr>
        <w:t>Section II.D Facilities with current limits</w:t>
      </w:r>
      <w:r w:rsidR="00840FDB">
        <w:rPr>
          <w:i/>
          <w:iCs/>
        </w:rPr>
        <w:t>: “</w:t>
      </w:r>
      <w:r w:rsidR="00840FDB" w:rsidRPr="00840FDB">
        <w:rPr>
          <w:i/>
          <w:iCs/>
        </w:rPr>
        <w:t>Results from the individual permit’s monitoring requirements may be used to satisfy the general permit’s monitoring schedule provided the timing and frequencies align. Ecology will work to streamline permit compliance between the proposed general permit and active individual permits.</w:t>
      </w:r>
      <w:r w:rsidR="00840FDB">
        <w:rPr>
          <w:i/>
          <w:iCs/>
        </w:rPr>
        <w:t>”</w:t>
      </w:r>
    </w:p>
    <w:p w14:paraId="3D2F3DCB" w14:textId="77777777" w:rsidR="00EA43B2" w:rsidRDefault="00EA43B2" w:rsidP="00EA43B2">
      <w:pPr>
        <w:pStyle w:val="ListParagraph"/>
      </w:pPr>
    </w:p>
    <w:p w14:paraId="7E8B4808" w14:textId="4985B1B4" w:rsidR="00683669" w:rsidRDefault="00EA43B2" w:rsidP="00EA43B2">
      <w:pPr>
        <w:pStyle w:val="ListParagraph"/>
      </w:pPr>
      <w:r>
        <w:t xml:space="preserve">Kitsap County Comment:  The Suquamish Wastewater Treatment Plant’s NPDES is administered by the EPA.  </w:t>
      </w:r>
      <w:r w:rsidR="00BD5982">
        <w:t xml:space="preserve">WA State DOE has issued a 401 Water Quality Certification Letter certifying </w:t>
      </w:r>
      <w:r w:rsidR="00FC5561">
        <w:t xml:space="preserve">EPA’s </w:t>
      </w:r>
      <w:r w:rsidR="00527368">
        <w:t xml:space="preserve">recently issued </w:t>
      </w:r>
      <w:r w:rsidR="00FC5561">
        <w:t xml:space="preserve">NPDES </w:t>
      </w:r>
      <w:r w:rsidR="00035265">
        <w:t xml:space="preserve">permit </w:t>
      </w:r>
      <w:r w:rsidR="00FC5561">
        <w:t>with conditions.</w:t>
      </w:r>
      <w:r w:rsidR="00527368">
        <w:t xml:space="preserve">  </w:t>
      </w:r>
    </w:p>
    <w:p w14:paraId="13DAAAC7" w14:textId="4BB5068C" w:rsidR="006238E6" w:rsidRDefault="006238E6" w:rsidP="00683669">
      <w:pPr>
        <w:pStyle w:val="ListParagraph"/>
        <w:numPr>
          <w:ilvl w:val="0"/>
          <w:numId w:val="28"/>
        </w:numPr>
      </w:pPr>
      <w:r>
        <w:t>Will the Suq</w:t>
      </w:r>
      <w:r w:rsidR="00B700A2">
        <w:t>u</w:t>
      </w:r>
      <w:r>
        <w:t xml:space="preserve">amish </w:t>
      </w:r>
      <w:r w:rsidR="00B700A2">
        <w:t xml:space="preserve">Wastewater Treatment Plant permit monitoring requirements (timing and frequency) as described in the 401 Certification prevail or will monitoring requirements need to comply with the PSNGP? </w:t>
      </w:r>
    </w:p>
    <w:p w14:paraId="7CA48B3A" w14:textId="1A97E832" w:rsidR="00EA43B2" w:rsidRDefault="00683669" w:rsidP="00683669">
      <w:pPr>
        <w:pStyle w:val="ListParagraph"/>
        <w:numPr>
          <w:ilvl w:val="0"/>
          <w:numId w:val="28"/>
        </w:numPr>
      </w:pPr>
      <w:r>
        <w:t xml:space="preserve">Will conditions for nutrient controls found in the PSNGP be included in </w:t>
      </w:r>
      <w:r w:rsidRPr="006238E6">
        <w:rPr>
          <w:u w:val="single"/>
        </w:rPr>
        <w:t>future</w:t>
      </w:r>
      <w:r>
        <w:t xml:space="preserve"> 401 Water Quality Certifications issued by DOE?  </w:t>
      </w:r>
    </w:p>
    <w:p w14:paraId="3D91CFDF" w14:textId="77777777" w:rsidR="00FE54B6" w:rsidRDefault="00840FDB" w:rsidP="00FE54B6">
      <w:pPr>
        <w:pStyle w:val="ListParagraph"/>
        <w:numPr>
          <w:ilvl w:val="0"/>
          <w:numId w:val="28"/>
        </w:numPr>
      </w:pPr>
      <w:r>
        <w:t xml:space="preserve">If PSNGP nutrient controls are to be included in future 401 Water Quality Certifications, then will </w:t>
      </w:r>
      <w:r w:rsidR="007547DF">
        <w:t>Ecology use the Nutrient Action Level Calculation Methods as described in section III.C?</w:t>
      </w:r>
    </w:p>
    <w:p w14:paraId="2122CB5D" w14:textId="18C0F55E" w:rsidR="007A0F1E" w:rsidRDefault="007A0F1E" w:rsidP="00FE54B6">
      <w:pPr>
        <w:ind w:left="1080"/>
      </w:pPr>
      <w:r>
        <w:t xml:space="preserve">Please comment </w:t>
      </w:r>
      <w:r w:rsidR="004352C5">
        <w:t>or expand on</w:t>
      </w:r>
      <w:r>
        <w:t xml:space="preserve"> future coordination efforts related to issuing 401 Water Certification letters.</w:t>
      </w:r>
    </w:p>
    <w:p w14:paraId="7551643F" w14:textId="77777777" w:rsidR="00D95650" w:rsidRPr="00322204" w:rsidRDefault="00D95650" w:rsidP="00D95650">
      <w:pPr>
        <w:pStyle w:val="ListParagraph"/>
        <w:ind w:left="1440"/>
      </w:pPr>
    </w:p>
    <w:p w14:paraId="46B02284" w14:textId="7FDE3E35" w:rsidR="007547DF" w:rsidRDefault="00D95650" w:rsidP="00103D86">
      <w:pPr>
        <w:pStyle w:val="ListParagraph"/>
        <w:numPr>
          <w:ilvl w:val="0"/>
          <w:numId w:val="37"/>
        </w:numPr>
        <w:rPr>
          <w:i/>
          <w:iCs/>
        </w:rPr>
      </w:pPr>
      <w:r w:rsidRPr="00263DE5">
        <w:rPr>
          <w:b/>
          <w:bCs/>
        </w:rPr>
        <w:lastRenderedPageBreak/>
        <w:t>Section III.C.</w:t>
      </w:r>
      <w:r w:rsidRPr="00322204">
        <w:t xml:space="preserve"> Calculating the baseline, AL</w:t>
      </w:r>
      <w:r w:rsidRPr="00322204">
        <w:rPr>
          <w:vertAlign w:val="subscript"/>
        </w:rPr>
        <w:t xml:space="preserve">0 </w:t>
      </w:r>
      <w:r w:rsidRPr="00322204">
        <w:t>, pg 9:</w:t>
      </w:r>
      <w:r w:rsidRPr="00D95650">
        <w:rPr>
          <w:i/>
          <w:iCs/>
        </w:rPr>
        <w:t xml:space="preserve">  </w:t>
      </w:r>
      <w:r w:rsidR="00322204">
        <w:rPr>
          <w:i/>
          <w:iCs/>
        </w:rPr>
        <w:t>“</w:t>
      </w:r>
      <w:r w:rsidRPr="00D95650">
        <w:rPr>
          <w:i/>
          <w:iCs/>
        </w:rPr>
        <w:t>Monthly or more frequent data were available for 28 facilities. Quarterly or less frequent data were available for 19 facilities. Some facilities sample different parameters on different frequencies. Ecology made the following assumptions</w:t>
      </w:r>
      <w:r w:rsidR="00322204">
        <w:rPr>
          <w:i/>
          <w:iCs/>
        </w:rPr>
        <w:t>”</w:t>
      </w:r>
    </w:p>
    <w:p w14:paraId="6E18CBD8" w14:textId="0D95D9EA" w:rsidR="00ED241F" w:rsidRDefault="00322204" w:rsidP="00322204">
      <w:pPr>
        <w:ind w:left="720"/>
      </w:pPr>
      <w:r>
        <w:t>Kitsap County Comment:  Kitsap County believes that Ecology is making several assumptions in the bullets that follow the statement above</w:t>
      </w:r>
      <w:r w:rsidR="00EB3D99">
        <w:t xml:space="preserve"> that will affect the accuracy of the baseline AL</w:t>
      </w:r>
      <w:r w:rsidR="00EB3D99">
        <w:rPr>
          <w:vertAlign w:val="subscript"/>
        </w:rPr>
        <w:t>0</w:t>
      </w:r>
      <w:r>
        <w:t xml:space="preserve">. </w:t>
      </w:r>
      <w:r w:rsidR="00EB3D99">
        <w:t xml:space="preserve"> This baseline is critical to the success of future optimization metrics.</w:t>
      </w:r>
      <w:r w:rsidR="00DF68AC">
        <w:t xml:space="preserve"> The County has confidence in the accuracy of the reported sample </w:t>
      </w:r>
      <w:r w:rsidR="00210078">
        <w:t>results</w:t>
      </w:r>
      <w:r w:rsidR="00DF68AC">
        <w:t xml:space="preserve"> but not that the data is representative of </w:t>
      </w:r>
      <w:r w:rsidR="00177337">
        <w:t xml:space="preserve">historical </w:t>
      </w:r>
      <w:r w:rsidR="00DF68AC">
        <w:t>TIN discharge loads at each POTW outfall.</w:t>
      </w:r>
      <w:r>
        <w:t xml:space="preserve"> </w:t>
      </w:r>
      <w:r w:rsidR="00210078">
        <w:t xml:space="preserve"> </w:t>
      </w:r>
      <w:r w:rsidR="00ED241F">
        <w:t xml:space="preserve">For example; past scheduling of ammonia and nitrate-nitrogen was influenced by staff </w:t>
      </w:r>
      <w:r w:rsidR="00EB3D99">
        <w:t>workflow</w:t>
      </w:r>
      <w:r w:rsidR="00ED241F">
        <w:t xml:space="preserve"> and scheduling of couriers between the County </w:t>
      </w:r>
      <w:r w:rsidR="004352C5">
        <w:t>plants</w:t>
      </w:r>
      <w:r w:rsidR="00ED241F">
        <w:t xml:space="preserve">.  This resulted in no samples collected during weekend days.  This oversight provides a sampling profile that does not consider the impacts of weekend loadings at the POTW.  </w:t>
      </w:r>
    </w:p>
    <w:p w14:paraId="0C0585B2" w14:textId="7D5910C1" w:rsidR="00322204" w:rsidRDefault="00322204" w:rsidP="00322204">
      <w:pPr>
        <w:ind w:left="720"/>
      </w:pPr>
      <w:r>
        <w:t>All POTW’s covered under the PSNGP will benefit from a defined sa</w:t>
      </w:r>
      <w:r w:rsidR="00DF68AC">
        <w:t xml:space="preserve">mpling and monitoring plan as described </w:t>
      </w:r>
      <w:r w:rsidR="00171E68">
        <w:t xml:space="preserve">in </w:t>
      </w:r>
      <w:r w:rsidR="00DF68AC">
        <w:t>section IV of the PSNGP.</w:t>
      </w:r>
      <w:r w:rsidR="00210078">
        <w:t xml:space="preserve">  </w:t>
      </w:r>
      <w:r w:rsidR="00E171F0">
        <w:t xml:space="preserve">However, a </w:t>
      </w:r>
      <w:r w:rsidR="00177337">
        <w:t>verified</w:t>
      </w:r>
      <w:r w:rsidR="00E171F0">
        <w:t xml:space="preserve"> baseline </w:t>
      </w:r>
      <w:r w:rsidR="00210078">
        <w:t>for AL</w:t>
      </w:r>
      <w:r w:rsidR="00210078">
        <w:rPr>
          <w:vertAlign w:val="subscript"/>
        </w:rPr>
        <w:t xml:space="preserve">0 </w:t>
      </w:r>
      <w:r w:rsidR="00E171F0">
        <w:rPr>
          <w:vertAlign w:val="subscript"/>
        </w:rPr>
        <w:t xml:space="preserve"> </w:t>
      </w:r>
      <w:r w:rsidR="00E171F0">
        <w:t xml:space="preserve">at the conclusion of </w:t>
      </w:r>
      <w:r w:rsidR="00575520">
        <w:t xml:space="preserve">permit </w:t>
      </w:r>
      <w:r w:rsidR="00E171F0">
        <w:t xml:space="preserve">year 2 </w:t>
      </w:r>
      <w:r w:rsidR="00210078">
        <w:t xml:space="preserve">should be the basis for Tier 2 </w:t>
      </w:r>
      <w:r w:rsidR="00EB3D99">
        <w:t xml:space="preserve">and 3 </w:t>
      </w:r>
      <w:r w:rsidR="00210078">
        <w:t>actions.</w:t>
      </w:r>
    </w:p>
    <w:p w14:paraId="2F2F1E48" w14:textId="755F92C5" w:rsidR="00D97F15" w:rsidRDefault="00224FB9" w:rsidP="00103D86">
      <w:pPr>
        <w:pStyle w:val="ListParagraph"/>
        <w:numPr>
          <w:ilvl w:val="0"/>
          <w:numId w:val="37"/>
        </w:numPr>
        <w:rPr>
          <w:i/>
          <w:iCs/>
        </w:rPr>
      </w:pPr>
      <w:r w:rsidRPr="00263DE5">
        <w:rPr>
          <w:b/>
          <w:bCs/>
        </w:rPr>
        <w:t>Section III.D</w:t>
      </w:r>
      <w:r>
        <w:t xml:space="preserve"> Facilities discharging less than 10 mg/L Total Inorganic Nitrogen:</w:t>
      </w:r>
      <w:r w:rsidR="002B5225">
        <w:t xml:space="preserve"> </w:t>
      </w:r>
      <w:r w:rsidR="002B5225" w:rsidRPr="002B5225">
        <w:rPr>
          <w:i/>
          <w:iCs/>
        </w:rPr>
        <w:t>“Ecology proposes that facilities currently discharging 10 mg/L TIN or less do not need to complete actions beyond monitoring and annual optimization reporting during this permit cycle, provided they are able to stay below AL1. For those 13 facilities that qualify, Ecology proposes that AL1 be calculated as 10 mg/L concentration for 85% of the design flow, the capacity at which all plants are required to plan for maintaining capacity.”</w:t>
      </w:r>
      <w:r w:rsidR="00393047">
        <w:rPr>
          <w:i/>
          <w:iCs/>
        </w:rPr>
        <w:t xml:space="preserve"> “</w:t>
      </w:r>
      <w:r w:rsidR="00393047" w:rsidRPr="00393047">
        <w:rPr>
          <w:i/>
          <w:iCs/>
        </w:rPr>
        <w:t>These facilities are not required to implement Tier 2 nutrient reduction actions if AL0 is exceeded. If AL1 is exceeded, these facilities must select and complete a Tier 3 action.</w:t>
      </w:r>
      <w:r w:rsidR="00393047">
        <w:rPr>
          <w:i/>
          <w:iCs/>
        </w:rPr>
        <w:t>”</w:t>
      </w:r>
    </w:p>
    <w:p w14:paraId="75D5D78E" w14:textId="1595C0A5" w:rsidR="005F4FB4" w:rsidRDefault="006453C5" w:rsidP="00AA48EA">
      <w:pPr>
        <w:ind w:left="720"/>
        <w:contextualSpacing/>
      </w:pPr>
      <w:r>
        <w:t>Kitsap County Comment:</w:t>
      </w:r>
      <w:r w:rsidR="007241EC">
        <w:t xml:space="preserve">  Kitsap County understands that the Kingston Wastewater Treatment Plant’s AL</w:t>
      </w:r>
      <w:r w:rsidR="007241EC">
        <w:rPr>
          <w:vertAlign w:val="subscript"/>
        </w:rPr>
        <w:t xml:space="preserve">1 </w:t>
      </w:r>
      <w:r w:rsidR="007241EC">
        <w:t xml:space="preserve">calculation is based on the 85% design capacity </w:t>
      </w:r>
      <w:r w:rsidR="00177337">
        <w:t>for this permit cycle</w:t>
      </w:r>
      <w:r w:rsidR="007241EC">
        <w:t xml:space="preserve"> </w:t>
      </w:r>
      <w:r w:rsidR="00177337">
        <w:t xml:space="preserve">due </w:t>
      </w:r>
      <w:r w:rsidR="007241EC">
        <w:t>to the plants historical TIN discharge of less than 10 mg/L</w:t>
      </w:r>
      <w:r w:rsidR="00177337">
        <w:t>.</w:t>
      </w:r>
      <w:r w:rsidR="000E23BB">
        <w:t xml:space="preserve">   </w:t>
      </w:r>
    </w:p>
    <w:p w14:paraId="6E8E8A4C" w14:textId="2D4FFC96" w:rsidR="006453C5" w:rsidRDefault="000E23BB" w:rsidP="00AA48EA">
      <w:pPr>
        <w:pStyle w:val="ListParagraph"/>
        <w:numPr>
          <w:ilvl w:val="0"/>
          <w:numId w:val="32"/>
        </w:numPr>
      </w:pPr>
      <w:r>
        <w:t>Will the AL</w:t>
      </w:r>
      <w:r w:rsidRPr="005F4FB4">
        <w:rPr>
          <w:vertAlign w:val="subscript"/>
        </w:rPr>
        <w:t>1</w:t>
      </w:r>
      <w:r>
        <w:t xml:space="preserve"> calculation be revised if the TIN concentration exceeds </w:t>
      </w:r>
      <w:r w:rsidR="005F4FB4">
        <w:t xml:space="preserve">an annual average of </w:t>
      </w:r>
      <w:r>
        <w:t>10 mg/L</w:t>
      </w:r>
      <w:r w:rsidR="005F4FB4">
        <w:t xml:space="preserve"> for a calendar year during the first permit cycle?</w:t>
      </w:r>
    </w:p>
    <w:p w14:paraId="7099E400" w14:textId="30FBB2E7" w:rsidR="005F4FB4" w:rsidRDefault="005F4FB4" w:rsidP="005F4FB4">
      <w:pPr>
        <w:pStyle w:val="ListParagraph"/>
        <w:numPr>
          <w:ilvl w:val="0"/>
          <w:numId w:val="32"/>
        </w:numPr>
      </w:pPr>
      <w:r>
        <w:t>Will the AL</w:t>
      </w:r>
      <w:r>
        <w:rPr>
          <w:vertAlign w:val="subscript"/>
        </w:rPr>
        <w:t xml:space="preserve">1 </w:t>
      </w:r>
      <w:r>
        <w:t xml:space="preserve">calculation be revised if a WQBEL is developed </w:t>
      </w:r>
      <w:r w:rsidR="003935CF">
        <w:t xml:space="preserve">during the first permit cycle?  </w:t>
      </w:r>
    </w:p>
    <w:p w14:paraId="430B10D3" w14:textId="0A0F6BA1" w:rsidR="003935CF" w:rsidRDefault="003935CF" w:rsidP="005F4FB4">
      <w:pPr>
        <w:pStyle w:val="ListParagraph"/>
        <w:numPr>
          <w:ilvl w:val="0"/>
          <w:numId w:val="32"/>
        </w:numPr>
      </w:pPr>
      <w:r>
        <w:t xml:space="preserve">If in the second permit cycle a WQBEL is developed and included as a condition of </w:t>
      </w:r>
      <w:r w:rsidR="00547FF5">
        <w:t xml:space="preserve">TIN </w:t>
      </w:r>
      <w:r>
        <w:t>discharge li</w:t>
      </w:r>
      <w:r w:rsidR="00720E14">
        <w:t>mit</w:t>
      </w:r>
      <w:r>
        <w:t xml:space="preserve"> in either a general permit or individual permit</w:t>
      </w:r>
      <w:r w:rsidR="00720E14">
        <w:t>; then will POTW’s with the AL</w:t>
      </w:r>
      <w:r w:rsidR="00720E14">
        <w:rPr>
          <w:vertAlign w:val="subscript"/>
        </w:rPr>
        <w:t xml:space="preserve">1 </w:t>
      </w:r>
      <w:r w:rsidR="00720E14">
        <w:t>calculation exception be provided a schedule to complete Tier 2 and/or Tier 3</w:t>
      </w:r>
      <w:r w:rsidR="00AE6259">
        <w:t xml:space="preserve"> actions</w:t>
      </w:r>
      <w:r w:rsidR="00547FF5">
        <w:t>?</w:t>
      </w:r>
    </w:p>
    <w:p w14:paraId="0CA0BD9B" w14:textId="0264E221" w:rsidR="00AE6259" w:rsidRPr="00AE6259" w:rsidRDefault="00AE6259" w:rsidP="00AE6259">
      <w:pPr>
        <w:ind w:left="720"/>
      </w:pPr>
      <w:r>
        <w:t>Ecology needs to explain how the modification to AL</w:t>
      </w:r>
      <w:r>
        <w:rPr>
          <w:vertAlign w:val="subscript"/>
        </w:rPr>
        <w:t xml:space="preserve">1 </w:t>
      </w:r>
      <w:r>
        <w:t>will be carried through into the second permit cycle and/or if WQBEL’s are issued.  This is necessary so the County can develop capital improvement plans beyond a 5-year horizon.</w:t>
      </w:r>
    </w:p>
    <w:p w14:paraId="300E14B3" w14:textId="77777777" w:rsidR="00AA48EA" w:rsidRDefault="00AA48EA" w:rsidP="00AA48EA">
      <w:pPr>
        <w:pStyle w:val="ListParagraph"/>
        <w:ind w:left="1440"/>
      </w:pPr>
    </w:p>
    <w:p w14:paraId="096E59C0" w14:textId="580434EA" w:rsidR="0060746B" w:rsidRPr="0060746B" w:rsidRDefault="00AA48EA" w:rsidP="00103D86">
      <w:pPr>
        <w:pStyle w:val="ListParagraph"/>
        <w:numPr>
          <w:ilvl w:val="0"/>
          <w:numId w:val="37"/>
        </w:numPr>
      </w:pPr>
      <w:r w:rsidRPr="00263DE5">
        <w:rPr>
          <w:b/>
          <w:bCs/>
        </w:rPr>
        <w:lastRenderedPageBreak/>
        <w:t>Section III.E</w:t>
      </w:r>
      <w:r>
        <w:t xml:space="preserve"> Calculated action load</w:t>
      </w:r>
      <w:r w:rsidR="00EF57F2">
        <w:t xml:space="preserve"> options</w:t>
      </w:r>
      <w:r>
        <w:t xml:space="preserve"> by facility, table 4 pg 12</w:t>
      </w:r>
      <w:r w:rsidR="0060746B">
        <w:t>: “</w:t>
      </w:r>
      <w:r w:rsidR="0060746B" w:rsidRPr="0060746B">
        <w:rPr>
          <w:i/>
          <w:iCs/>
        </w:rPr>
        <w:t>Ecology’s individual permit managers worked with their dischargers’ data to determine the range of previously collected representative effluent data for use in the total inorganic nitrogen load limit calculation.”</w:t>
      </w:r>
      <w:r w:rsidR="0060746B">
        <w:rPr>
          <w:i/>
          <w:iCs/>
        </w:rPr>
        <w:t xml:space="preserve">  </w:t>
      </w:r>
    </w:p>
    <w:p w14:paraId="1DBCE7C6" w14:textId="3A27C8A9" w:rsidR="00547FF5" w:rsidRDefault="00177337" w:rsidP="0060746B">
      <w:pPr>
        <w:pStyle w:val="ListParagraph"/>
      </w:pPr>
      <w:r>
        <w:rPr>
          <w:i/>
          <w:iCs/>
        </w:rPr>
        <w:t xml:space="preserve">Footnote at bottom of table 4 </w:t>
      </w:r>
      <w:r w:rsidR="00D104F6">
        <w:rPr>
          <w:i/>
          <w:iCs/>
        </w:rPr>
        <w:t xml:space="preserve">for </w:t>
      </w:r>
      <w:r w:rsidR="0060746B">
        <w:rPr>
          <w:i/>
          <w:iCs/>
        </w:rPr>
        <w:t>Kitsap County Central Kitsap WWTP***</w:t>
      </w:r>
      <w:r w:rsidR="00D104F6">
        <w:rPr>
          <w:i/>
          <w:iCs/>
        </w:rPr>
        <w:t xml:space="preserve"> reads “</w:t>
      </w:r>
      <w:r w:rsidR="0060746B">
        <w:rPr>
          <w:i/>
          <w:iCs/>
        </w:rPr>
        <w:t>Insufficient TIN data for AL calculation</w:t>
      </w:r>
      <w:r w:rsidR="00D104F6">
        <w:rPr>
          <w:i/>
          <w:iCs/>
        </w:rPr>
        <w:t>”</w:t>
      </w:r>
      <w:r w:rsidR="0060746B">
        <w:rPr>
          <w:i/>
          <w:iCs/>
        </w:rPr>
        <w:t>.</w:t>
      </w:r>
    </w:p>
    <w:p w14:paraId="6D0B0A5E" w14:textId="77777777" w:rsidR="006D2547" w:rsidRDefault="0060746B" w:rsidP="000E23BB">
      <w:pPr>
        <w:ind w:left="720"/>
      </w:pPr>
      <w:r>
        <w:t xml:space="preserve">Kitsap County Comment:  Kitsap County disagrees that there is insufficient data to calculate the </w:t>
      </w:r>
      <w:r w:rsidR="004263ED">
        <w:t>action level for the Central Kitsap Wastewater Treatment Plant.</w:t>
      </w:r>
      <w:r w:rsidR="005742A3">
        <w:t xml:space="preserve">  Per conversation with DOE</w:t>
      </w:r>
      <w:r w:rsidR="00D104F6">
        <w:t xml:space="preserve">’s Facility Manager, </w:t>
      </w:r>
      <w:r w:rsidR="005742A3">
        <w:t>the data source for this calculation is from PARIS.  PARIS only reports data that is required by the permit and included in the DMR.  If a permittee performs analysis on Ammonia and/or Nitrate-Nitrogen more frequently than the permit requirement the</w:t>
      </w:r>
      <w:r w:rsidR="006D2547">
        <w:t xml:space="preserve"> formatting of Web DMR / SAW does not provide a field to enter the </w:t>
      </w:r>
      <w:r w:rsidR="005742A3">
        <w:t>daily data result for reporting</w:t>
      </w:r>
      <w:r w:rsidR="006D2547">
        <w:t xml:space="preserve">. </w:t>
      </w:r>
    </w:p>
    <w:p w14:paraId="3993649D" w14:textId="348853FE" w:rsidR="005742A3" w:rsidRPr="00207C95" w:rsidRDefault="005742A3" w:rsidP="000E23BB">
      <w:pPr>
        <w:ind w:left="720"/>
      </w:pPr>
      <w:bookmarkStart w:id="0" w:name="_GoBack"/>
      <w:bookmarkEnd w:id="0"/>
      <w:r>
        <w:t xml:space="preserve">Kitsap County </w:t>
      </w:r>
      <w:r w:rsidR="004E676A">
        <w:t>request</w:t>
      </w:r>
      <w:r>
        <w:t xml:space="preserve"> Ecology recalculate </w:t>
      </w:r>
      <w:r w:rsidR="00EF57F2">
        <w:t xml:space="preserve">the Central Kitsap Wastewater Treatment Plant action level with additional data provided by the County to Ecology’s Facility Manager.  A copy of the .csv file is </w:t>
      </w:r>
      <w:r w:rsidR="00EF57F2" w:rsidRPr="00207C95">
        <w:t>uploaded to the e</w:t>
      </w:r>
      <w:r w:rsidR="002F3B2B" w:rsidRPr="00207C95">
        <w:t>-</w:t>
      </w:r>
      <w:r w:rsidR="00EF57F2" w:rsidRPr="00207C95">
        <w:t>comments site provided by Ecology</w:t>
      </w:r>
      <w:r w:rsidR="00A61069">
        <w:t xml:space="preserve"> and has been emailed separately to the Ecology’s Facility Manager</w:t>
      </w:r>
      <w:r w:rsidR="00EF57F2" w:rsidRPr="00207C95">
        <w:t>.</w:t>
      </w:r>
    </w:p>
    <w:p w14:paraId="0EA34234" w14:textId="77777777" w:rsidR="00646BF4" w:rsidRDefault="00646BF4" w:rsidP="00103D86">
      <w:pPr>
        <w:pStyle w:val="ListParagraph"/>
        <w:numPr>
          <w:ilvl w:val="0"/>
          <w:numId w:val="37"/>
        </w:numPr>
      </w:pPr>
      <w:r w:rsidRPr="00263DE5">
        <w:rPr>
          <w:b/>
          <w:bCs/>
        </w:rPr>
        <w:t>Section IV.A</w:t>
      </w:r>
      <w:r w:rsidRPr="00646BF4">
        <w:t xml:space="preserve"> Monitoring Requirements, Table 6 and Table 7</w:t>
      </w:r>
      <w:r>
        <w:t>:  Monitoring requirement to analyze influent Nitrate plus Nitrite Nitrogen.</w:t>
      </w:r>
    </w:p>
    <w:p w14:paraId="3DC9CA9F" w14:textId="716D9F82" w:rsidR="00646BF4" w:rsidRDefault="00646BF4" w:rsidP="00646BF4">
      <w:pPr>
        <w:ind w:left="720"/>
      </w:pPr>
      <w:r>
        <w:t xml:space="preserve">Kitsap County Comment:  </w:t>
      </w:r>
      <w:r w:rsidR="009A2AF8">
        <w:t xml:space="preserve">Kitsap County does not see the value for monitoring this parameter as frequently as proposed.  </w:t>
      </w:r>
      <w:r w:rsidR="00E638DF">
        <w:t>Recommend influent sampling of ammonia-nitrogen only.</w:t>
      </w:r>
      <w:r>
        <w:t xml:space="preserve"> </w:t>
      </w:r>
    </w:p>
    <w:p w14:paraId="12702FD4" w14:textId="4B6A0836" w:rsidR="00F86259" w:rsidRDefault="00F86259" w:rsidP="00103D86">
      <w:pPr>
        <w:pStyle w:val="ListParagraph"/>
        <w:numPr>
          <w:ilvl w:val="0"/>
          <w:numId w:val="37"/>
        </w:numPr>
        <w:rPr>
          <w:i/>
          <w:iCs/>
        </w:rPr>
      </w:pPr>
      <w:r w:rsidRPr="00263DE5">
        <w:rPr>
          <w:b/>
          <w:bCs/>
        </w:rPr>
        <w:t>Section IV.A</w:t>
      </w:r>
      <w:r w:rsidRPr="00207C95">
        <w:t xml:space="preserve"> Monitoring</w:t>
      </w:r>
      <w:r w:rsidRPr="00F86259">
        <w:t xml:space="preserve"> Requirements, </w:t>
      </w:r>
      <w:r w:rsidR="00207C95">
        <w:t>Footnote B typical of all</w:t>
      </w:r>
      <w:r w:rsidR="00207C95" w:rsidRPr="00207C95">
        <w:t xml:space="preserve"> </w:t>
      </w:r>
      <w:r w:rsidR="00207C95">
        <w:t xml:space="preserve">in </w:t>
      </w:r>
      <w:r w:rsidR="00207C95" w:rsidRPr="00F86259">
        <w:t xml:space="preserve">Table </w:t>
      </w:r>
      <w:r w:rsidR="00207C95">
        <w:t xml:space="preserve">5, </w:t>
      </w:r>
      <w:r w:rsidR="00207C95" w:rsidRPr="00F86259">
        <w:t>6</w:t>
      </w:r>
      <w:r w:rsidR="00207C95">
        <w:t xml:space="preserve">, and </w:t>
      </w:r>
      <w:r w:rsidR="00207C95" w:rsidRPr="00F86259">
        <w:t>7</w:t>
      </w:r>
      <w:r w:rsidR="00207C95">
        <w:t xml:space="preserve">: </w:t>
      </w:r>
      <w:r w:rsidR="00207C95" w:rsidRPr="00207C95">
        <w:rPr>
          <w:i/>
          <w:iCs/>
        </w:rPr>
        <w:t xml:space="preserve">“1/week means one (1) time during each calendar week and on a rotational basis throughout the days of the week, except weekends and holidays”. </w:t>
      </w:r>
    </w:p>
    <w:p w14:paraId="510D7E43" w14:textId="0DB1A529" w:rsidR="00207C95" w:rsidRDefault="00207C95" w:rsidP="00207C95">
      <w:pPr>
        <w:pStyle w:val="ListParagraph"/>
      </w:pPr>
    </w:p>
    <w:p w14:paraId="7319E10B" w14:textId="18AB4C44" w:rsidR="00207C95" w:rsidRPr="00207C95" w:rsidRDefault="00207C95" w:rsidP="00207C95">
      <w:pPr>
        <w:pStyle w:val="ListParagraph"/>
      </w:pPr>
      <w:r>
        <w:t xml:space="preserve">Kitsap County Comment:  Allowing an exception for weekend sampling will not account for a true representation of </w:t>
      </w:r>
      <w:r w:rsidR="00A60FBE">
        <w:t>influent and effluent load characterization.  Recommend striking “weekends” from footnote B.</w:t>
      </w:r>
    </w:p>
    <w:p w14:paraId="09213482" w14:textId="77777777" w:rsidR="00F86259" w:rsidRDefault="00F86259" w:rsidP="00207C95">
      <w:pPr>
        <w:pStyle w:val="ListParagraph"/>
      </w:pPr>
    </w:p>
    <w:p w14:paraId="66D13B27" w14:textId="72A6EEB9" w:rsidR="007E1263" w:rsidRDefault="00726C81" w:rsidP="00103D86">
      <w:pPr>
        <w:pStyle w:val="ListParagraph"/>
        <w:numPr>
          <w:ilvl w:val="0"/>
          <w:numId w:val="37"/>
        </w:numPr>
      </w:pPr>
      <w:r w:rsidRPr="00263DE5">
        <w:rPr>
          <w:b/>
          <w:bCs/>
        </w:rPr>
        <w:t>Section IV</w:t>
      </w:r>
      <w:r w:rsidR="0094016C" w:rsidRPr="00263DE5">
        <w:rPr>
          <w:b/>
          <w:bCs/>
        </w:rPr>
        <w:t>.A</w:t>
      </w:r>
      <w:r w:rsidR="0094016C">
        <w:t xml:space="preserve"> Monitoring Requirements, Table 6 and Table 7:</w:t>
      </w:r>
      <w:r w:rsidR="00176DEB">
        <w:t xml:space="preserve"> </w:t>
      </w:r>
      <w:bookmarkStart w:id="1" w:name="_Hlk66191978"/>
    </w:p>
    <w:p w14:paraId="00EB261C" w14:textId="3E7D63BD" w:rsidR="007E1263" w:rsidRDefault="00176DEB" w:rsidP="007E1263">
      <w:pPr>
        <w:pStyle w:val="ListParagraph"/>
        <w:numPr>
          <w:ilvl w:val="1"/>
          <w:numId w:val="26"/>
        </w:numPr>
      </w:pPr>
      <w:r>
        <w:t>The proposed monitoring schedule for medium treatment plants shown in Table 6 requires the additional analysis of CBOD5 and Total Organic Carbon</w:t>
      </w:r>
      <w:r w:rsidR="00CB0E97">
        <w:t>. These</w:t>
      </w:r>
      <w:r>
        <w:t xml:space="preserve"> parameter</w:t>
      </w:r>
      <w:r w:rsidR="00CB0E97">
        <w:t>s are</w:t>
      </w:r>
      <w:r>
        <w:t xml:space="preserve"> not required in the current permit for Central Kitsap Wastewater Treatment Plant.</w:t>
      </w:r>
      <w:bookmarkEnd w:id="1"/>
      <w:r w:rsidR="007E1263">
        <w:t xml:space="preserve"> </w:t>
      </w:r>
    </w:p>
    <w:p w14:paraId="756CFADC" w14:textId="29338B2C" w:rsidR="00176DEB" w:rsidRDefault="00176DEB" w:rsidP="007E1263">
      <w:pPr>
        <w:pStyle w:val="ListParagraph"/>
        <w:numPr>
          <w:ilvl w:val="1"/>
          <w:numId w:val="26"/>
        </w:numPr>
      </w:pPr>
      <w:r w:rsidRPr="00176DEB">
        <w:t xml:space="preserve">The proposed monitoring schedule for medium treatment plants shown in Table </w:t>
      </w:r>
      <w:r>
        <w:t>7</w:t>
      </w:r>
      <w:r w:rsidRPr="00176DEB">
        <w:t xml:space="preserve"> requires the additional analysis of Total Organic Carbon</w:t>
      </w:r>
      <w:r w:rsidR="00CB0E97">
        <w:t xml:space="preserve">.  These </w:t>
      </w:r>
      <w:r w:rsidRPr="00176DEB">
        <w:t>parameter</w:t>
      </w:r>
      <w:r w:rsidR="00CB0E97">
        <w:t>s are</w:t>
      </w:r>
      <w:r w:rsidRPr="00176DEB">
        <w:t xml:space="preserve"> not required in the current permit for </w:t>
      </w:r>
      <w:r>
        <w:t xml:space="preserve">the Kingston and Manchester </w:t>
      </w:r>
      <w:r w:rsidRPr="00176DEB">
        <w:t>Kitsap Wastewater Treatment Plant</w:t>
      </w:r>
      <w:r>
        <w:t>s.</w:t>
      </w:r>
    </w:p>
    <w:p w14:paraId="575C3C0E" w14:textId="7A7A6AE7" w:rsidR="00A11A59" w:rsidRDefault="007E1263" w:rsidP="00A11A59">
      <w:pPr>
        <w:pStyle w:val="ListParagraph"/>
        <w:numPr>
          <w:ilvl w:val="1"/>
          <w:numId w:val="26"/>
        </w:numPr>
      </w:pPr>
      <w:r>
        <w:t xml:space="preserve">The proposed monitoring schedule for </w:t>
      </w:r>
      <w:bookmarkStart w:id="2" w:name="_Hlk66194629"/>
      <w:r>
        <w:t>Total Ammonia, Nitrate plus Nitri</w:t>
      </w:r>
      <w:r w:rsidR="004011C3">
        <w:t>te and Total Kjeldahl Nitrogen</w:t>
      </w:r>
      <w:bookmarkEnd w:id="2"/>
      <w:r w:rsidR="004011C3">
        <w:t xml:space="preserve"> is an increase of </w:t>
      </w:r>
      <w:r w:rsidR="008F68A7">
        <w:t xml:space="preserve">12 times the </w:t>
      </w:r>
      <w:r w:rsidR="004011C3">
        <w:t xml:space="preserve">analysis per month compared to existing </w:t>
      </w:r>
      <w:r w:rsidR="008F68A7">
        <w:t xml:space="preserve">Central Kitsap </w:t>
      </w:r>
      <w:r w:rsidR="004011C3">
        <w:lastRenderedPageBreak/>
        <w:t>permit monitoring requirements.</w:t>
      </w:r>
      <w:r w:rsidR="008F68A7">
        <w:t xml:space="preserve">  This is also an increase of 6 times the analysis per month for Manchester, Suquamish and Kingston,</w:t>
      </w:r>
    </w:p>
    <w:p w14:paraId="04B1361B" w14:textId="77777777" w:rsidR="00ED05FC" w:rsidRDefault="00ED05FC" w:rsidP="00ED05FC">
      <w:pPr>
        <w:pStyle w:val="ListParagraph"/>
        <w:ind w:left="1440"/>
      </w:pPr>
    </w:p>
    <w:p w14:paraId="0702CA04" w14:textId="24642961" w:rsidR="00A11A59" w:rsidRDefault="00ED05FC" w:rsidP="00A11A59">
      <w:pPr>
        <w:pStyle w:val="ListParagraph"/>
      </w:pPr>
      <w:r>
        <w:t xml:space="preserve">Kitsap County Comments:  </w:t>
      </w:r>
      <w:r w:rsidR="00CB0E97">
        <w:t xml:space="preserve">The County </w:t>
      </w:r>
      <w:r w:rsidR="004C1588">
        <w:t xml:space="preserve">understands that new effluent permit requirements will </w:t>
      </w:r>
      <w:r w:rsidR="004352C5">
        <w:t>re-prioritizing testing</w:t>
      </w:r>
      <w:r w:rsidR="004C1588">
        <w:t xml:space="preserve"> in our accredited laboratory.  However, Ecology must be aware that this increased labor </w:t>
      </w:r>
      <w:r w:rsidR="00D57E2C">
        <w:t xml:space="preserve">and the process to obtain accreditation </w:t>
      </w:r>
      <w:r w:rsidR="004C1588">
        <w:t xml:space="preserve">cannot be addressed in a short time period.  Also, the capacity of private sector labs may be tested </w:t>
      </w:r>
      <w:r w:rsidR="00D475E4">
        <w:t xml:space="preserve">in the short term </w:t>
      </w:r>
      <w:r w:rsidR="004C1588">
        <w:t xml:space="preserve">with a wave of new testing.  For example; most POTW labs are not accredited to analyze Total Organic Carbon therefore </w:t>
      </w:r>
      <w:r w:rsidR="00CB0E97">
        <w:t xml:space="preserve">options are limited to </w:t>
      </w:r>
      <w:r w:rsidR="008F68A7">
        <w:t xml:space="preserve">either </w:t>
      </w:r>
      <w:r w:rsidR="00CB0E97">
        <w:t>obtaining DOE accreditation or send the samples to an outside lab.</w:t>
      </w:r>
    </w:p>
    <w:p w14:paraId="010D19C4" w14:textId="77777777" w:rsidR="00D57E2C" w:rsidRDefault="00D57E2C" w:rsidP="00A11A59">
      <w:pPr>
        <w:pStyle w:val="ListParagraph"/>
      </w:pPr>
    </w:p>
    <w:p w14:paraId="1E1DE493" w14:textId="780FC6C1" w:rsidR="00F86259" w:rsidRDefault="00CB0E97" w:rsidP="00A11A59">
      <w:pPr>
        <w:pStyle w:val="ListParagraph"/>
      </w:pPr>
      <w:r>
        <w:t xml:space="preserve">The </w:t>
      </w:r>
      <w:r w:rsidR="005452CD">
        <w:t xml:space="preserve">additional </w:t>
      </w:r>
      <w:r>
        <w:t xml:space="preserve">frequency </w:t>
      </w:r>
      <w:r w:rsidR="005452CD">
        <w:t xml:space="preserve">and the requirement to collect samples </w:t>
      </w:r>
      <w:r w:rsidR="00F86259">
        <w:t>representative of an entire month</w:t>
      </w:r>
      <w:r w:rsidR="005452CD">
        <w:t xml:space="preserve"> for the analysis of</w:t>
      </w:r>
      <w:r>
        <w:t xml:space="preserve"> </w:t>
      </w:r>
      <w:r w:rsidR="005452CD">
        <w:t xml:space="preserve">Total Ammonia, Nitrate plus Nitrite and Total Kjeldahl Nitrogen may require labs to perform analysis of these parameters in batches.  </w:t>
      </w:r>
      <w:r w:rsidR="00F86259">
        <w:t>Scheduled sample collections in the last week of a month will make it difficult to for a municipal and contract lab to return results in time to report on the DMR by the 15</w:t>
      </w:r>
      <w:r w:rsidR="00F86259" w:rsidRPr="00F86259">
        <w:rPr>
          <w:vertAlign w:val="superscript"/>
        </w:rPr>
        <w:t>th</w:t>
      </w:r>
      <w:r w:rsidR="00F86259">
        <w:t xml:space="preserve"> of every month.  </w:t>
      </w:r>
    </w:p>
    <w:p w14:paraId="1048DE84" w14:textId="6F265108" w:rsidR="00F87CBB" w:rsidRDefault="00F87CBB" w:rsidP="00F87CBB">
      <w:pPr>
        <w:pStyle w:val="ListParagraph"/>
        <w:numPr>
          <w:ilvl w:val="0"/>
          <w:numId w:val="38"/>
        </w:numPr>
      </w:pPr>
      <w:r>
        <w:t>Ecology must recognize that enforcing the proposed new monitoring schedule “one month after the effective date of the proposed general permit”</w:t>
      </w:r>
      <w:r w:rsidR="001F44E1">
        <w:t xml:space="preserve"> (pg 14)</w:t>
      </w:r>
      <w:r>
        <w:t xml:space="preserve"> is not realistic for Kitsap County. </w:t>
      </w:r>
    </w:p>
    <w:p w14:paraId="63A37CBE" w14:textId="65EBB223" w:rsidR="00CB0E97" w:rsidRDefault="005452CD" w:rsidP="00F87CBB">
      <w:pPr>
        <w:pStyle w:val="ListParagraph"/>
        <w:numPr>
          <w:ilvl w:val="0"/>
          <w:numId w:val="38"/>
        </w:numPr>
      </w:pPr>
      <w:r>
        <w:t xml:space="preserve">Ecology should consider </w:t>
      </w:r>
      <w:r w:rsidR="00B83AFC">
        <w:t>modifying</w:t>
      </w:r>
      <w:r>
        <w:t xml:space="preserve"> the DMR submittal date to the 20</w:t>
      </w:r>
      <w:r w:rsidRPr="005452CD">
        <w:rPr>
          <w:vertAlign w:val="superscript"/>
        </w:rPr>
        <w:t>th</w:t>
      </w:r>
      <w:r>
        <w:t xml:space="preserve"> of each month to accommodate the propose</w:t>
      </w:r>
      <w:r w:rsidR="005D3723">
        <w:t>d PSNGP</w:t>
      </w:r>
      <w:r>
        <w:t xml:space="preserve"> sampling schedule.</w:t>
      </w:r>
    </w:p>
    <w:p w14:paraId="0F97D390" w14:textId="4E9C026B" w:rsidR="00D475E4" w:rsidRDefault="00D475E4" w:rsidP="00A11A59">
      <w:pPr>
        <w:pStyle w:val="ListParagraph"/>
      </w:pPr>
    </w:p>
    <w:p w14:paraId="67D67FED" w14:textId="37FF8524" w:rsidR="0010605A" w:rsidRPr="00662565" w:rsidRDefault="0010605A" w:rsidP="00103D86">
      <w:pPr>
        <w:pStyle w:val="ListParagraph"/>
        <w:numPr>
          <w:ilvl w:val="0"/>
          <w:numId w:val="37"/>
        </w:numPr>
        <w:rPr>
          <w:i/>
          <w:iCs/>
        </w:rPr>
      </w:pPr>
      <w:r w:rsidRPr="00263DE5">
        <w:rPr>
          <w:b/>
          <w:bCs/>
        </w:rPr>
        <w:t>Section V.C</w:t>
      </w:r>
      <w:r>
        <w:t xml:space="preserve"> Tier 2 actions, pg 20: In answer to </w:t>
      </w:r>
      <w:r w:rsidRPr="00662565">
        <w:rPr>
          <w:i/>
          <w:iCs/>
        </w:rPr>
        <w:t>“Are there any additional Tier 2 optimization actions that should be included in this document?”</w:t>
      </w:r>
    </w:p>
    <w:p w14:paraId="1D687D89" w14:textId="0BEF0270" w:rsidR="0010605A" w:rsidRDefault="0010605A" w:rsidP="0010605A">
      <w:pPr>
        <w:pStyle w:val="ListParagraph"/>
      </w:pPr>
      <w:r>
        <w:t>Kitsap County Comment:  Recommend including “planning for effluent reclamation and reuse” to divert TIN loadings from the POTW outfall.</w:t>
      </w:r>
      <w:r w:rsidR="000C1016">
        <w:t>”</w:t>
      </w:r>
      <w:r>
        <w:t xml:space="preserve"> </w:t>
      </w:r>
    </w:p>
    <w:p w14:paraId="26129482" w14:textId="77777777" w:rsidR="000C1016" w:rsidRDefault="000C1016" w:rsidP="0010605A">
      <w:pPr>
        <w:pStyle w:val="ListParagraph"/>
      </w:pPr>
    </w:p>
    <w:p w14:paraId="5215AB2C" w14:textId="770CB356" w:rsidR="00D475E4" w:rsidRDefault="00D475E4" w:rsidP="00103D86">
      <w:pPr>
        <w:pStyle w:val="ListParagraph"/>
        <w:numPr>
          <w:ilvl w:val="0"/>
          <w:numId w:val="37"/>
        </w:numPr>
      </w:pPr>
      <w:r w:rsidRPr="00263DE5">
        <w:rPr>
          <w:b/>
          <w:bCs/>
        </w:rPr>
        <w:t>Section V</w:t>
      </w:r>
      <w:r w:rsidR="005F02FE" w:rsidRPr="00263DE5">
        <w:rPr>
          <w:b/>
          <w:bCs/>
        </w:rPr>
        <w:t>.C</w:t>
      </w:r>
      <w:r w:rsidR="005F02FE">
        <w:t xml:space="preserve"> Tier 3 actions, pg 22:  </w:t>
      </w:r>
      <w:r w:rsidR="00662565">
        <w:t xml:space="preserve">In answer to </w:t>
      </w:r>
      <w:r w:rsidR="00662565" w:rsidRPr="009E0DCC">
        <w:rPr>
          <w:i/>
          <w:iCs/>
        </w:rPr>
        <w:t>“Ecology is soliciting input on what types of Tier 3 actions plan</w:t>
      </w:r>
      <w:r w:rsidR="009E0DCC" w:rsidRPr="009E0DCC">
        <w:rPr>
          <w:i/>
          <w:iCs/>
        </w:rPr>
        <w:t>t</w:t>
      </w:r>
      <w:r w:rsidR="00662565" w:rsidRPr="009E0DCC">
        <w:rPr>
          <w:i/>
          <w:iCs/>
        </w:rPr>
        <w:t xml:space="preserve">s </w:t>
      </w:r>
      <w:r w:rsidR="009E0DCC" w:rsidRPr="009E0DCC">
        <w:rPr>
          <w:i/>
          <w:iCs/>
        </w:rPr>
        <w:t xml:space="preserve">(sp) </w:t>
      </w:r>
      <w:r w:rsidR="00662565" w:rsidRPr="009E0DCC">
        <w:rPr>
          <w:i/>
          <w:iCs/>
        </w:rPr>
        <w:t>must take to achieve further nutrient reduction, sooner, if they exceed their second action level trigger. Should these actions vary by facility size?”</w:t>
      </w:r>
    </w:p>
    <w:p w14:paraId="014A3819" w14:textId="77777777" w:rsidR="00662565" w:rsidRDefault="00662565" w:rsidP="00662565">
      <w:pPr>
        <w:pStyle w:val="ListParagraph"/>
      </w:pPr>
    </w:p>
    <w:p w14:paraId="155606B8" w14:textId="5EC21900" w:rsidR="005F02FE" w:rsidRDefault="005F02FE" w:rsidP="005F02FE">
      <w:pPr>
        <w:pStyle w:val="ListParagraph"/>
      </w:pPr>
      <w:r>
        <w:t xml:space="preserve">Kitsap County Comments:  Recommend including </w:t>
      </w:r>
      <w:r w:rsidR="000C1016">
        <w:t xml:space="preserve">“design for effluent reclamation and reuse” to divert TIN loadings from the POTW outfall” </w:t>
      </w:r>
      <w:r w:rsidR="001D65C5">
        <w:t>as a Tier 3 action</w:t>
      </w:r>
      <w:r>
        <w:t>.</w:t>
      </w:r>
    </w:p>
    <w:p w14:paraId="5745F8BA" w14:textId="3263EEB5" w:rsidR="00502C80" w:rsidRDefault="00502C80" w:rsidP="005F02FE">
      <w:pPr>
        <w:pStyle w:val="ListParagraph"/>
      </w:pPr>
    </w:p>
    <w:p w14:paraId="3EC96840" w14:textId="69802B04" w:rsidR="00502C80" w:rsidRDefault="00502C80" w:rsidP="00103D86">
      <w:pPr>
        <w:pStyle w:val="ListParagraph"/>
        <w:numPr>
          <w:ilvl w:val="0"/>
          <w:numId w:val="37"/>
        </w:numPr>
        <w:rPr>
          <w:i/>
          <w:iCs/>
        </w:rPr>
      </w:pPr>
      <w:r w:rsidRPr="00263DE5">
        <w:rPr>
          <w:b/>
          <w:bCs/>
        </w:rPr>
        <w:t>Section V.D</w:t>
      </w:r>
      <w:r>
        <w:t xml:space="preserve"> Nutrient Optimization Plan Components, item e: </w:t>
      </w:r>
      <w:r w:rsidRPr="00502C80">
        <w:rPr>
          <w:i/>
          <w:iCs/>
        </w:rPr>
        <w:t>“Evaluate the different optimization strategies identified in C.ii to maximize nitrogen removal capabilities and select the actions your facility will implement over the next year. Provide detail on cost implications and lack of affordability for those strategies not selected due to financial reasons.”</w:t>
      </w:r>
    </w:p>
    <w:p w14:paraId="74FF3535" w14:textId="3AF8CDA6" w:rsidR="00C721FB" w:rsidRPr="00C721FB" w:rsidRDefault="00C721FB" w:rsidP="00C721FB">
      <w:pPr>
        <w:ind w:left="720"/>
      </w:pPr>
      <w:r>
        <w:lastRenderedPageBreak/>
        <w:t xml:space="preserve">Kitsap County Comments:  </w:t>
      </w:r>
      <w:r w:rsidR="00201359">
        <w:t xml:space="preserve">In the first year of the general permit the requirement to provide detail on cost implications is not realistic.  It may take several years and external expertise to provide cost implications.  </w:t>
      </w:r>
      <w:r>
        <w:t>Recommend revision “provide an estimate of cost implications</w:t>
      </w:r>
      <w:r w:rsidR="00201359">
        <w:t>…”</w:t>
      </w:r>
    </w:p>
    <w:p w14:paraId="6DCEF154" w14:textId="3882D6A4" w:rsidR="00C721FB" w:rsidRPr="00201359" w:rsidRDefault="00201359" w:rsidP="00103D86">
      <w:pPr>
        <w:pStyle w:val="ListParagraph"/>
        <w:numPr>
          <w:ilvl w:val="0"/>
          <w:numId w:val="37"/>
        </w:numPr>
        <w:rPr>
          <w:i/>
          <w:iCs/>
        </w:rPr>
      </w:pPr>
      <w:r w:rsidRPr="00263DE5">
        <w:rPr>
          <w:b/>
          <w:bCs/>
        </w:rPr>
        <w:t>Section V.D.c.ii</w:t>
      </w:r>
      <w:r w:rsidR="00FD2187">
        <w:t xml:space="preserve"> Nutrient Optimization Plan Components</w:t>
      </w:r>
      <w:r>
        <w:t xml:space="preserve">: </w:t>
      </w:r>
      <w:r w:rsidRPr="00201359">
        <w:rPr>
          <w:i/>
          <w:iCs/>
        </w:rPr>
        <w:t>“Identification of recommended actions to improve the facility’s nitrogen removal performance”</w:t>
      </w:r>
    </w:p>
    <w:p w14:paraId="2894781A" w14:textId="7D632D0E" w:rsidR="00EE7919" w:rsidRDefault="005C7727" w:rsidP="00FD2187">
      <w:pPr>
        <w:ind w:left="720"/>
        <w:contextualSpacing/>
      </w:pPr>
      <w:r>
        <w:t xml:space="preserve">Kitsap County Comments:  </w:t>
      </w:r>
      <w:r w:rsidR="00FD2187">
        <w:t>Component C</w:t>
      </w:r>
      <w:r w:rsidR="00EE7919">
        <w:t xml:space="preserve"> is unclear and requires a better description.</w:t>
      </w:r>
    </w:p>
    <w:p w14:paraId="591BCB07" w14:textId="22441FA7" w:rsidR="005C7727" w:rsidRDefault="00EE7919" w:rsidP="00FD2187">
      <w:pPr>
        <w:pStyle w:val="ListParagraph"/>
        <w:numPr>
          <w:ilvl w:val="0"/>
          <w:numId w:val="35"/>
        </w:numPr>
      </w:pPr>
      <w:r>
        <w:t>If a POTW consistently maintains a concentration below 10 mg/L TIN as described in C.ii.1 then what does “then maintain or work to improve performance” mean?</w:t>
      </w:r>
    </w:p>
    <w:p w14:paraId="2A7F0157" w14:textId="0916DE53" w:rsidR="00EE7919" w:rsidRDefault="00C721FB" w:rsidP="00FD2187">
      <w:pPr>
        <w:pStyle w:val="ListParagraph"/>
        <w:numPr>
          <w:ilvl w:val="0"/>
          <w:numId w:val="35"/>
        </w:numPr>
      </w:pPr>
      <w:r>
        <w:t xml:space="preserve">If a POTW consistently maintains a concentration below 10 mg/L then is POTW required to develop facility specific nitrogen reduction optimization strategies as described in items d, e and f? </w:t>
      </w:r>
    </w:p>
    <w:p w14:paraId="4D03E402" w14:textId="77777777" w:rsidR="00C21523" w:rsidRDefault="00C21523" w:rsidP="00C21523">
      <w:pPr>
        <w:pStyle w:val="ListParagraph"/>
        <w:ind w:left="1440"/>
      </w:pPr>
    </w:p>
    <w:p w14:paraId="1350850F" w14:textId="3B2B598A" w:rsidR="00F45E29" w:rsidRPr="00F45E29" w:rsidRDefault="00FD2187" w:rsidP="00103D86">
      <w:pPr>
        <w:pStyle w:val="ListParagraph"/>
        <w:numPr>
          <w:ilvl w:val="0"/>
          <w:numId w:val="37"/>
        </w:numPr>
        <w:rPr>
          <w:i/>
          <w:iCs/>
        </w:rPr>
      </w:pPr>
      <w:r w:rsidRPr="00263DE5">
        <w:rPr>
          <w:b/>
          <w:bCs/>
        </w:rPr>
        <w:t>Section VI</w:t>
      </w:r>
      <w:r w:rsidR="000931DC">
        <w:t xml:space="preserve"> Planning </w:t>
      </w:r>
      <w:r w:rsidR="00747ACD">
        <w:t>Requirements</w:t>
      </w:r>
      <w:r w:rsidR="000931DC">
        <w:t xml:space="preserve">:  </w:t>
      </w:r>
    </w:p>
    <w:p w14:paraId="14E61DC5" w14:textId="0EA9633B" w:rsidR="00FD2187" w:rsidRPr="00C21523" w:rsidRDefault="00C21523" w:rsidP="00F45E29">
      <w:pPr>
        <w:pStyle w:val="ListParagraph"/>
        <w:numPr>
          <w:ilvl w:val="0"/>
          <w:numId w:val="36"/>
        </w:numPr>
        <w:rPr>
          <w:i/>
          <w:iCs/>
        </w:rPr>
      </w:pPr>
      <w:r w:rsidRPr="00C21523">
        <w:rPr>
          <w:i/>
          <w:iCs/>
        </w:rPr>
        <w:t>“…each plant that is not already achieving TIN concentrations &lt;10 mg/L will be required to conduct a nutrient reduction evaluation during this first permit cycle.” pg 25</w:t>
      </w:r>
    </w:p>
    <w:p w14:paraId="3F427AE0" w14:textId="7CEB2991" w:rsidR="00C21523" w:rsidRDefault="00C21523" w:rsidP="00F45E29">
      <w:pPr>
        <w:pStyle w:val="ListParagraph"/>
        <w:numPr>
          <w:ilvl w:val="0"/>
          <w:numId w:val="36"/>
        </w:numPr>
        <w:rPr>
          <w:i/>
          <w:iCs/>
        </w:rPr>
      </w:pPr>
      <w:r w:rsidRPr="00C21523">
        <w:rPr>
          <w:i/>
          <w:iCs/>
        </w:rPr>
        <w:t>“The above proposed Nutrient Remova</w:t>
      </w:r>
      <w:r>
        <w:rPr>
          <w:i/>
          <w:iCs/>
        </w:rPr>
        <w:t xml:space="preserve">l (sic) </w:t>
      </w:r>
      <w:r w:rsidRPr="00C21523">
        <w:rPr>
          <w:i/>
          <w:iCs/>
        </w:rPr>
        <w:t>Evaluation is not intended to be an engineering report. Rather it is a feasibility investigation and does not require the level of detail required in WAC 173-240-060 for an engineering report. It will, however, require the seal of a registered professional engineer given that it is a document that will be reviewed under RCW 90.48.110.” pg 26</w:t>
      </w:r>
    </w:p>
    <w:p w14:paraId="64A6A5A5" w14:textId="220EEB68" w:rsidR="00F45E29" w:rsidRDefault="00F45E29" w:rsidP="00F45E29">
      <w:pPr>
        <w:pStyle w:val="ListParagraph"/>
        <w:numPr>
          <w:ilvl w:val="0"/>
          <w:numId w:val="36"/>
        </w:numPr>
        <w:rPr>
          <w:i/>
          <w:iCs/>
        </w:rPr>
      </w:pPr>
      <w:r>
        <w:rPr>
          <w:i/>
          <w:iCs/>
        </w:rPr>
        <w:t>“</w:t>
      </w:r>
      <w:r w:rsidRPr="00F45E29">
        <w:rPr>
          <w:i/>
          <w:iCs/>
        </w:rPr>
        <w:t>If a WWTP formally chooses instead to develop their own independent, facility specific nutrient reduction evaluation, it must be submitted in permit year 3.</w:t>
      </w:r>
      <w:r>
        <w:rPr>
          <w:i/>
          <w:iCs/>
        </w:rPr>
        <w:t>” Pg 27 2</w:t>
      </w:r>
      <w:r w:rsidRPr="00F45E29">
        <w:rPr>
          <w:i/>
          <w:iCs/>
          <w:vertAlign w:val="superscript"/>
        </w:rPr>
        <w:t>nd</w:t>
      </w:r>
      <w:r>
        <w:rPr>
          <w:i/>
          <w:iCs/>
        </w:rPr>
        <w:t xml:space="preserve"> bullet</w:t>
      </w:r>
    </w:p>
    <w:p w14:paraId="568E4126" w14:textId="2A6641D2" w:rsidR="00C21523" w:rsidRDefault="00C21523" w:rsidP="00C21523">
      <w:pPr>
        <w:pStyle w:val="ListParagraph"/>
        <w:rPr>
          <w:i/>
          <w:iCs/>
        </w:rPr>
      </w:pPr>
    </w:p>
    <w:p w14:paraId="2E0E9AF5" w14:textId="44A966CD" w:rsidR="00BB6EB8" w:rsidRPr="00EC393A" w:rsidRDefault="00C21523" w:rsidP="00747ACD">
      <w:pPr>
        <w:pStyle w:val="ListParagraph"/>
      </w:pPr>
      <w:r>
        <w:t xml:space="preserve">Kitsap County Comments: </w:t>
      </w:r>
      <w:r w:rsidR="00F45E29">
        <w:t>Kitsap County understands the importance of the Nutrient Reduction Evaluation report.  The report described in this section is comprehensive</w:t>
      </w:r>
      <w:r w:rsidR="00DA0358">
        <w:t>,</w:t>
      </w:r>
      <w:r w:rsidR="00F45E29">
        <w:t xml:space="preserve"> and even though it may not be intended to be an </w:t>
      </w:r>
      <w:r w:rsidR="00DA0358">
        <w:t xml:space="preserve">engineering report, it will require specialized expertise to develop.  The County is concerned that the engineering expertise may not be available if many POTW in the Puget Sound region are contracting for this service.  Ecology should note that the </w:t>
      </w:r>
      <w:r w:rsidR="00263DE5">
        <w:t>proposed</w:t>
      </w:r>
      <w:r w:rsidR="00DA0358">
        <w:t xml:space="preserve"> timeline of 5 years (first permit cycle) </w:t>
      </w:r>
      <w:r w:rsidR="00671282">
        <w:t xml:space="preserve">on page 25 </w:t>
      </w:r>
      <w:r w:rsidR="00DA0358">
        <w:t>conflicts with the 2</w:t>
      </w:r>
      <w:r w:rsidR="00DA0358" w:rsidRPr="00DA0358">
        <w:rPr>
          <w:vertAlign w:val="superscript"/>
        </w:rPr>
        <w:t>nd</w:t>
      </w:r>
      <w:r w:rsidR="00DA0358">
        <w:t xml:space="preserve"> bullet on page 27 requiring submittal in permit year 3. </w:t>
      </w:r>
    </w:p>
    <w:sectPr w:rsidR="00BB6EB8" w:rsidRPr="00EC393A" w:rsidSect="00D448BD">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E2114" w14:textId="77777777" w:rsidR="00ED0A97" w:rsidRDefault="00ED0A97" w:rsidP="001C28A6">
      <w:pPr>
        <w:spacing w:after="0" w:line="240" w:lineRule="auto"/>
      </w:pPr>
      <w:r>
        <w:separator/>
      </w:r>
    </w:p>
  </w:endnote>
  <w:endnote w:type="continuationSeparator" w:id="0">
    <w:p w14:paraId="25EC6890" w14:textId="77777777" w:rsidR="00ED0A97" w:rsidRDefault="00ED0A97" w:rsidP="001C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26113" w14:textId="77777777" w:rsidR="00082E85" w:rsidRDefault="00082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E396" w14:textId="77777777" w:rsidR="00246C7B" w:rsidRDefault="00392CC9" w:rsidP="00FA1E97">
    <w:pPr>
      <w:pStyle w:val="Footer"/>
      <w:ind w:left="-1440"/>
    </w:pPr>
    <w:r>
      <w:rPr>
        <w:noProof/>
      </w:rPr>
      <w:drawing>
        <wp:anchor distT="0" distB="0" distL="114300" distR="114300" simplePos="0" relativeHeight="251658240" behindDoc="1" locked="0" layoutInCell="1" allowOverlap="1" wp14:anchorId="6104F256" wp14:editId="15D1A4C3">
          <wp:simplePos x="0" y="0"/>
          <wp:positionH relativeFrom="column">
            <wp:posOffset>-647700</wp:posOffset>
          </wp:positionH>
          <wp:positionV relativeFrom="paragraph">
            <wp:posOffset>-574675</wp:posOffset>
          </wp:positionV>
          <wp:extent cx="7573108" cy="89081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08" cy="8908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DC52" w14:textId="77777777" w:rsidR="00082E85" w:rsidRDefault="0008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42698" w14:textId="77777777" w:rsidR="00ED0A97" w:rsidRDefault="00ED0A97" w:rsidP="001C28A6">
      <w:pPr>
        <w:spacing w:after="0" w:line="240" w:lineRule="auto"/>
      </w:pPr>
      <w:r>
        <w:separator/>
      </w:r>
    </w:p>
  </w:footnote>
  <w:footnote w:type="continuationSeparator" w:id="0">
    <w:p w14:paraId="7108DC91" w14:textId="77777777" w:rsidR="00ED0A97" w:rsidRDefault="00ED0A97" w:rsidP="001C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6BED" w14:textId="77777777" w:rsidR="00082E85" w:rsidRDefault="00082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D2909" w14:textId="77777777" w:rsidR="001C28A6" w:rsidRDefault="00532025" w:rsidP="000E01A8">
    <w:pPr>
      <w:pStyle w:val="Header"/>
      <w:ind w:left="-1440"/>
    </w:pPr>
    <w:r>
      <w:rPr>
        <w:noProof/>
      </w:rPr>
      <w:drawing>
        <wp:anchor distT="0" distB="0" distL="114300" distR="114300" simplePos="0" relativeHeight="251657216" behindDoc="0" locked="0" layoutInCell="1" allowOverlap="1" wp14:anchorId="3F9D420B" wp14:editId="0EFB7D5C">
          <wp:simplePos x="0" y="0"/>
          <wp:positionH relativeFrom="column">
            <wp:posOffset>-736600</wp:posOffset>
          </wp:positionH>
          <wp:positionV relativeFrom="paragraph">
            <wp:posOffset>0</wp:posOffset>
          </wp:positionV>
          <wp:extent cx="7594600" cy="914400"/>
          <wp:effectExtent l="0" t="0" r="635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S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600" cy="914400"/>
                  </a:xfrm>
                  <a:prstGeom prst="rect">
                    <a:avLst/>
                  </a:prstGeom>
                </pic:spPr>
              </pic:pic>
            </a:graphicData>
          </a:graphic>
          <wp14:sizeRelH relativeFrom="margin">
            <wp14:pctWidth>0</wp14:pctWidth>
          </wp14:sizeRelH>
        </wp:anchor>
      </w:drawing>
    </w:r>
  </w:p>
  <w:p w14:paraId="5F6C0E5E" w14:textId="77777777" w:rsidR="001C28A6" w:rsidRDefault="001C2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8EE7" w14:textId="77777777" w:rsidR="00082E85" w:rsidRDefault="00082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086"/>
    <w:multiLevelType w:val="hybridMultilevel"/>
    <w:tmpl w:val="6770D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B84FB8"/>
    <w:multiLevelType w:val="hybridMultilevel"/>
    <w:tmpl w:val="93E6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C10800"/>
    <w:multiLevelType w:val="hybridMultilevel"/>
    <w:tmpl w:val="641CF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4B5EB6"/>
    <w:multiLevelType w:val="hybridMultilevel"/>
    <w:tmpl w:val="701EC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36E60"/>
    <w:multiLevelType w:val="hybridMultilevel"/>
    <w:tmpl w:val="3752A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C3E0D"/>
    <w:multiLevelType w:val="hybridMultilevel"/>
    <w:tmpl w:val="D662E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327ECA"/>
    <w:multiLevelType w:val="hybridMultilevel"/>
    <w:tmpl w:val="AB44E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D0157"/>
    <w:multiLevelType w:val="hybridMultilevel"/>
    <w:tmpl w:val="68DEA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F43782"/>
    <w:multiLevelType w:val="hybridMultilevel"/>
    <w:tmpl w:val="7CBE0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A49B1"/>
    <w:multiLevelType w:val="hybridMultilevel"/>
    <w:tmpl w:val="72B29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270E5"/>
    <w:multiLevelType w:val="hybridMultilevel"/>
    <w:tmpl w:val="878476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96A59"/>
    <w:multiLevelType w:val="hybridMultilevel"/>
    <w:tmpl w:val="3424C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6438A"/>
    <w:multiLevelType w:val="hybridMultilevel"/>
    <w:tmpl w:val="C8808ACE"/>
    <w:lvl w:ilvl="0" w:tplc="A6ACB4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B520B5"/>
    <w:multiLevelType w:val="hybridMultilevel"/>
    <w:tmpl w:val="D3D66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2E00C0"/>
    <w:multiLevelType w:val="hybridMultilevel"/>
    <w:tmpl w:val="FF10C3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5" w15:restartNumberingAfterBreak="0">
    <w:nsid w:val="27BA57E3"/>
    <w:multiLevelType w:val="hybridMultilevel"/>
    <w:tmpl w:val="C74A0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C315D4"/>
    <w:multiLevelType w:val="hybridMultilevel"/>
    <w:tmpl w:val="5B041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D73936"/>
    <w:multiLevelType w:val="hybridMultilevel"/>
    <w:tmpl w:val="D644A3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A42C26"/>
    <w:multiLevelType w:val="multilevel"/>
    <w:tmpl w:val="C36A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4730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E96D0F"/>
    <w:multiLevelType w:val="hybridMultilevel"/>
    <w:tmpl w:val="53626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E113E3"/>
    <w:multiLevelType w:val="hybridMultilevel"/>
    <w:tmpl w:val="488CA24E"/>
    <w:lvl w:ilvl="0" w:tplc="04090001">
      <w:start w:val="1"/>
      <w:numFmt w:val="bullet"/>
      <w:lvlText w:val=""/>
      <w:lvlJc w:val="left"/>
      <w:pPr>
        <w:ind w:left="1440" w:hanging="360"/>
      </w:pPr>
      <w:rPr>
        <w:rFonts w:ascii="Symbol" w:hAnsi="Symbol" w:cs="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B057465"/>
    <w:multiLevelType w:val="hybridMultilevel"/>
    <w:tmpl w:val="77C2D0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0567414"/>
    <w:multiLevelType w:val="hybridMultilevel"/>
    <w:tmpl w:val="DC146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017C58"/>
    <w:multiLevelType w:val="hybridMultilevel"/>
    <w:tmpl w:val="1C181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542EBC"/>
    <w:multiLevelType w:val="hybridMultilevel"/>
    <w:tmpl w:val="04C2EE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AE61597"/>
    <w:multiLevelType w:val="hybridMultilevel"/>
    <w:tmpl w:val="F9EC8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DF3229"/>
    <w:multiLevelType w:val="hybridMultilevel"/>
    <w:tmpl w:val="2BD03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D6045"/>
    <w:multiLevelType w:val="hybridMultilevel"/>
    <w:tmpl w:val="1566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40E34"/>
    <w:multiLevelType w:val="hybridMultilevel"/>
    <w:tmpl w:val="245652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5E790B82"/>
    <w:multiLevelType w:val="hybridMultilevel"/>
    <w:tmpl w:val="4B58C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CF6AE7"/>
    <w:multiLevelType w:val="hybridMultilevel"/>
    <w:tmpl w:val="E8326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9F55E1"/>
    <w:multiLevelType w:val="hybridMultilevel"/>
    <w:tmpl w:val="BF54A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A329A"/>
    <w:multiLevelType w:val="hybridMultilevel"/>
    <w:tmpl w:val="00168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17CEE"/>
    <w:multiLevelType w:val="hybridMultilevel"/>
    <w:tmpl w:val="9E3ABA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933871"/>
    <w:multiLevelType w:val="hybridMultilevel"/>
    <w:tmpl w:val="23528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2354A6"/>
    <w:multiLevelType w:val="hybridMultilevel"/>
    <w:tmpl w:val="0E80A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26"/>
  </w:num>
  <w:num w:numId="4">
    <w:abstractNumId w:val="28"/>
  </w:num>
  <w:num w:numId="5">
    <w:abstractNumId w:val="4"/>
  </w:num>
  <w:num w:numId="6">
    <w:abstractNumId w:val="27"/>
  </w:num>
  <w:num w:numId="7">
    <w:abstractNumId w:val="33"/>
  </w:num>
  <w:num w:numId="8">
    <w:abstractNumId w:val="24"/>
  </w:num>
  <w:num w:numId="9">
    <w:abstractNumId w:val="2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0"/>
  </w:num>
  <w:num w:numId="19">
    <w:abstractNumId w:val="34"/>
  </w:num>
  <w:num w:numId="20">
    <w:abstractNumId w:val="19"/>
  </w:num>
  <w:num w:numId="21">
    <w:abstractNumId w:val="32"/>
  </w:num>
  <w:num w:numId="22">
    <w:abstractNumId w:val="1"/>
  </w:num>
  <w:num w:numId="23">
    <w:abstractNumId w:val="18"/>
    <w:lvlOverride w:ilvl="0">
      <w:startOverride w:val="1"/>
    </w:lvlOverride>
  </w:num>
  <w:num w:numId="24">
    <w:abstractNumId w:val="35"/>
  </w:num>
  <w:num w:numId="25">
    <w:abstractNumId w:val="11"/>
  </w:num>
  <w:num w:numId="26">
    <w:abstractNumId w:val="36"/>
  </w:num>
  <w:num w:numId="27">
    <w:abstractNumId w:val="3"/>
  </w:num>
  <w:num w:numId="28">
    <w:abstractNumId w:val="23"/>
  </w:num>
  <w:num w:numId="29">
    <w:abstractNumId w:val="30"/>
  </w:num>
  <w:num w:numId="30">
    <w:abstractNumId w:val="14"/>
  </w:num>
  <w:num w:numId="31">
    <w:abstractNumId w:val="8"/>
  </w:num>
  <w:num w:numId="32">
    <w:abstractNumId w:val="15"/>
  </w:num>
  <w:num w:numId="33">
    <w:abstractNumId w:val="6"/>
  </w:num>
  <w:num w:numId="34">
    <w:abstractNumId w:val="10"/>
  </w:num>
  <w:num w:numId="35">
    <w:abstractNumId w:val="31"/>
  </w:num>
  <w:num w:numId="36">
    <w:abstractNumId w:val="7"/>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A6"/>
    <w:rsid w:val="00000062"/>
    <w:rsid w:val="00035265"/>
    <w:rsid w:val="0004256E"/>
    <w:rsid w:val="000432EA"/>
    <w:rsid w:val="00054D7C"/>
    <w:rsid w:val="00072425"/>
    <w:rsid w:val="00075908"/>
    <w:rsid w:val="00080387"/>
    <w:rsid w:val="00082E85"/>
    <w:rsid w:val="00085C02"/>
    <w:rsid w:val="000931DC"/>
    <w:rsid w:val="000C1016"/>
    <w:rsid w:val="000C1320"/>
    <w:rsid w:val="000E01A8"/>
    <w:rsid w:val="000E08B0"/>
    <w:rsid w:val="000E0CB1"/>
    <w:rsid w:val="000E23BB"/>
    <w:rsid w:val="000E3395"/>
    <w:rsid w:val="00103D86"/>
    <w:rsid w:val="0010605A"/>
    <w:rsid w:val="0011465D"/>
    <w:rsid w:val="001233B9"/>
    <w:rsid w:val="00145220"/>
    <w:rsid w:val="001473BB"/>
    <w:rsid w:val="00147554"/>
    <w:rsid w:val="001477B1"/>
    <w:rsid w:val="0016338E"/>
    <w:rsid w:val="0017045D"/>
    <w:rsid w:val="00171E68"/>
    <w:rsid w:val="001739CF"/>
    <w:rsid w:val="00176DEB"/>
    <w:rsid w:val="00177337"/>
    <w:rsid w:val="001A3E9D"/>
    <w:rsid w:val="001C28A6"/>
    <w:rsid w:val="001D65C5"/>
    <w:rsid w:val="001E6069"/>
    <w:rsid w:val="001F08AA"/>
    <w:rsid w:val="001F44E1"/>
    <w:rsid w:val="001F5FAC"/>
    <w:rsid w:val="00201359"/>
    <w:rsid w:val="00207C95"/>
    <w:rsid w:val="00210078"/>
    <w:rsid w:val="0021404D"/>
    <w:rsid w:val="00216F31"/>
    <w:rsid w:val="00224FB9"/>
    <w:rsid w:val="00232A88"/>
    <w:rsid w:val="002447F3"/>
    <w:rsid w:val="00245CDF"/>
    <w:rsid w:val="00246C7B"/>
    <w:rsid w:val="00247310"/>
    <w:rsid w:val="00263DE5"/>
    <w:rsid w:val="00275020"/>
    <w:rsid w:val="00297B47"/>
    <w:rsid w:val="002A575C"/>
    <w:rsid w:val="002B5225"/>
    <w:rsid w:val="002C67B6"/>
    <w:rsid w:val="002E5DC3"/>
    <w:rsid w:val="002F3B2B"/>
    <w:rsid w:val="00300C5F"/>
    <w:rsid w:val="00322204"/>
    <w:rsid w:val="00326206"/>
    <w:rsid w:val="00347944"/>
    <w:rsid w:val="00347BEC"/>
    <w:rsid w:val="003616D2"/>
    <w:rsid w:val="003729DB"/>
    <w:rsid w:val="003744AF"/>
    <w:rsid w:val="00385698"/>
    <w:rsid w:val="0039113D"/>
    <w:rsid w:val="0039169F"/>
    <w:rsid w:val="00392CC9"/>
    <w:rsid w:val="00393047"/>
    <w:rsid w:val="003935CF"/>
    <w:rsid w:val="003D0F97"/>
    <w:rsid w:val="003E6FCE"/>
    <w:rsid w:val="004011C3"/>
    <w:rsid w:val="00412E1D"/>
    <w:rsid w:val="004135E3"/>
    <w:rsid w:val="004263ED"/>
    <w:rsid w:val="004352C5"/>
    <w:rsid w:val="00441AD5"/>
    <w:rsid w:val="0044366F"/>
    <w:rsid w:val="00491E62"/>
    <w:rsid w:val="004B5E67"/>
    <w:rsid w:val="004C1588"/>
    <w:rsid w:val="004D2CBB"/>
    <w:rsid w:val="004E676A"/>
    <w:rsid w:val="00502C80"/>
    <w:rsid w:val="0050604F"/>
    <w:rsid w:val="00510401"/>
    <w:rsid w:val="005203FF"/>
    <w:rsid w:val="00527368"/>
    <w:rsid w:val="00527BB9"/>
    <w:rsid w:val="00530FEA"/>
    <w:rsid w:val="00532025"/>
    <w:rsid w:val="00537A85"/>
    <w:rsid w:val="005452CD"/>
    <w:rsid w:val="00547FF5"/>
    <w:rsid w:val="005678ED"/>
    <w:rsid w:val="005708D7"/>
    <w:rsid w:val="005742A3"/>
    <w:rsid w:val="00575520"/>
    <w:rsid w:val="00581071"/>
    <w:rsid w:val="00582FC7"/>
    <w:rsid w:val="005959D2"/>
    <w:rsid w:val="005A0C15"/>
    <w:rsid w:val="005B5D81"/>
    <w:rsid w:val="005C7727"/>
    <w:rsid w:val="005D3723"/>
    <w:rsid w:val="005F01C4"/>
    <w:rsid w:val="005F02FE"/>
    <w:rsid w:val="005F4FB4"/>
    <w:rsid w:val="00602D11"/>
    <w:rsid w:val="0060746B"/>
    <w:rsid w:val="0061705C"/>
    <w:rsid w:val="006238E6"/>
    <w:rsid w:val="00626662"/>
    <w:rsid w:val="00634E3F"/>
    <w:rsid w:val="006453C5"/>
    <w:rsid w:val="00646BF4"/>
    <w:rsid w:val="00662565"/>
    <w:rsid w:val="0066733F"/>
    <w:rsid w:val="00671282"/>
    <w:rsid w:val="00683669"/>
    <w:rsid w:val="00687C16"/>
    <w:rsid w:val="00697645"/>
    <w:rsid w:val="006B339C"/>
    <w:rsid w:val="006D0ACE"/>
    <w:rsid w:val="006D2547"/>
    <w:rsid w:val="006E0C32"/>
    <w:rsid w:val="006E1B81"/>
    <w:rsid w:val="006E4C9A"/>
    <w:rsid w:val="006F5003"/>
    <w:rsid w:val="00717F62"/>
    <w:rsid w:val="00720E14"/>
    <w:rsid w:val="007241EC"/>
    <w:rsid w:val="00726C81"/>
    <w:rsid w:val="007313B5"/>
    <w:rsid w:val="00746DC4"/>
    <w:rsid w:val="007472F2"/>
    <w:rsid w:val="00747ACD"/>
    <w:rsid w:val="007547DF"/>
    <w:rsid w:val="00774224"/>
    <w:rsid w:val="00780A88"/>
    <w:rsid w:val="00793271"/>
    <w:rsid w:val="007A0F1E"/>
    <w:rsid w:val="007A1AB8"/>
    <w:rsid w:val="007A3553"/>
    <w:rsid w:val="007C0B4B"/>
    <w:rsid w:val="007D5135"/>
    <w:rsid w:val="007D7065"/>
    <w:rsid w:val="007E1263"/>
    <w:rsid w:val="007E27E2"/>
    <w:rsid w:val="007F4147"/>
    <w:rsid w:val="00812202"/>
    <w:rsid w:val="00815E01"/>
    <w:rsid w:val="00821B07"/>
    <w:rsid w:val="00822406"/>
    <w:rsid w:val="00825BA5"/>
    <w:rsid w:val="00840FDB"/>
    <w:rsid w:val="00852D14"/>
    <w:rsid w:val="0085749F"/>
    <w:rsid w:val="0087313D"/>
    <w:rsid w:val="0087522F"/>
    <w:rsid w:val="00881B61"/>
    <w:rsid w:val="00885005"/>
    <w:rsid w:val="00897939"/>
    <w:rsid w:val="008C6784"/>
    <w:rsid w:val="008F53B5"/>
    <w:rsid w:val="008F68A7"/>
    <w:rsid w:val="00902FBD"/>
    <w:rsid w:val="009304B1"/>
    <w:rsid w:val="00933424"/>
    <w:rsid w:val="009339D8"/>
    <w:rsid w:val="0094016C"/>
    <w:rsid w:val="00941603"/>
    <w:rsid w:val="00943ED0"/>
    <w:rsid w:val="0095381F"/>
    <w:rsid w:val="00957D1D"/>
    <w:rsid w:val="009613EE"/>
    <w:rsid w:val="00961970"/>
    <w:rsid w:val="00961EA9"/>
    <w:rsid w:val="0097033C"/>
    <w:rsid w:val="009809A3"/>
    <w:rsid w:val="009813AE"/>
    <w:rsid w:val="0098313D"/>
    <w:rsid w:val="00983768"/>
    <w:rsid w:val="00990B2A"/>
    <w:rsid w:val="009A2AF8"/>
    <w:rsid w:val="009C3C1A"/>
    <w:rsid w:val="009D31DA"/>
    <w:rsid w:val="009E0DCC"/>
    <w:rsid w:val="009E6847"/>
    <w:rsid w:val="00A05C9A"/>
    <w:rsid w:val="00A11A59"/>
    <w:rsid w:val="00A20E20"/>
    <w:rsid w:val="00A21486"/>
    <w:rsid w:val="00A37001"/>
    <w:rsid w:val="00A42FE8"/>
    <w:rsid w:val="00A60FBE"/>
    <w:rsid w:val="00A61069"/>
    <w:rsid w:val="00A63E9D"/>
    <w:rsid w:val="00A64BB7"/>
    <w:rsid w:val="00A73FDB"/>
    <w:rsid w:val="00A76CD2"/>
    <w:rsid w:val="00AA48EA"/>
    <w:rsid w:val="00AC2B6B"/>
    <w:rsid w:val="00AD5A91"/>
    <w:rsid w:val="00AE6259"/>
    <w:rsid w:val="00B43761"/>
    <w:rsid w:val="00B700A2"/>
    <w:rsid w:val="00B80D03"/>
    <w:rsid w:val="00B82A91"/>
    <w:rsid w:val="00B83AFC"/>
    <w:rsid w:val="00B846EE"/>
    <w:rsid w:val="00B91F87"/>
    <w:rsid w:val="00B93593"/>
    <w:rsid w:val="00BA33D3"/>
    <w:rsid w:val="00BB358F"/>
    <w:rsid w:val="00BB5B49"/>
    <w:rsid w:val="00BB6EB8"/>
    <w:rsid w:val="00BC3141"/>
    <w:rsid w:val="00BD5982"/>
    <w:rsid w:val="00BD5B8D"/>
    <w:rsid w:val="00BF3E4B"/>
    <w:rsid w:val="00C13E17"/>
    <w:rsid w:val="00C14D7F"/>
    <w:rsid w:val="00C21523"/>
    <w:rsid w:val="00C64C7A"/>
    <w:rsid w:val="00C721FB"/>
    <w:rsid w:val="00C76D65"/>
    <w:rsid w:val="00CB0E97"/>
    <w:rsid w:val="00CC0CFE"/>
    <w:rsid w:val="00D104F6"/>
    <w:rsid w:val="00D31662"/>
    <w:rsid w:val="00D353A4"/>
    <w:rsid w:val="00D42F0F"/>
    <w:rsid w:val="00D448BD"/>
    <w:rsid w:val="00D475E4"/>
    <w:rsid w:val="00D57E2C"/>
    <w:rsid w:val="00D711D3"/>
    <w:rsid w:val="00D8171E"/>
    <w:rsid w:val="00D8753C"/>
    <w:rsid w:val="00D95650"/>
    <w:rsid w:val="00D97F15"/>
    <w:rsid w:val="00DA0358"/>
    <w:rsid w:val="00DC78E2"/>
    <w:rsid w:val="00DF097F"/>
    <w:rsid w:val="00DF68AC"/>
    <w:rsid w:val="00E00354"/>
    <w:rsid w:val="00E04A0E"/>
    <w:rsid w:val="00E04C33"/>
    <w:rsid w:val="00E15AF8"/>
    <w:rsid w:val="00E171F0"/>
    <w:rsid w:val="00E57ACF"/>
    <w:rsid w:val="00E638DF"/>
    <w:rsid w:val="00E97204"/>
    <w:rsid w:val="00EA10EF"/>
    <w:rsid w:val="00EA43B2"/>
    <w:rsid w:val="00EB3D99"/>
    <w:rsid w:val="00EC393A"/>
    <w:rsid w:val="00ED05FC"/>
    <w:rsid w:val="00ED0A97"/>
    <w:rsid w:val="00ED241F"/>
    <w:rsid w:val="00EE7919"/>
    <w:rsid w:val="00EF57F2"/>
    <w:rsid w:val="00EF6828"/>
    <w:rsid w:val="00F01E65"/>
    <w:rsid w:val="00F1697A"/>
    <w:rsid w:val="00F324F7"/>
    <w:rsid w:val="00F45E29"/>
    <w:rsid w:val="00F47087"/>
    <w:rsid w:val="00F50FC3"/>
    <w:rsid w:val="00F77951"/>
    <w:rsid w:val="00F86259"/>
    <w:rsid w:val="00F87CBB"/>
    <w:rsid w:val="00FA1E97"/>
    <w:rsid w:val="00FB0EC0"/>
    <w:rsid w:val="00FC5561"/>
    <w:rsid w:val="00FD11D7"/>
    <w:rsid w:val="00FD2187"/>
    <w:rsid w:val="00FE0CE7"/>
    <w:rsid w:val="00FE25F3"/>
    <w:rsid w:val="00FE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F6AC0"/>
  <w15:docId w15:val="{E56AACCD-4DDB-4F93-BB7A-C07C82AD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220"/>
  </w:style>
  <w:style w:type="paragraph" w:styleId="Heading1">
    <w:name w:val="heading 1"/>
    <w:basedOn w:val="Normal"/>
    <w:next w:val="Normal"/>
    <w:link w:val="Heading1Char"/>
    <w:uiPriority w:val="9"/>
    <w:qFormat/>
    <w:rsid w:val="000E0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3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5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527B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27B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7B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8A6"/>
  </w:style>
  <w:style w:type="paragraph" w:styleId="Footer">
    <w:name w:val="footer"/>
    <w:basedOn w:val="Normal"/>
    <w:link w:val="FooterChar"/>
    <w:uiPriority w:val="99"/>
    <w:unhideWhenUsed/>
    <w:rsid w:val="001C2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8A6"/>
  </w:style>
  <w:style w:type="paragraph" w:styleId="BalloonText">
    <w:name w:val="Balloon Text"/>
    <w:basedOn w:val="Normal"/>
    <w:link w:val="BalloonTextChar"/>
    <w:uiPriority w:val="99"/>
    <w:semiHidden/>
    <w:unhideWhenUsed/>
    <w:rsid w:val="001C2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8A6"/>
    <w:rPr>
      <w:rFonts w:ascii="Tahoma" w:hAnsi="Tahoma" w:cs="Tahoma"/>
      <w:sz w:val="16"/>
      <w:szCs w:val="16"/>
    </w:rPr>
  </w:style>
  <w:style w:type="character" w:customStyle="1" w:styleId="Heading1Char">
    <w:name w:val="Heading 1 Char"/>
    <w:basedOn w:val="DefaultParagraphFont"/>
    <w:link w:val="Heading1"/>
    <w:uiPriority w:val="9"/>
    <w:rsid w:val="000E01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3553"/>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7BB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27B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7BB9"/>
    <w:rPr>
      <w:rFonts w:asciiTheme="majorHAnsi" w:eastAsiaTheme="majorEastAsia" w:hAnsiTheme="majorHAnsi" w:cstheme="majorBidi"/>
      <w:color w:val="404040" w:themeColor="text1" w:themeTint="BF"/>
      <w:sz w:val="20"/>
      <w:szCs w:val="20"/>
    </w:rPr>
  </w:style>
  <w:style w:type="paragraph" w:styleId="NoSpacing">
    <w:name w:val="No Spacing"/>
    <w:uiPriority w:val="1"/>
    <w:qFormat/>
    <w:rsid w:val="00E15AF8"/>
    <w:pPr>
      <w:spacing w:after="0" w:line="240" w:lineRule="auto"/>
    </w:pPr>
  </w:style>
  <w:style w:type="table" w:styleId="TableGrid">
    <w:name w:val="Table Grid"/>
    <w:basedOn w:val="TableNormal"/>
    <w:uiPriority w:val="39"/>
    <w:rsid w:val="00697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97645"/>
    <w:pPr>
      <w:ind w:left="720"/>
      <w:contextualSpacing/>
    </w:pPr>
  </w:style>
  <w:style w:type="character" w:customStyle="1" w:styleId="Heading3Char">
    <w:name w:val="Heading 3 Char"/>
    <w:basedOn w:val="DefaultParagraphFont"/>
    <w:link w:val="Heading3"/>
    <w:uiPriority w:val="9"/>
    <w:rsid w:val="00145220"/>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5F01C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F01C4"/>
    <w:rPr>
      <w:rFonts w:ascii="Arial" w:eastAsia="Arial" w:hAnsi="Arial" w:cs="Arial"/>
    </w:rPr>
  </w:style>
  <w:style w:type="character" w:styleId="Emphasis">
    <w:name w:val="Emphasis"/>
    <w:basedOn w:val="DefaultParagraphFont"/>
    <w:uiPriority w:val="20"/>
    <w:qFormat/>
    <w:rsid w:val="005F0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4387">
      <w:bodyDiv w:val="1"/>
      <w:marLeft w:val="0"/>
      <w:marRight w:val="0"/>
      <w:marTop w:val="0"/>
      <w:marBottom w:val="0"/>
      <w:divBdr>
        <w:top w:val="none" w:sz="0" w:space="0" w:color="auto"/>
        <w:left w:val="none" w:sz="0" w:space="0" w:color="auto"/>
        <w:bottom w:val="none" w:sz="0" w:space="0" w:color="auto"/>
        <w:right w:val="none" w:sz="0" w:space="0" w:color="auto"/>
      </w:divBdr>
    </w:div>
    <w:div w:id="423035111">
      <w:bodyDiv w:val="1"/>
      <w:marLeft w:val="0"/>
      <w:marRight w:val="0"/>
      <w:marTop w:val="0"/>
      <w:marBottom w:val="0"/>
      <w:divBdr>
        <w:top w:val="none" w:sz="0" w:space="0" w:color="auto"/>
        <w:left w:val="none" w:sz="0" w:space="0" w:color="auto"/>
        <w:bottom w:val="none" w:sz="0" w:space="0" w:color="auto"/>
        <w:right w:val="none" w:sz="0" w:space="0" w:color="auto"/>
      </w:divBdr>
      <w:divsChild>
        <w:div w:id="212814257">
          <w:marLeft w:val="0"/>
          <w:marRight w:val="0"/>
          <w:marTop w:val="0"/>
          <w:marBottom w:val="0"/>
          <w:divBdr>
            <w:top w:val="none" w:sz="0" w:space="0" w:color="auto"/>
            <w:left w:val="none" w:sz="0" w:space="0" w:color="auto"/>
            <w:bottom w:val="none" w:sz="0" w:space="0" w:color="auto"/>
            <w:right w:val="none" w:sz="0" w:space="0" w:color="auto"/>
          </w:divBdr>
        </w:div>
      </w:divsChild>
    </w:div>
    <w:div w:id="427314339">
      <w:bodyDiv w:val="1"/>
      <w:marLeft w:val="0"/>
      <w:marRight w:val="0"/>
      <w:marTop w:val="0"/>
      <w:marBottom w:val="0"/>
      <w:divBdr>
        <w:top w:val="none" w:sz="0" w:space="0" w:color="auto"/>
        <w:left w:val="none" w:sz="0" w:space="0" w:color="auto"/>
        <w:bottom w:val="none" w:sz="0" w:space="0" w:color="auto"/>
        <w:right w:val="none" w:sz="0" w:space="0" w:color="auto"/>
      </w:divBdr>
    </w:div>
    <w:div w:id="693114716">
      <w:bodyDiv w:val="1"/>
      <w:marLeft w:val="0"/>
      <w:marRight w:val="0"/>
      <w:marTop w:val="0"/>
      <w:marBottom w:val="0"/>
      <w:divBdr>
        <w:top w:val="none" w:sz="0" w:space="0" w:color="auto"/>
        <w:left w:val="none" w:sz="0" w:space="0" w:color="auto"/>
        <w:bottom w:val="none" w:sz="0" w:space="0" w:color="auto"/>
        <w:right w:val="none" w:sz="0" w:space="0" w:color="auto"/>
      </w:divBdr>
    </w:div>
    <w:div w:id="20394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Kitsap County</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dbear</dc:creator>
  <cp:lastModifiedBy>Christopher Sheridan</cp:lastModifiedBy>
  <cp:revision>17</cp:revision>
  <cp:lastPrinted>2021-03-10T21:51:00Z</cp:lastPrinted>
  <dcterms:created xsi:type="dcterms:W3CDTF">2021-03-12T16:13:00Z</dcterms:created>
  <dcterms:modified xsi:type="dcterms:W3CDTF">2021-03-12T21:59:00Z</dcterms:modified>
</cp:coreProperties>
</file>