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C5EF" w14:textId="77777777" w:rsidR="0021480A" w:rsidRPr="00A172D7" w:rsidRDefault="0021480A" w:rsidP="00AB64B3">
      <w:pPr>
        <w:spacing w:after="0"/>
      </w:pPr>
      <w:r w:rsidRPr="00A172D7">
        <w:t>LOTT Clean Water Alliance</w:t>
      </w:r>
    </w:p>
    <w:p w14:paraId="238C1D54" w14:textId="77777777" w:rsidR="0021480A" w:rsidRPr="00A172D7" w:rsidRDefault="0021480A" w:rsidP="00AB64B3">
      <w:pPr>
        <w:spacing w:after="0"/>
      </w:pPr>
      <w:r w:rsidRPr="00A172D7">
        <w:t>500 Adams St. NE</w:t>
      </w:r>
    </w:p>
    <w:p w14:paraId="27E6ED38" w14:textId="77777777" w:rsidR="0021480A" w:rsidRPr="00A172D7" w:rsidRDefault="0021480A" w:rsidP="00AB64B3">
      <w:pPr>
        <w:spacing w:after="0"/>
      </w:pPr>
      <w:r w:rsidRPr="00A172D7">
        <w:t>Olympia, WA 98501</w:t>
      </w:r>
    </w:p>
    <w:p w14:paraId="204935D0" w14:textId="482528BD" w:rsidR="0021480A" w:rsidRPr="00A172D7" w:rsidRDefault="0021480A" w:rsidP="00AB64B3">
      <w:pPr>
        <w:spacing w:after="0"/>
      </w:pPr>
    </w:p>
    <w:p w14:paraId="234B4511" w14:textId="5498ABCE" w:rsidR="0021480A" w:rsidRPr="00A172D7" w:rsidRDefault="0021480A" w:rsidP="00AB64B3">
      <w:pPr>
        <w:spacing w:after="0"/>
      </w:pPr>
      <w:r w:rsidRPr="00A172D7">
        <w:t>March 15, 2021</w:t>
      </w:r>
    </w:p>
    <w:p w14:paraId="0003F32E" w14:textId="1D1CFEF2" w:rsidR="00A172D7" w:rsidRPr="00A172D7" w:rsidRDefault="00A172D7" w:rsidP="00AB64B3">
      <w:pPr>
        <w:spacing w:after="0"/>
      </w:pPr>
    </w:p>
    <w:p w14:paraId="57C4C2F2" w14:textId="562597F0" w:rsidR="00A172D7" w:rsidRPr="00A172D7" w:rsidRDefault="00A172D7" w:rsidP="00AB64B3">
      <w:pPr>
        <w:spacing w:after="0"/>
      </w:pPr>
      <w:r w:rsidRPr="00A172D7">
        <w:t>Eleanor Ott</w:t>
      </w:r>
      <w:r w:rsidR="00F4604B">
        <w:t>, P.E.</w:t>
      </w:r>
    </w:p>
    <w:p w14:paraId="265DBFA3" w14:textId="77777777" w:rsidR="00A172D7" w:rsidRDefault="00A172D7" w:rsidP="00AB64B3">
      <w:pPr>
        <w:spacing w:after="0"/>
      </w:pPr>
      <w:r>
        <w:t>Water Quality Program</w:t>
      </w:r>
    </w:p>
    <w:p w14:paraId="7C6D404F" w14:textId="5F0D9018" w:rsidR="00A172D7" w:rsidRPr="00A172D7" w:rsidRDefault="00A172D7" w:rsidP="00AB64B3">
      <w:pPr>
        <w:spacing w:after="0"/>
      </w:pPr>
      <w:r w:rsidRPr="00A172D7">
        <w:t>Washington State Department of Ecology</w:t>
      </w:r>
    </w:p>
    <w:p w14:paraId="2F5F8E7C" w14:textId="77777777" w:rsidR="00A172D7" w:rsidRPr="00A172D7" w:rsidRDefault="00A172D7" w:rsidP="00AB64B3">
      <w:pPr>
        <w:spacing w:after="0"/>
      </w:pPr>
      <w:r w:rsidRPr="00A172D7">
        <w:t>P.O. Box 47600</w:t>
      </w:r>
    </w:p>
    <w:p w14:paraId="11186A95" w14:textId="550CC06A" w:rsidR="00A172D7" w:rsidRPr="00A172D7" w:rsidRDefault="00A172D7" w:rsidP="00AB64B3">
      <w:pPr>
        <w:spacing w:after="0"/>
      </w:pPr>
      <w:r w:rsidRPr="00A172D7">
        <w:t>Olympia, WA 98504-7600</w:t>
      </w:r>
    </w:p>
    <w:p w14:paraId="797DC106" w14:textId="77777777" w:rsidR="0021480A" w:rsidRPr="00A172D7" w:rsidRDefault="0021480A" w:rsidP="00AB64B3">
      <w:pPr>
        <w:spacing w:after="0"/>
      </w:pPr>
    </w:p>
    <w:p w14:paraId="4723E556" w14:textId="47943E0B" w:rsidR="00D52BDE" w:rsidRPr="00A172D7" w:rsidRDefault="00A172D7" w:rsidP="00AB64B3">
      <w:pPr>
        <w:spacing w:after="0"/>
      </w:pPr>
      <w:r w:rsidRPr="00A172D7">
        <w:t xml:space="preserve">RE: </w:t>
      </w:r>
      <w:r w:rsidR="00D52BDE" w:rsidRPr="00A172D7">
        <w:t>Comments on the Preliminary Puget Sound Nutrient General Permit</w:t>
      </w:r>
    </w:p>
    <w:p w14:paraId="3CC124FA" w14:textId="75661B30" w:rsidR="00AB64B3" w:rsidRPr="00A172D7" w:rsidRDefault="00AB64B3" w:rsidP="00AB64B3">
      <w:pPr>
        <w:spacing w:after="0"/>
      </w:pPr>
      <w:r w:rsidRPr="00A172D7">
        <w:t>LOTT Clean Water Alliance</w:t>
      </w:r>
    </w:p>
    <w:p w14:paraId="7BEB2AF8" w14:textId="653E88A2" w:rsidR="00D52BDE" w:rsidRDefault="00D52BDE" w:rsidP="00AB64B3">
      <w:pPr>
        <w:spacing w:after="0"/>
      </w:pPr>
    </w:p>
    <w:p w14:paraId="2B0C9ECC" w14:textId="77777777" w:rsidR="00A172D7" w:rsidRPr="00A172D7" w:rsidRDefault="00A172D7" w:rsidP="00AB64B3">
      <w:pPr>
        <w:spacing w:after="0"/>
      </w:pPr>
    </w:p>
    <w:p w14:paraId="2FE57F1D" w14:textId="77777777" w:rsidR="00A172D7" w:rsidRDefault="00A172D7" w:rsidP="0072290B">
      <w:r>
        <w:t xml:space="preserve">Dear Ms. Ott, </w:t>
      </w:r>
    </w:p>
    <w:p w14:paraId="511E4D95" w14:textId="7A6D6173" w:rsidR="00CB2148" w:rsidRDefault="0072290B" w:rsidP="0072290B">
      <w:r w:rsidRPr="00A172D7">
        <w:t>LOTT has been providing nutrient removal for 26 years at the Budd Inlet Treatment Plant.</w:t>
      </w:r>
      <w:r w:rsidR="00CB2148" w:rsidRPr="00A172D7">
        <w:t xml:space="preserve"> We are one of the few Puget Sound plants subject to stringent </w:t>
      </w:r>
      <w:r w:rsidR="00CB2148">
        <w:t>discharge permit limits for nutrients.</w:t>
      </w:r>
      <w:r>
        <w:t xml:space="preserve"> </w:t>
      </w:r>
      <w:r w:rsidR="00CB2148">
        <w:t>We are also subject to an active TMDL that indicates 20% of the dissolved oxygen impairment to our receiving waters is from wastewater discharges and non-point sources north of Budd Inlet. LOTT is encouraged that the proposed Puget Sound Nutrient General Permit provides a pathway t</w:t>
      </w:r>
      <w:r w:rsidR="007B27C2">
        <w:t xml:space="preserve">o reduce </w:t>
      </w:r>
      <w:r w:rsidR="00CB2148">
        <w:t>a portion of th</w:t>
      </w:r>
      <w:r w:rsidR="007B27C2">
        <w:t>is</w:t>
      </w:r>
      <w:r w:rsidR="00CB2148">
        <w:t xml:space="preserve"> nutrient loading.</w:t>
      </w:r>
    </w:p>
    <w:p w14:paraId="39D8097B" w14:textId="17150F9A" w:rsidR="0072290B" w:rsidRDefault="00CB2148" w:rsidP="0072290B">
      <w:r>
        <w:t xml:space="preserve">LOTT upgraded </w:t>
      </w:r>
      <w:r w:rsidR="007B27C2">
        <w:t>its</w:t>
      </w:r>
      <w:r>
        <w:t xml:space="preserve"> secondary treatment plant in the early 1990s to meet </w:t>
      </w:r>
      <w:r w:rsidR="00505152">
        <w:t>nutrient removal</w:t>
      </w:r>
      <w:r>
        <w:t xml:space="preserve"> requirements. The </w:t>
      </w:r>
      <w:r w:rsidR="005225C0">
        <w:t>upgrade involved</w:t>
      </w:r>
      <w:r w:rsidR="00505152">
        <w:t xml:space="preserve"> new treatment basins</w:t>
      </w:r>
      <w:r w:rsidR="005225C0">
        <w:t>/tankage</w:t>
      </w:r>
      <w:r w:rsidR="00505152">
        <w:t xml:space="preserve"> to provide </w:t>
      </w:r>
      <w:r w:rsidR="00D61580">
        <w:t xml:space="preserve">aeration and </w:t>
      </w:r>
      <w:r w:rsidR="00505152">
        <w:t xml:space="preserve">anoxic zones and piping to recycle treated wastewater </w:t>
      </w:r>
      <w:r w:rsidR="00D61580">
        <w:t>through the</w:t>
      </w:r>
      <w:r w:rsidR="00505152">
        <w:t xml:space="preserve"> zones</w:t>
      </w:r>
      <w:r w:rsidR="00D61580">
        <w:t xml:space="preserve"> repeatedly</w:t>
      </w:r>
      <w:r w:rsidR="00505152">
        <w:t>. Th</w:t>
      </w:r>
      <w:r w:rsidR="00D61580">
        <w:t xml:space="preserve">e upgrade cost </w:t>
      </w:r>
      <w:r w:rsidR="00434F59">
        <w:t xml:space="preserve">over </w:t>
      </w:r>
      <w:r w:rsidR="00D61580">
        <w:t xml:space="preserve">$30 million </w:t>
      </w:r>
      <w:r w:rsidR="005225C0">
        <w:t>at the time</w:t>
      </w:r>
      <w:r w:rsidR="00D61580">
        <w:t xml:space="preserve">. Once the system </w:t>
      </w:r>
      <w:proofErr w:type="gramStart"/>
      <w:r w:rsidR="00D61580">
        <w:t>was built</w:t>
      </w:r>
      <w:proofErr w:type="gramEnd"/>
      <w:r w:rsidR="00D61580">
        <w:t>,</w:t>
      </w:r>
      <w:r w:rsidR="00505152">
        <w:t xml:space="preserve"> </w:t>
      </w:r>
      <w:r w:rsidR="00D61580">
        <w:t xml:space="preserve">LOTT </w:t>
      </w:r>
      <w:r w:rsidR="00505152">
        <w:t xml:space="preserve">began to optimize the process, taking advantage of some of the </w:t>
      </w:r>
      <w:r w:rsidR="005225C0">
        <w:t xml:space="preserve">actions </w:t>
      </w:r>
      <w:r w:rsidR="00505152">
        <w:t xml:space="preserve">listed in Tier 1 and Tier 2. </w:t>
      </w:r>
      <w:r w:rsidR="00D61580">
        <w:t xml:space="preserve">LOTT has just begun an ambitious upgrade of the nutrient removal system </w:t>
      </w:r>
      <w:proofErr w:type="gramStart"/>
      <w:r w:rsidR="005225C0">
        <w:t>to</w:t>
      </w:r>
      <w:r w:rsidR="00D61580">
        <w:t xml:space="preserve"> further optimize</w:t>
      </w:r>
      <w:proofErr w:type="gramEnd"/>
      <w:r w:rsidR="00D61580">
        <w:t xml:space="preserve"> the process. </w:t>
      </w:r>
      <w:r w:rsidR="007B27C2">
        <w:t>Construction of t</w:t>
      </w:r>
      <w:r w:rsidR="00D61580">
        <w:t>he current project will cost about $2</w:t>
      </w:r>
      <w:r w:rsidR="007B27C2">
        <w:t>9</w:t>
      </w:r>
      <w:r w:rsidR="00D61580">
        <w:t xml:space="preserve"> million.</w:t>
      </w:r>
      <w:r w:rsidR="005225C0">
        <w:t xml:space="preserve"> </w:t>
      </w:r>
      <w:r w:rsidR="007B27C2">
        <w:t>LOTT ratepayers’</w:t>
      </w:r>
      <w:r w:rsidR="005225C0">
        <w:t xml:space="preserve"> investment</w:t>
      </w:r>
      <w:r w:rsidR="007B27C2">
        <w:t>s</w:t>
      </w:r>
      <w:r w:rsidR="005225C0">
        <w:t xml:space="preserve"> in nutrient removal ha</w:t>
      </w:r>
      <w:r w:rsidR="007B27C2">
        <w:t>ve</w:t>
      </w:r>
      <w:r w:rsidR="005225C0">
        <w:t xml:space="preserve"> been substantial.</w:t>
      </w:r>
    </w:p>
    <w:p w14:paraId="3BBCB07B" w14:textId="2A0E0660" w:rsidR="00513AF9" w:rsidRDefault="007B27C2" w:rsidP="005225C0">
      <w:r>
        <w:t xml:space="preserve">Thank you for the opportunity to provide comments on the preliminary draft nutrients permit. </w:t>
      </w:r>
      <w:r w:rsidR="00D61580">
        <w:t xml:space="preserve">LOTT’s </w:t>
      </w:r>
      <w:r w:rsidR="005225C0">
        <w:t xml:space="preserve">comments </w:t>
      </w:r>
      <w:proofErr w:type="gramStart"/>
      <w:r w:rsidR="005225C0">
        <w:t>are presented</w:t>
      </w:r>
      <w:proofErr w:type="gramEnd"/>
      <w:r w:rsidR="005225C0">
        <w:t xml:space="preserve"> below.</w:t>
      </w:r>
    </w:p>
    <w:p w14:paraId="3F79C044" w14:textId="2C56A122" w:rsidR="00FF243A" w:rsidRDefault="00FF243A" w:rsidP="00FF243A">
      <w:pPr>
        <w:pStyle w:val="ListParagraph"/>
        <w:numPr>
          <w:ilvl w:val="0"/>
          <w:numId w:val="1"/>
        </w:numPr>
      </w:pPr>
      <w:r>
        <w:t xml:space="preserve">LOTT requests </w:t>
      </w:r>
      <w:r w:rsidR="005225C0">
        <w:t xml:space="preserve">treatment plants </w:t>
      </w:r>
      <w:r>
        <w:t>that discharge less than 10 mg/L</w:t>
      </w:r>
      <w:r w:rsidRPr="00FF243A">
        <w:t xml:space="preserve"> </w:t>
      </w:r>
      <w:r>
        <w:t xml:space="preserve">AND </w:t>
      </w:r>
      <w:r w:rsidRPr="00FF243A">
        <w:t xml:space="preserve">that stay under </w:t>
      </w:r>
      <w:r>
        <w:t>the A</w:t>
      </w:r>
      <w:r w:rsidR="007B27C2">
        <w:t>L</w:t>
      </w:r>
      <w:r w:rsidRPr="00FF243A">
        <w:rPr>
          <w:vertAlign w:val="subscript"/>
        </w:rPr>
        <w:t>0</w:t>
      </w:r>
      <w:r>
        <w:t xml:space="preserve"> t</w:t>
      </w:r>
      <w:r w:rsidRPr="00FF243A">
        <w:t>hreshold</w:t>
      </w:r>
      <w:r>
        <w:t xml:space="preserve"> be exempt from </w:t>
      </w:r>
      <w:r w:rsidRPr="00FF243A">
        <w:t xml:space="preserve">optimization </w:t>
      </w:r>
      <w:r>
        <w:t xml:space="preserve">requirements and from the </w:t>
      </w:r>
      <w:r w:rsidRPr="00FF243A">
        <w:t xml:space="preserve">annual </w:t>
      </w:r>
      <w:r>
        <w:t xml:space="preserve">optimization </w:t>
      </w:r>
      <w:r w:rsidRPr="00FF243A">
        <w:t xml:space="preserve">report </w:t>
      </w:r>
      <w:r>
        <w:t xml:space="preserve">requirement. </w:t>
      </w:r>
      <w:r w:rsidR="00AA451C">
        <w:t xml:space="preserve">The rationale/benefit of </w:t>
      </w:r>
      <w:r w:rsidR="00231994">
        <w:t>requiring optimization and an optimization report from</w:t>
      </w:r>
      <w:r w:rsidR="00AA451C">
        <w:t xml:space="preserve"> that category of </w:t>
      </w:r>
      <w:r w:rsidR="001907F1">
        <w:t>dischargers</w:t>
      </w:r>
      <w:r w:rsidR="00AA451C">
        <w:t xml:space="preserve"> is not clear, and </w:t>
      </w:r>
      <w:r w:rsidR="00231994">
        <w:t xml:space="preserve">would be </w:t>
      </w:r>
      <w:r>
        <w:t>burdensome</w:t>
      </w:r>
      <w:r w:rsidR="00AA451C">
        <w:t xml:space="preserve">. It </w:t>
      </w:r>
      <w:r w:rsidR="00231994">
        <w:t xml:space="preserve">would </w:t>
      </w:r>
      <w:r w:rsidR="00AA451C">
        <w:t xml:space="preserve">also </w:t>
      </w:r>
      <w:r w:rsidR="00231994">
        <w:t>be</w:t>
      </w:r>
      <w:r w:rsidR="0075751A">
        <w:t xml:space="preserve"> burden</w:t>
      </w:r>
      <w:r w:rsidR="00231994">
        <w:t>some to</w:t>
      </w:r>
      <w:r>
        <w:t xml:space="preserve"> Ecology</w:t>
      </w:r>
      <w:r w:rsidR="00231994">
        <w:t xml:space="preserve">, who would have </w:t>
      </w:r>
      <w:r w:rsidR="0075751A">
        <w:t xml:space="preserve">to </w:t>
      </w:r>
      <w:r>
        <w:t xml:space="preserve">spend limited resources </w:t>
      </w:r>
      <w:r w:rsidR="00231994">
        <w:t xml:space="preserve">tracking and reviewing reports </w:t>
      </w:r>
      <w:r>
        <w:t xml:space="preserve">for plants that are meeting </w:t>
      </w:r>
      <w:r w:rsidR="00AA451C">
        <w:t>expectations for nutrient reduction</w:t>
      </w:r>
      <w:r>
        <w:t>. It should also be noted that plants like LOTT that already have nutrient removal processes are actively optimizing 24/7</w:t>
      </w:r>
      <w:r w:rsidR="0075751A">
        <w:t xml:space="preserve"> – d</w:t>
      </w:r>
      <w:r>
        <w:t xml:space="preserve">ocumenting those many daily steps appears unnecessary and unproductive. </w:t>
      </w:r>
      <w:r w:rsidR="00AA451C">
        <w:t>An exemption</w:t>
      </w:r>
      <w:r w:rsidR="0075751A">
        <w:t xml:space="preserve"> would make the steps outlined in the Appendix </w:t>
      </w:r>
      <w:proofErr w:type="gramStart"/>
      <w:r w:rsidR="0075751A">
        <w:t>A</w:t>
      </w:r>
      <w:proofErr w:type="gramEnd"/>
      <w:r w:rsidR="0075751A">
        <w:t xml:space="preserve"> Action Level Flow Chart more equitable. Currently, the chart does not acknowledge a scenario in which plants that discharge less than 10 </w:t>
      </w:r>
      <w:proofErr w:type="gramStart"/>
      <w:r w:rsidR="0075751A">
        <w:lastRenderedPageBreak/>
        <w:t>mg/L</w:t>
      </w:r>
      <w:proofErr w:type="gramEnd"/>
      <w:r w:rsidR="0075751A">
        <w:t xml:space="preserve"> also stay under A</w:t>
      </w:r>
      <w:r w:rsidR="00AA451C">
        <w:t>L</w:t>
      </w:r>
      <w:r w:rsidR="0075751A" w:rsidRPr="0075751A">
        <w:rPr>
          <w:vertAlign w:val="subscript"/>
        </w:rPr>
        <w:t>0</w:t>
      </w:r>
      <w:r w:rsidR="0075751A">
        <w:t xml:space="preserve">. That level of performance </w:t>
      </w:r>
      <w:proofErr w:type="gramStart"/>
      <w:r w:rsidR="0075751A">
        <w:t>should be recognized</w:t>
      </w:r>
      <w:proofErr w:type="gramEnd"/>
      <w:r w:rsidR="0075751A">
        <w:t xml:space="preserve"> by reducing optimization requirements.</w:t>
      </w:r>
    </w:p>
    <w:p w14:paraId="5E33721E" w14:textId="6791918C" w:rsidR="00840BBA" w:rsidRDefault="00840BBA" w:rsidP="00513AF9">
      <w:pPr>
        <w:pStyle w:val="ListParagraph"/>
        <w:numPr>
          <w:ilvl w:val="0"/>
          <w:numId w:val="1"/>
        </w:numPr>
      </w:pPr>
      <w:r>
        <w:t xml:space="preserve">LOTT is concerned about the cost and staff time implications of the dual monitoring and reporting requirements. It would be helpful to understand how the General Permit and Individual Permit reporting requirements </w:t>
      </w:r>
      <w:proofErr w:type="gramStart"/>
      <w:r>
        <w:t>will be streamlined</w:t>
      </w:r>
      <w:proofErr w:type="gramEnd"/>
      <w:r>
        <w:t>.</w:t>
      </w:r>
    </w:p>
    <w:p w14:paraId="1E9BD09A" w14:textId="3F2A8B6C" w:rsidR="005225C0" w:rsidRDefault="005225C0" w:rsidP="00513AF9">
      <w:pPr>
        <w:pStyle w:val="ListParagraph"/>
        <w:numPr>
          <w:ilvl w:val="0"/>
          <w:numId w:val="1"/>
        </w:numPr>
      </w:pPr>
      <w:r>
        <w:t>Treatment plants without existing nutrient removal processes are unlikely to have adequate tankage to support effective aeration and anoxic zones. Without the tankage, the benefit of many of the Tier 1 and 2 optimization actions is likely to be limited.</w:t>
      </w:r>
    </w:p>
    <w:p w14:paraId="7F289829" w14:textId="1C3C09A5" w:rsidR="00F842DA" w:rsidRDefault="00F842DA" w:rsidP="00F842DA">
      <w:pPr>
        <w:pStyle w:val="ListParagraph"/>
        <w:numPr>
          <w:ilvl w:val="0"/>
          <w:numId w:val="1"/>
        </w:numPr>
      </w:pPr>
      <w:r>
        <w:t>The methodology used to set the A</w:t>
      </w:r>
      <w:r w:rsidR="00231994">
        <w:t>L</w:t>
      </w:r>
      <w:r w:rsidRPr="007B0D96">
        <w:rPr>
          <w:vertAlign w:val="subscript"/>
        </w:rPr>
        <w:t>0</w:t>
      </w:r>
      <w:r>
        <w:t xml:space="preserve"> and A</w:t>
      </w:r>
      <w:r w:rsidR="00231994">
        <w:t>L</w:t>
      </w:r>
      <w:r w:rsidRPr="007B0D96">
        <w:rPr>
          <w:vertAlign w:val="subscript"/>
        </w:rPr>
        <w:t>1</w:t>
      </w:r>
      <w:r>
        <w:t xml:space="preserve"> thresholds seems reasonable and workable.</w:t>
      </w:r>
    </w:p>
    <w:p w14:paraId="700D3943" w14:textId="46AA0DB0" w:rsidR="00352A74" w:rsidRDefault="00290D92" w:rsidP="007B0D96">
      <w:pPr>
        <w:pStyle w:val="ListParagraph"/>
        <w:numPr>
          <w:ilvl w:val="0"/>
          <w:numId w:val="1"/>
        </w:numPr>
      </w:pPr>
      <w:r>
        <w:t xml:space="preserve">In section III D, page 11, a reference </w:t>
      </w:r>
      <w:proofErr w:type="gramStart"/>
      <w:r>
        <w:t>is made</w:t>
      </w:r>
      <w:proofErr w:type="gramEnd"/>
      <w:r>
        <w:t xml:space="preserve"> to </w:t>
      </w:r>
      <w:r w:rsidR="008833A4">
        <w:t xml:space="preserve">design flow. </w:t>
      </w:r>
      <w:r w:rsidR="00F842DA">
        <w:t>Please s</w:t>
      </w:r>
      <w:r w:rsidR="008833A4">
        <w:t>pecify to which design flow this refers</w:t>
      </w:r>
      <w:r w:rsidR="00F842DA">
        <w:t xml:space="preserve"> (Maximum Month Design Flow (MMDF), Maximum Day Design Flow, or Peak Hourly Design Flow).</w:t>
      </w:r>
    </w:p>
    <w:p w14:paraId="023CC368" w14:textId="4F4AB0D4" w:rsidR="00352A74" w:rsidRDefault="00F45D0A" w:rsidP="007B0D96">
      <w:pPr>
        <w:pStyle w:val="ListParagraph"/>
        <w:numPr>
          <w:ilvl w:val="0"/>
          <w:numId w:val="1"/>
        </w:numPr>
      </w:pPr>
      <w:r>
        <w:t>Please include units for AL</w:t>
      </w:r>
      <w:r w:rsidRPr="007B0D96">
        <w:rPr>
          <w:vertAlign w:val="subscript"/>
        </w:rPr>
        <w:t xml:space="preserve">0 </w:t>
      </w:r>
      <w:r>
        <w:t>and AL</w:t>
      </w:r>
      <w:r w:rsidRPr="007B0D96">
        <w:rPr>
          <w:vertAlign w:val="subscript"/>
        </w:rPr>
        <w:t>1</w:t>
      </w:r>
      <w:r>
        <w:t xml:space="preserve"> in </w:t>
      </w:r>
      <w:r w:rsidR="00310891">
        <w:t>Table 4</w:t>
      </w:r>
      <w:r>
        <w:t>.</w:t>
      </w:r>
      <w:r w:rsidR="00310891">
        <w:t xml:space="preserve"> </w:t>
      </w:r>
    </w:p>
    <w:p w14:paraId="4A4A4452" w14:textId="582D8B69" w:rsidR="00D66F32" w:rsidRDefault="00F45D0A" w:rsidP="007B0D96">
      <w:pPr>
        <w:pStyle w:val="ListParagraph"/>
        <w:numPr>
          <w:ilvl w:val="0"/>
          <w:numId w:val="1"/>
        </w:numPr>
      </w:pPr>
      <w:proofErr w:type="spellStart"/>
      <w:r>
        <w:t>Bioaugmentation</w:t>
      </w:r>
      <w:proofErr w:type="spellEnd"/>
      <w:r>
        <w:t xml:space="preserve"> might be a good addition to Tier 3</w:t>
      </w:r>
      <w:r w:rsidR="00352A74">
        <w:t>.</w:t>
      </w:r>
      <w:r w:rsidR="00D66F32">
        <w:t xml:space="preserve"> </w:t>
      </w:r>
    </w:p>
    <w:p w14:paraId="1E2BD4DC" w14:textId="1F9E07E7" w:rsidR="00B558F7" w:rsidRDefault="0028027C" w:rsidP="00B558F7">
      <w:pPr>
        <w:pStyle w:val="ListParagraph"/>
        <w:numPr>
          <w:ilvl w:val="0"/>
          <w:numId w:val="1"/>
        </w:numPr>
      </w:pPr>
      <w:r>
        <w:t xml:space="preserve">The types, </w:t>
      </w:r>
      <w:r w:rsidR="00B558F7">
        <w:t>information</w:t>
      </w:r>
      <w:r w:rsidR="00AB64B3">
        <w:t>,</w:t>
      </w:r>
      <w:r w:rsidR="00B558F7">
        <w:t xml:space="preserve"> and triggers required for the various reports </w:t>
      </w:r>
      <w:r>
        <w:t>and plan are</w:t>
      </w:r>
      <w:r w:rsidR="00B558F7">
        <w:t xml:space="preserve"> unclear. </w:t>
      </w:r>
      <w:r>
        <w:t>A table with this information would help illustrate the differences for each of these.</w:t>
      </w:r>
    </w:p>
    <w:p w14:paraId="1291B1F3" w14:textId="77777777" w:rsidR="0028027C" w:rsidRDefault="0028027C" w:rsidP="0028027C">
      <w:pPr>
        <w:pStyle w:val="ListParagraph"/>
        <w:numPr>
          <w:ilvl w:val="1"/>
          <w:numId w:val="1"/>
        </w:numPr>
      </w:pPr>
      <w:r>
        <w:t>It seems that the annual report and the annual plan are the same thing. Are they?</w:t>
      </w:r>
    </w:p>
    <w:p w14:paraId="7A646954" w14:textId="7536B7DB" w:rsidR="005C094D" w:rsidRDefault="005C094D" w:rsidP="005C094D">
      <w:pPr>
        <w:pStyle w:val="ListParagraph"/>
        <w:numPr>
          <w:ilvl w:val="1"/>
          <w:numId w:val="1"/>
        </w:numPr>
      </w:pPr>
      <w:r>
        <w:t>Is the Nutrient Reduction Evaluation report supposed to be a one</w:t>
      </w:r>
      <w:r w:rsidR="00F45D0A">
        <w:t>-</w:t>
      </w:r>
      <w:r>
        <w:t xml:space="preserve">time requirement, due at the end of the permit term? If this requirement </w:t>
      </w:r>
      <w:proofErr w:type="gramStart"/>
      <w:r>
        <w:t>will be addressed</w:t>
      </w:r>
      <w:proofErr w:type="gramEnd"/>
      <w:r>
        <w:t xml:space="preserve"> by C1, why is it listed separately?</w:t>
      </w:r>
    </w:p>
    <w:p w14:paraId="7929A23D" w14:textId="77777777" w:rsidR="0028027C" w:rsidRDefault="00AF729A" w:rsidP="00AF729A">
      <w:pPr>
        <w:pStyle w:val="ListParagraph"/>
        <w:numPr>
          <w:ilvl w:val="0"/>
          <w:numId w:val="1"/>
        </w:numPr>
      </w:pPr>
      <w:r>
        <w:t xml:space="preserve">In Section </w:t>
      </w:r>
      <w:r w:rsidR="00290D92">
        <w:t xml:space="preserve">VI </w:t>
      </w:r>
      <w:r>
        <w:t xml:space="preserve">C, page </w:t>
      </w:r>
      <w:r w:rsidR="00290D92">
        <w:t xml:space="preserve">27, a reference is made to TN. Should this be </w:t>
      </w:r>
      <w:proofErr w:type="gramStart"/>
      <w:r w:rsidR="00290D92">
        <w:t>TIN?</w:t>
      </w:r>
      <w:proofErr w:type="gramEnd"/>
    </w:p>
    <w:p w14:paraId="4D41FF90" w14:textId="77777777" w:rsidR="005C094D" w:rsidRDefault="005C094D" w:rsidP="00AF729A">
      <w:pPr>
        <w:pStyle w:val="ListParagraph"/>
        <w:numPr>
          <w:ilvl w:val="0"/>
          <w:numId w:val="1"/>
        </w:numPr>
      </w:pPr>
      <w:r>
        <w:t xml:space="preserve">LOTT is in favor of </w:t>
      </w:r>
      <w:r w:rsidR="00E163EA">
        <w:t xml:space="preserve">a regional </w:t>
      </w:r>
      <w:proofErr w:type="gramStart"/>
      <w:r w:rsidR="00E163EA">
        <w:t>study,</w:t>
      </w:r>
      <w:proofErr w:type="gramEnd"/>
      <w:r w:rsidR="00E163EA">
        <w:t xml:space="preserve"> option </w:t>
      </w:r>
      <w:r>
        <w:t xml:space="preserve">C1, where Ecology gathers the needed data for all plants of all sizes. </w:t>
      </w:r>
    </w:p>
    <w:p w14:paraId="0CE248B4" w14:textId="464AC586" w:rsidR="002209BD" w:rsidRDefault="00E163EA" w:rsidP="007B0D96">
      <w:pPr>
        <w:pStyle w:val="ListParagraph"/>
        <w:numPr>
          <w:ilvl w:val="0"/>
          <w:numId w:val="1"/>
        </w:numPr>
      </w:pPr>
      <w:r>
        <w:t xml:space="preserve">The two options given for regional studies do not seem to be in conflict. LOTT supports both. </w:t>
      </w:r>
    </w:p>
    <w:p w14:paraId="3D888391" w14:textId="1C84A6D5" w:rsidR="00231994" w:rsidRDefault="00231994" w:rsidP="00231994">
      <w:r>
        <w:t>Thank you for your consideration.</w:t>
      </w:r>
    </w:p>
    <w:p w14:paraId="2800F446" w14:textId="77777777" w:rsidR="0021480A" w:rsidRDefault="0021480A" w:rsidP="00231994"/>
    <w:p w14:paraId="03231083" w14:textId="05AD523F" w:rsidR="0021480A" w:rsidRDefault="0021480A" w:rsidP="00231994">
      <w:r>
        <w:t xml:space="preserve">Sincerely, </w:t>
      </w:r>
    </w:p>
    <w:p w14:paraId="6538E6DE" w14:textId="70CF7AD5" w:rsidR="0021480A" w:rsidRDefault="0021480A" w:rsidP="0021480A">
      <w:pPr>
        <w:spacing w:after="0" w:line="240" w:lineRule="auto"/>
      </w:pPr>
      <w:r>
        <w:t>Lisa Dennis-Perez</w:t>
      </w:r>
    </w:p>
    <w:p w14:paraId="0783D704" w14:textId="77777777" w:rsidR="0021480A" w:rsidRDefault="0021480A" w:rsidP="0021480A">
      <w:pPr>
        <w:spacing w:after="0" w:line="240" w:lineRule="auto"/>
        <w:rPr>
          <w:rFonts w:ascii="Verdana" w:hAnsi="Verdana"/>
          <w:color w:val="000000"/>
          <w:sz w:val="20"/>
          <w:szCs w:val="20"/>
        </w:rPr>
      </w:pPr>
      <w:r>
        <w:rPr>
          <w:rFonts w:ascii="Verdana" w:hAnsi="Verdana"/>
          <w:color w:val="000000"/>
          <w:sz w:val="20"/>
          <w:szCs w:val="20"/>
        </w:rPr>
        <w:t>Director of Environmental Planning &amp; Communications</w:t>
      </w:r>
    </w:p>
    <w:p w14:paraId="62A8200F" w14:textId="77777777" w:rsidR="0021480A" w:rsidRDefault="0021480A" w:rsidP="0021480A">
      <w:pPr>
        <w:spacing w:after="0" w:line="240" w:lineRule="auto"/>
      </w:pPr>
    </w:p>
    <w:p w14:paraId="600BE978" w14:textId="77777777" w:rsidR="00290D92" w:rsidRDefault="00290D92" w:rsidP="00290D92">
      <w:pPr>
        <w:pStyle w:val="ListParagraph"/>
      </w:pPr>
      <w:bookmarkStart w:id="0" w:name="_GoBack"/>
      <w:bookmarkEnd w:id="0"/>
    </w:p>
    <w:sectPr w:rsidR="00290D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B260" w14:textId="77777777" w:rsidR="0021480A" w:rsidRDefault="0021480A" w:rsidP="00AB64B3">
      <w:pPr>
        <w:spacing w:after="0" w:line="240" w:lineRule="auto"/>
      </w:pPr>
      <w:r>
        <w:separator/>
      </w:r>
    </w:p>
  </w:endnote>
  <w:endnote w:type="continuationSeparator" w:id="0">
    <w:p w14:paraId="43ACAF71" w14:textId="77777777" w:rsidR="0021480A" w:rsidRDefault="0021480A" w:rsidP="00AB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4091" w14:textId="77777777" w:rsidR="00A172D7" w:rsidRDefault="00A1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01BD" w14:textId="1E7FCC97" w:rsidR="0021480A" w:rsidRDefault="00A172D7">
    <w:pPr>
      <w:pStyle w:val="Footer"/>
    </w:pPr>
    <w:r>
      <w:t>LOTT comments 3-15</w:t>
    </w:r>
    <w:r w:rsidR="0021480A">
      <w:t>-21</w:t>
    </w:r>
  </w:p>
  <w:p w14:paraId="2C58E3BA" w14:textId="77777777" w:rsidR="0021480A" w:rsidRDefault="00214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DCDE" w14:textId="77777777" w:rsidR="00A172D7" w:rsidRDefault="00A1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A69AE" w14:textId="77777777" w:rsidR="0021480A" w:rsidRDefault="0021480A" w:rsidP="00AB64B3">
      <w:pPr>
        <w:spacing w:after="0" w:line="240" w:lineRule="auto"/>
      </w:pPr>
      <w:r>
        <w:separator/>
      </w:r>
    </w:p>
  </w:footnote>
  <w:footnote w:type="continuationSeparator" w:id="0">
    <w:p w14:paraId="15961BDE" w14:textId="77777777" w:rsidR="0021480A" w:rsidRDefault="0021480A" w:rsidP="00AB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897F" w14:textId="77777777" w:rsidR="00A172D7" w:rsidRDefault="00A1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86CE" w14:textId="77777777" w:rsidR="00A172D7" w:rsidRDefault="00A17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56C" w14:textId="77777777" w:rsidR="00A172D7" w:rsidRDefault="00A1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519D5"/>
    <w:multiLevelType w:val="hybridMultilevel"/>
    <w:tmpl w:val="6CCC69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54"/>
    <w:rsid w:val="0008188C"/>
    <w:rsid w:val="000E5328"/>
    <w:rsid w:val="00146756"/>
    <w:rsid w:val="001907F1"/>
    <w:rsid w:val="001E1722"/>
    <w:rsid w:val="0021480A"/>
    <w:rsid w:val="002209BD"/>
    <w:rsid w:val="00231994"/>
    <w:rsid w:val="00262A88"/>
    <w:rsid w:val="0028027C"/>
    <w:rsid w:val="00290D92"/>
    <w:rsid w:val="00310891"/>
    <w:rsid w:val="00352A74"/>
    <w:rsid w:val="00381C54"/>
    <w:rsid w:val="003D0AE3"/>
    <w:rsid w:val="00434F59"/>
    <w:rsid w:val="005037F8"/>
    <w:rsid w:val="00505152"/>
    <w:rsid w:val="00513AF9"/>
    <w:rsid w:val="005225C0"/>
    <w:rsid w:val="005C094D"/>
    <w:rsid w:val="005C1DE9"/>
    <w:rsid w:val="0072290B"/>
    <w:rsid w:val="0075751A"/>
    <w:rsid w:val="007648C2"/>
    <w:rsid w:val="007B0D96"/>
    <w:rsid w:val="007B27C2"/>
    <w:rsid w:val="00840BBA"/>
    <w:rsid w:val="008833A4"/>
    <w:rsid w:val="00924DFF"/>
    <w:rsid w:val="00A172D7"/>
    <w:rsid w:val="00AA451C"/>
    <w:rsid w:val="00AA6934"/>
    <w:rsid w:val="00AB64B3"/>
    <w:rsid w:val="00AF729A"/>
    <w:rsid w:val="00B558F7"/>
    <w:rsid w:val="00C05566"/>
    <w:rsid w:val="00C4790B"/>
    <w:rsid w:val="00CB2148"/>
    <w:rsid w:val="00CD7897"/>
    <w:rsid w:val="00D52BDE"/>
    <w:rsid w:val="00D61580"/>
    <w:rsid w:val="00D66F32"/>
    <w:rsid w:val="00E163EA"/>
    <w:rsid w:val="00F45D0A"/>
    <w:rsid w:val="00F4604B"/>
    <w:rsid w:val="00F842DA"/>
    <w:rsid w:val="00FD2BB6"/>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1F1"/>
  <w15:chartTrackingRefBased/>
  <w15:docId w15:val="{F1D71E18-96DD-45F8-AAA4-927992FD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F9"/>
    <w:pPr>
      <w:ind w:left="720"/>
      <w:contextualSpacing/>
    </w:pPr>
  </w:style>
  <w:style w:type="character" w:styleId="CommentReference">
    <w:name w:val="annotation reference"/>
    <w:basedOn w:val="DefaultParagraphFont"/>
    <w:uiPriority w:val="99"/>
    <w:semiHidden/>
    <w:unhideWhenUsed/>
    <w:rsid w:val="0008188C"/>
    <w:rPr>
      <w:sz w:val="16"/>
      <w:szCs w:val="16"/>
    </w:rPr>
  </w:style>
  <w:style w:type="paragraph" w:styleId="CommentText">
    <w:name w:val="annotation text"/>
    <w:basedOn w:val="Normal"/>
    <w:link w:val="CommentTextChar"/>
    <w:uiPriority w:val="99"/>
    <w:semiHidden/>
    <w:unhideWhenUsed/>
    <w:rsid w:val="0008188C"/>
    <w:pPr>
      <w:spacing w:line="240" w:lineRule="auto"/>
    </w:pPr>
    <w:rPr>
      <w:sz w:val="20"/>
      <w:szCs w:val="20"/>
    </w:rPr>
  </w:style>
  <w:style w:type="character" w:customStyle="1" w:styleId="CommentTextChar">
    <w:name w:val="Comment Text Char"/>
    <w:basedOn w:val="DefaultParagraphFont"/>
    <w:link w:val="CommentText"/>
    <w:uiPriority w:val="99"/>
    <w:semiHidden/>
    <w:rsid w:val="0008188C"/>
    <w:rPr>
      <w:sz w:val="20"/>
      <w:szCs w:val="20"/>
    </w:rPr>
  </w:style>
  <w:style w:type="paragraph" w:styleId="CommentSubject">
    <w:name w:val="annotation subject"/>
    <w:basedOn w:val="CommentText"/>
    <w:next w:val="CommentText"/>
    <w:link w:val="CommentSubjectChar"/>
    <w:uiPriority w:val="99"/>
    <w:semiHidden/>
    <w:unhideWhenUsed/>
    <w:rsid w:val="0008188C"/>
    <w:rPr>
      <w:b/>
      <w:bCs/>
    </w:rPr>
  </w:style>
  <w:style w:type="character" w:customStyle="1" w:styleId="CommentSubjectChar">
    <w:name w:val="Comment Subject Char"/>
    <w:basedOn w:val="CommentTextChar"/>
    <w:link w:val="CommentSubject"/>
    <w:uiPriority w:val="99"/>
    <w:semiHidden/>
    <w:rsid w:val="0008188C"/>
    <w:rPr>
      <w:b/>
      <w:bCs/>
      <w:sz w:val="20"/>
      <w:szCs w:val="20"/>
    </w:rPr>
  </w:style>
  <w:style w:type="paragraph" w:styleId="BalloonText">
    <w:name w:val="Balloon Text"/>
    <w:basedOn w:val="Normal"/>
    <w:link w:val="BalloonTextChar"/>
    <w:uiPriority w:val="99"/>
    <w:semiHidden/>
    <w:unhideWhenUsed/>
    <w:rsid w:val="0008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8C"/>
    <w:rPr>
      <w:rFonts w:ascii="Segoe UI" w:hAnsi="Segoe UI" w:cs="Segoe UI"/>
      <w:sz w:val="18"/>
      <w:szCs w:val="18"/>
    </w:rPr>
  </w:style>
  <w:style w:type="paragraph" w:styleId="Header">
    <w:name w:val="header"/>
    <w:basedOn w:val="Normal"/>
    <w:link w:val="HeaderChar"/>
    <w:uiPriority w:val="99"/>
    <w:unhideWhenUsed/>
    <w:rsid w:val="00AB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4B3"/>
  </w:style>
  <w:style w:type="paragraph" w:styleId="Footer">
    <w:name w:val="footer"/>
    <w:basedOn w:val="Normal"/>
    <w:link w:val="FooterChar"/>
    <w:uiPriority w:val="99"/>
    <w:unhideWhenUsed/>
    <w:rsid w:val="00AB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fe_x0020_of_x0020_Facility xmlns="7c24213b-ea34-4f93-bc3e-19ca3e7031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96BF441CCCE4E9DF717799501BB1F" ma:contentTypeVersion="2" ma:contentTypeDescription="Create a new document." ma:contentTypeScope="" ma:versionID="c6f63c1d2edd433715dff9c21de3cdd1">
  <xsd:schema xmlns:xsd="http://www.w3.org/2001/XMLSchema" xmlns:xs="http://www.w3.org/2001/XMLSchema" xmlns:p="http://schemas.microsoft.com/office/2006/metadata/properties" xmlns:ns2="7c24213b-ea34-4f93-bc3e-19ca3e703132" targetNamespace="http://schemas.microsoft.com/office/2006/metadata/properties" ma:root="true" ma:fieldsID="06e042657d82935a6c97cd7189260541" ns2:_="">
    <xsd:import namespace="7c24213b-ea34-4f93-bc3e-19ca3e703132"/>
    <xsd:element name="properties">
      <xsd:complexType>
        <xsd:sequence>
          <xsd:element name="documentManagement">
            <xsd:complexType>
              <xsd:all>
                <xsd:element ref="ns2:Life_x0020_of_x0020_Fac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4213b-ea34-4f93-bc3e-19ca3e703132" elementFormDefault="qualified">
    <xsd:import namespace="http://schemas.microsoft.com/office/2006/documentManagement/types"/>
    <xsd:import namespace="http://schemas.microsoft.com/office/infopath/2007/PartnerControls"/>
    <xsd:element name="Life_x0020_of_x0020_Facility" ma:index="8" nillable="true" ma:displayName="Life of Facility" ma:description="RecordPoint Trigger - Facility decommission date-okay if blank." ma:format="DateOnly" ma:internalName="Life_x0020_of_x0020_Facilit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C14C-8859-4F2E-9FAF-100867D50C94}">
  <ds:schemaRefs>
    <ds:schemaRef ds:uri="http://schemas.microsoft.com/sharepoint/v3/contenttype/forms"/>
  </ds:schemaRefs>
</ds:datastoreItem>
</file>

<file path=customXml/itemProps2.xml><?xml version="1.0" encoding="utf-8"?>
<ds:datastoreItem xmlns:ds="http://schemas.openxmlformats.org/officeDocument/2006/customXml" ds:itemID="{890AC2BB-5E66-422E-9567-60E572C5DB08}">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7c24213b-ea34-4f93-bc3e-19ca3e703132"/>
    <ds:schemaRef ds:uri="http://purl.org/dc/terms/"/>
  </ds:schemaRefs>
</ds:datastoreItem>
</file>

<file path=customXml/itemProps3.xml><?xml version="1.0" encoding="utf-8"?>
<ds:datastoreItem xmlns:ds="http://schemas.openxmlformats.org/officeDocument/2006/customXml" ds:itemID="{1C372291-F49C-4852-8A37-D6ABA731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213b-ea34-4f93-bc3e-19ca3e703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4CDC7-72FF-4E28-858C-51863AB0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LOTT Clean Water Alliance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Steffensen</dc:creator>
  <cp:keywords/>
  <dc:description/>
  <cp:lastModifiedBy>Wendy Steffensen</cp:lastModifiedBy>
  <cp:revision>2</cp:revision>
  <dcterms:created xsi:type="dcterms:W3CDTF">2021-03-15T19:05:00Z</dcterms:created>
  <dcterms:modified xsi:type="dcterms:W3CDTF">2021-03-15T19:05:00Z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0x01010020796BF441CCCE4E9DF717799501BB1F</vt:lpwstr>
  </property>
</Properties>
</file>