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EC36" w14:textId="77777777" w:rsidR="00547231" w:rsidRDefault="00547231"/>
    <w:p w14:paraId="580A94BB" w14:textId="77777777" w:rsidR="00547231" w:rsidRDefault="00547231"/>
    <w:p w14:paraId="64CC9ED1" w14:textId="32F9E48E" w:rsidR="00547231" w:rsidRPr="002C4E5A" w:rsidRDefault="00632270" w:rsidP="002C4E5A">
      <w:pPr>
        <w:jc w:val="center"/>
        <w:rPr>
          <w:b/>
          <w:bCs/>
        </w:rPr>
      </w:pPr>
      <w:r w:rsidRPr="002C4E5A">
        <w:rPr>
          <w:b/>
          <w:bCs/>
        </w:rPr>
        <w:t>COMMENTS ON THE 2021 DRAFT BOATYARD GENERAL PERMIT</w:t>
      </w:r>
    </w:p>
    <w:p w14:paraId="18F5A3FA" w14:textId="058C0019" w:rsidR="00547231" w:rsidRPr="002C4E5A" w:rsidRDefault="00632270" w:rsidP="002C4E5A">
      <w:pPr>
        <w:jc w:val="center"/>
        <w:rPr>
          <w:b/>
          <w:bCs/>
        </w:rPr>
      </w:pPr>
      <w:r w:rsidRPr="002C4E5A">
        <w:rPr>
          <w:b/>
          <w:bCs/>
        </w:rPr>
        <w:t xml:space="preserve">FROM </w:t>
      </w:r>
      <w:r w:rsidR="00600F50" w:rsidRPr="002C4E5A">
        <w:rPr>
          <w:b/>
          <w:bCs/>
        </w:rPr>
        <w:t xml:space="preserve">SEATTLE YACHTS dba </w:t>
      </w:r>
      <w:r w:rsidRPr="002C4E5A">
        <w:rPr>
          <w:b/>
          <w:bCs/>
        </w:rPr>
        <w:t>NORTHWEST MARINE CENTER</w:t>
      </w:r>
    </w:p>
    <w:p w14:paraId="22A05E73" w14:textId="77777777" w:rsidR="00547231" w:rsidRDefault="00547231"/>
    <w:p w14:paraId="7D543731" w14:textId="77777777" w:rsidR="00547231" w:rsidRDefault="00632270">
      <w:r>
        <w:t>To: Department of Ecology</w:t>
      </w:r>
    </w:p>
    <w:p w14:paraId="22D655B4" w14:textId="77777777" w:rsidR="00547231" w:rsidRDefault="00632270">
      <w:r>
        <w:t xml:space="preserve">Attn: Mr. James </w:t>
      </w:r>
      <w:proofErr w:type="spellStart"/>
      <w:r>
        <w:t>Hovis</w:t>
      </w:r>
      <w:proofErr w:type="spellEnd"/>
      <w:r>
        <w:t>, Permit Writer for the 2021 Draft Boatyard General Permit</w:t>
      </w:r>
    </w:p>
    <w:p w14:paraId="13A29A75" w14:textId="77777777" w:rsidR="00547231" w:rsidRDefault="00547231"/>
    <w:p w14:paraId="2059101F" w14:textId="77777777" w:rsidR="002C4E5A" w:rsidRDefault="00600F50">
      <w:r>
        <w:t xml:space="preserve">Seattle Yachts purchased the assets of Marine Servicenter in May of 2020 and started the new boatyard under the name Northwest Marine Center.  Since May of 2020 we have worked diligently to comply and exceed all Department of Ecology standards.  Our company </w:t>
      </w:r>
      <w:proofErr w:type="gramStart"/>
      <w:r>
        <w:t>is dedicated to providing</w:t>
      </w:r>
      <w:proofErr w:type="gramEnd"/>
      <w:r>
        <w:t xml:space="preserve"> quality service to our local boating community and pride ourselves in maintaining a clean yard.   </w:t>
      </w:r>
      <w:proofErr w:type="gramStart"/>
      <w:r>
        <w:t>The majority of</w:t>
      </w:r>
      <w:proofErr w:type="gramEnd"/>
      <w:r>
        <w:t xml:space="preserve"> our employees are boaters themselves</w:t>
      </w:r>
      <w:r w:rsidR="002C4E5A">
        <w:t xml:space="preserve"> and</w:t>
      </w:r>
      <w:r>
        <w:t xml:space="preserve"> understand the importance of protecting our waters for future generations to enjoy.  </w:t>
      </w:r>
      <w:r w:rsidR="002C4E5A">
        <w:br/>
      </w:r>
    </w:p>
    <w:p w14:paraId="636BC8EE" w14:textId="3A887764" w:rsidR="00547231" w:rsidRDefault="00632270">
      <w:r>
        <w:t xml:space="preserve">Northwest Marine Center also consulted with Northwest Marine Trade Association (NMTA) and </w:t>
      </w:r>
      <w:proofErr w:type="gramStart"/>
      <w:r>
        <w:t>our</w:t>
      </w:r>
      <w:proofErr w:type="gramEnd"/>
    </w:p>
    <w:p w14:paraId="39083BD0" w14:textId="77777777" w:rsidR="00547231" w:rsidRDefault="00632270">
      <w:r>
        <w:t>environmental consultant in reviewing of Ecology’s proposed changes to the 2021 draft Boatyard</w:t>
      </w:r>
    </w:p>
    <w:p w14:paraId="0BEB5CE1" w14:textId="77777777" w:rsidR="00547231" w:rsidRDefault="00632270">
      <w:r>
        <w:t>General Permit (Permit). Our review comments on draft Permit a</w:t>
      </w:r>
      <w:r>
        <w:t>nd Fact Sheet are provided below. We</w:t>
      </w:r>
    </w:p>
    <w:p w14:paraId="5F56CDB2" w14:textId="77777777" w:rsidR="00547231" w:rsidRDefault="00632270">
      <w:r>
        <w:t>have four main areas of concern:</w:t>
      </w:r>
    </w:p>
    <w:p w14:paraId="201E1B14" w14:textId="77777777" w:rsidR="00547231" w:rsidRDefault="00632270">
      <w:pPr>
        <w:numPr>
          <w:ilvl w:val="0"/>
          <w:numId w:val="1"/>
        </w:numPr>
        <w:spacing w:after="0"/>
      </w:pPr>
      <w:r>
        <w:t>Erroneous basis for calculation of the new copper benchmark</w:t>
      </w:r>
    </w:p>
    <w:p w14:paraId="3E0199F2" w14:textId="77777777" w:rsidR="00547231" w:rsidRDefault="00632270">
      <w:pPr>
        <w:numPr>
          <w:ilvl w:val="0"/>
          <w:numId w:val="1"/>
        </w:numPr>
        <w:spacing w:after="0"/>
      </w:pPr>
      <w:r>
        <w:t xml:space="preserve">Addition of a sixth sampling event reducing the effectiveness of adaptive </w:t>
      </w:r>
      <w:proofErr w:type="gramStart"/>
      <w:r>
        <w:t>management</w:t>
      </w:r>
      <w:proofErr w:type="gramEnd"/>
    </w:p>
    <w:p w14:paraId="5E7B9DEC" w14:textId="77777777" w:rsidR="00547231" w:rsidRDefault="00632270">
      <w:pPr>
        <w:numPr>
          <w:ilvl w:val="0"/>
          <w:numId w:val="1"/>
        </w:numPr>
        <w:spacing w:after="0"/>
      </w:pPr>
      <w:r>
        <w:t>Disproportionate impact compared to other</w:t>
      </w:r>
      <w:r>
        <w:t xml:space="preserve"> comparable </w:t>
      </w:r>
      <w:proofErr w:type="gramStart"/>
      <w:r>
        <w:t>industries</w:t>
      </w:r>
      <w:proofErr w:type="gramEnd"/>
    </w:p>
    <w:p w14:paraId="47664BBD" w14:textId="77777777" w:rsidR="00547231" w:rsidRDefault="00632270">
      <w:pPr>
        <w:numPr>
          <w:ilvl w:val="0"/>
          <w:numId w:val="1"/>
        </w:numPr>
      </w:pPr>
      <w:r>
        <w:t xml:space="preserve">Disproportionate cost of compliance </w:t>
      </w:r>
    </w:p>
    <w:p w14:paraId="3A7465CE" w14:textId="77777777" w:rsidR="00547231" w:rsidRDefault="00547231">
      <w:pPr>
        <w:ind w:left="720"/>
      </w:pPr>
    </w:p>
    <w:p w14:paraId="1E726901" w14:textId="77777777" w:rsidR="00547231" w:rsidRDefault="00632270">
      <w:pPr>
        <w:rPr>
          <w:b/>
        </w:rPr>
      </w:pPr>
      <w:r>
        <w:rPr>
          <w:b/>
        </w:rPr>
        <w:t>S2.D, Table 2 Stormwater Benchmarks; Fact Sheet Page 24</w:t>
      </w:r>
    </w:p>
    <w:p w14:paraId="263304AF" w14:textId="77777777" w:rsidR="00547231" w:rsidRDefault="00632270">
      <w:r>
        <w:t xml:space="preserve">Our primary concern is with the dramatic drop in the benchmark value for copper from a daily </w:t>
      </w:r>
      <w:proofErr w:type="gramStart"/>
      <w:r>
        <w:t>maximum</w:t>
      </w:r>
      <w:proofErr w:type="gramEnd"/>
    </w:p>
    <w:p w14:paraId="0E4785B1" w14:textId="77777777" w:rsidR="00547231" w:rsidRDefault="00632270">
      <w:r>
        <w:t>of 147 µg/L (with 50 µg/L as a seasona</w:t>
      </w:r>
      <w:r>
        <w:t>l average benchmark) down to a daily maximum in marine water</w:t>
      </w:r>
    </w:p>
    <w:p w14:paraId="68E0A227" w14:textId="77777777" w:rsidR="00547231" w:rsidRDefault="00632270">
      <w:r>
        <w:t xml:space="preserve">and western freshwater of only 15 µg/L. It is understood that when setting a Permit benchmark, </w:t>
      </w:r>
      <w:proofErr w:type="gramStart"/>
      <w:r>
        <w:t>Ecology</w:t>
      </w:r>
      <w:proofErr w:type="gramEnd"/>
    </w:p>
    <w:p w14:paraId="0CB99D9E" w14:textId="77777777" w:rsidR="00547231" w:rsidRDefault="00632270">
      <w:r>
        <w:t>must select the lower of the water quality-based benchmark value and the technology-</w:t>
      </w:r>
      <w:proofErr w:type="gramStart"/>
      <w:r>
        <w:t>based</w:t>
      </w:r>
      <w:proofErr w:type="gramEnd"/>
    </w:p>
    <w:p w14:paraId="47E07C02" w14:textId="77777777" w:rsidR="00547231" w:rsidRDefault="00632270">
      <w:r>
        <w:t>benchmark value. However, Ecology should have a valid scientific basis for its determination of the</w:t>
      </w:r>
    </w:p>
    <w:p w14:paraId="0A0228C1" w14:textId="77777777" w:rsidR="00547231" w:rsidRDefault="00632270">
      <w:r>
        <w:t>water-quality-based benchmark value before using it in place of the developed technology-</w:t>
      </w:r>
      <w:proofErr w:type="gramStart"/>
      <w:r>
        <w:t>based</w:t>
      </w:r>
      <w:proofErr w:type="gramEnd"/>
    </w:p>
    <w:p w14:paraId="1BAAFC2B" w14:textId="77777777" w:rsidR="002C4E5A" w:rsidRDefault="002C4E5A"/>
    <w:p w14:paraId="4507D8A3" w14:textId="77777777" w:rsidR="002C4E5A" w:rsidRDefault="002C4E5A"/>
    <w:p w14:paraId="26AD2349" w14:textId="77777777" w:rsidR="002C4E5A" w:rsidRDefault="002C4E5A"/>
    <w:p w14:paraId="0FE2274B" w14:textId="590EC51F" w:rsidR="00547231" w:rsidRDefault="00632270">
      <w:r>
        <w:t>benchmark value that has been in the current and prior boatya</w:t>
      </w:r>
      <w:r>
        <w:t xml:space="preserve">rd permits. We have a specific </w:t>
      </w:r>
      <w:proofErr w:type="gramStart"/>
      <w:r>
        <w:t>concern</w:t>
      </w:r>
      <w:proofErr w:type="gramEnd"/>
    </w:p>
    <w:p w14:paraId="7CC9B8CF" w14:textId="24D7A075" w:rsidR="00547231" w:rsidRDefault="00632270">
      <w:r>
        <w:t xml:space="preserve">that Ecology appears to have made invalid assumptions or used invalid data when calculating the </w:t>
      </w:r>
      <w:proofErr w:type="gramStart"/>
      <w:r>
        <w:t>water</w:t>
      </w:r>
      <w:proofErr w:type="gramEnd"/>
    </w:p>
    <w:p w14:paraId="61C3E45E" w14:textId="77777777" w:rsidR="00547231" w:rsidRDefault="00632270">
      <w:r>
        <w:t>quality-based benchmark value, and therefore it does not have a valid scientific basis.</w:t>
      </w:r>
    </w:p>
    <w:p w14:paraId="331CDE10" w14:textId="77777777" w:rsidR="00547231" w:rsidRDefault="00547231"/>
    <w:p w14:paraId="757FE593" w14:textId="77777777" w:rsidR="00547231" w:rsidRDefault="00632270">
      <w:pPr>
        <w:rPr>
          <w:b/>
        </w:rPr>
      </w:pPr>
      <w:r>
        <w:rPr>
          <w:b/>
        </w:rPr>
        <w:t xml:space="preserve">Overall Adequacy of the </w:t>
      </w:r>
      <w:r>
        <w:rPr>
          <w:b/>
        </w:rPr>
        <w:t>Permit Fact Sheet</w:t>
      </w:r>
    </w:p>
    <w:p w14:paraId="46972978" w14:textId="77777777" w:rsidR="00547231" w:rsidRDefault="00632270">
      <w:r>
        <w:t xml:space="preserve">According to the U.S. E.P.A., the public is entitled to “a clear and transparent record of the </w:t>
      </w:r>
      <w:proofErr w:type="gramStart"/>
      <w:r>
        <w:t>permit</w:t>
      </w:r>
      <w:proofErr w:type="gramEnd"/>
    </w:p>
    <w:p w14:paraId="301EBE2E" w14:textId="77777777" w:rsidR="00547231" w:rsidRDefault="00632270">
      <w:r>
        <w:t>decision making process.” In Washington, a Permit Fact Sheet must include, among other things, “[t]he</w:t>
      </w:r>
    </w:p>
    <w:p w14:paraId="2672BF88" w14:textId="77777777" w:rsidR="00547231" w:rsidRDefault="00632270">
      <w:r>
        <w:t>legal and technical grounds for th</w:t>
      </w:r>
      <w:r>
        <w:t>e draft permit determination.” WAC 173-220-060(1). According to</w:t>
      </w:r>
    </w:p>
    <w:p w14:paraId="1B2A8F90" w14:textId="77777777" w:rsidR="00547231" w:rsidRDefault="00632270">
      <w:r>
        <w:t xml:space="preserve">Washington’s Pollution Control Hearings Board, which oversees Ecology’s permit development, </w:t>
      </w:r>
      <w:proofErr w:type="gramStart"/>
      <w:r>
        <w:t>Fact</w:t>
      </w:r>
      <w:proofErr w:type="gramEnd"/>
    </w:p>
    <w:p w14:paraId="4AD241E8" w14:textId="77777777" w:rsidR="00547231" w:rsidRDefault="00632270">
      <w:r>
        <w:t>Sheets are provided to enable the public to actively participate in permit development. The dra</w:t>
      </w:r>
      <w:r>
        <w:t>ft Fact</w:t>
      </w:r>
    </w:p>
    <w:p w14:paraId="7F373CC4" w14:textId="77777777" w:rsidR="00547231" w:rsidRDefault="00632270">
      <w:r>
        <w:t xml:space="preserve">Sheet lacks the details necessary to understand the methodology, assumptions, and the data that </w:t>
      </w:r>
      <w:proofErr w:type="gramStart"/>
      <w:r>
        <w:t>went</w:t>
      </w:r>
      <w:proofErr w:type="gramEnd"/>
    </w:p>
    <w:p w14:paraId="05232318" w14:textId="77777777" w:rsidR="00547231" w:rsidRDefault="00632270">
      <w:r>
        <w:t>into the copper water quality-based benchmark calculation.</w:t>
      </w:r>
    </w:p>
    <w:p w14:paraId="3005F4CF" w14:textId="77777777" w:rsidR="00547231" w:rsidRDefault="00632270">
      <w:r>
        <w:br/>
        <w:t xml:space="preserve">However, despite this lack of detail, we have attempted to piece together the approach </w:t>
      </w:r>
      <w:r>
        <w:t xml:space="preserve">used by </w:t>
      </w:r>
      <w:proofErr w:type="gramStart"/>
      <w:r>
        <w:t>Ecology</w:t>
      </w:r>
      <w:proofErr w:type="gramEnd"/>
    </w:p>
    <w:p w14:paraId="6F8D7FAA" w14:textId="77777777" w:rsidR="00547231" w:rsidRDefault="00632270">
      <w:r>
        <w:t>to calculate the new benchmark. Based on what we have found, we believe several of Ecology’s</w:t>
      </w:r>
    </w:p>
    <w:p w14:paraId="22678E20" w14:textId="77777777" w:rsidR="00547231" w:rsidRDefault="00632270">
      <w:r>
        <w:t xml:space="preserve">assumptions when calculating the new water-quality-based benchmark value for copper should be </w:t>
      </w:r>
      <w:proofErr w:type="gramStart"/>
      <w:r>
        <w:t>more</w:t>
      </w:r>
      <w:proofErr w:type="gramEnd"/>
    </w:p>
    <w:p w14:paraId="79C434B8" w14:textId="77777777" w:rsidR="00547231" w:rsidRDefault="00632270">
      <w:r>
        <w:t>carefully evaluated, including the dilution fact</w:t>
      </w:r>
      <w:r>
        <w:t>or of 5 and the ratio of dissolved copper to total copper</w:t>
      </w:r>
    </w:p>
    <w:p w14:paraId="7727618A" w14:textId="77777777" w:rsidR="00547231" w:rsidRDefault="00632270">
      <w:r>
        <w:t>(i.e., translator value), that were used as part of the benchmark development.</w:t>
      </w:r>
    </w:p>
    <w:p w14:paraId="3CD5DE26" w14:textId="77777777" w:rsidR="00547231" w:rsidRDefault="00632270">
      <w:r>
        <w:br/>
        <w:t xml:space="preserve">The 4.8 µg/L water quality criterion for copper in marine water per WAC 173-201A is only for </w:t>
      </w:r>
      <w:proofErr w:type="gramStart"/>
      <w:r>
        <w:t>dissolved</w:t>
      </w:r>
      <w:proofErr w:type="gramEnd"/>
    </w:p>
    <w:p w14:paraId="73B82ABF" w14:textId="77777777" w:rsidR="00547231" w:rsidRDefault="00632270">
      <w:r>
        <w:t xml:space="preserve">copper. Rather </w:t>
      </w:r>
      <w:r>
        <w:t xml:space="preserve">than use copper translator values that are derived from dissolved to total copper </w:t>
      </w:r>
      <w:proofErr w:type="gramStart"/>
      <w:r>
        <w:t>ratio</w:t>
      </w:r>
      <w:proofErr w:type="gramEnd"/>
    </w:p>
    <w:p w14:paraId="7B4CE482" w14:textId="77777777" w:rsidR="00547231" w:rsidRDefault="00632270">
      <w:r>
        <w:t>measurements in Washington State receiving water bodies (with that average ratio appearing to be</w:t>
      </w:r>
    </w:p>
    <w:p w14:paraId="4FE74AA2" w14:textId="77777777" w:rsidR="00547231" w:rsidRDefault="00632270">
      <w:r>
        <w:t xml:space="preserve">high, at approximately 0.82 based on the EIM database), Ecology should </w:t>
      </w:r>
      <w:r>
        <w:t>perform additional testing and</w:t>
      </w:r>
    </w:p>
    <w:p w14:paraId="772708FB" w14:textId="77777777" w:rsidR="00547231" w:rsidRDefault="00632270">
      <w:r>
        <w:t>analysis to better determine the actual form of copper and bioavailability/toxicity in stormwater from</w:t>
      </w:r>
    </w:p>
    <w:p w14:paraId="2F90871C" w14:textId="77777777" w:rsidR="00547231" w:rsidRDefault="00632270">
      <w:r>
        <w:t>boatyards. At a minimum, Ecology should allow the boatyards to conduct such a study, prior to</w:t>
      </w:r>
    </w:p>
    <w:p w14:paraId="4469474C" w14:textId="77777777" w:rsidR="002C4E5A" w:rsidRDefault="002C4E5A"/>
    <w:p w14:paraId="76304862" w14:textId="77777777" w:rsidR="002C4E5A" w:rsidRDefault="002C4E5A"/>
    <w:p w14:paraId="3A10E27A" w14:textId="77777777" w:rsidR="002C4E5A" w:rsidRDefault="002C4E5A"/>
    <w:p w14:paraId="70CC98CF" w14:textId="77777777" w:rsidR="002C4E5A" w:rsidRDefault="002C4E5A"/>
    <w:p w14:paraId="068E375C" w14:textId="77777777" w:rsidR="002C4E5A" w:rsidRDefault="002C4E5A"/>
    <w:p w14:paraId="10383BB2" w14:textId="77777777" w:rsidR="002C4E5A" w:rsidRDefault="002C4E5A"/>
    <w:p w14:paraId="569C15D0" w14:textId="18EE7CD8" w:rsidR="00547231" w:rsidRDefault="00632270">
      <w:r>
        <w:t>implementing a permit with d</w:t>
      </w:r>
      <w:r>
        <w:t>rastic consequences that follows from assumptions that do not have a</w:t>
      </w:r>
    </w:p>
    <w:p w14:paraId="3CFDA1D5" w14:textId="77777777" w:rsidR="00547231" w:rsidRDefault="00632270">
      <w:r>
        <w:t>proper scientific basis or correspond to actual boatyard treated stormwater characteristics.</w:t>
      </w:r>
    </w:p>
    <w:p w14:paraId="693636FA" w14:textId="77777777" w:rsidR="00547231" w:rsidRDefault="00632270">
      <w:r>
        <w:br/>
      </w:r>
      <w:r>
        <w:t xml:space="preserve">There would be adequate time during the upcoming Boatyard Permit cycle to investigate and </w:t>
      </w:r>
      <w:proofErr w:type="gramStart"/>
      <w:r>
        <w:t>more</w:t>
      </w:r>
      <w:proofErr w:type="gramEnd"/>
    </w:p>
    <w:p w14:paraId="5FE8036A" w14:textId="77777777" w:rsidR="00547231" w:rsidRDefault="00632270">
      <w:r>
        <w:t>properly determine appropriate translator values and use a scientifically valid basis for developing a</w:t>
      </w:r>
    </w:p>
    <w:p w14:paraId="1B06B512" w14:textId="112AD353" w:rsidR="00547231" w:rsidRDefault="00632270">
      <w:r>
        <w:t xml:space="preserve">water quality-based copper benchmark for boatyards, and to determine if in fact that would be </w:t>
      </w:r>
      <w:proofErr w:type="gramStart"/>
      <w:r>
        <w:t>lower</w:t>
      </w:r>
      <w:proofErr w:type="gramEnd"/>
    </w:p>
    <w:p w14:paraId="6B5D2EE1" w14:textId="77777777" w:rsidR="00547231" w:rsidRDefault="00632270">
      <w:r>
        <w:t>than the technology-based benchmark value. That is a standard practice in the NPDES permit program,</w:t>
      </w:r>
    </w:p>
    <w:p w14:paraId="70DC688B" w14:textId="77777777" w:rsidR="00547231" w:rsidRDefault="00632270">
      <w:r>
        <w:t>where there are identified potential data gaps, to col</w:t>
      </w:r>
      <w:r>
        <w:t xml:space="preserve">lect valid and applicable data over a 5-year </w:t>
      </w:r>
      <w:proofErr w:type="gramStart"/>
      <w:r>
        <w:t>permit</w:t>
      </w:r>
      <w:proofErr w:type="gramEnd"/>
    </w:p>
    <w:p w14:paraId="52A3919C" w14:textId="77777777" w:rsidR="00547231" w:rsidRDefault="00632270">
      <w:r>
        <w:t xml:space="preserve">cycle </w:t>
      </w:r>
      <w:r>
        <w:rPr>
          <w:b/>
        </w:rPr>
        <w:t xml:space="preserve">before </w:t>
      </w:r>
      <w:r>
        <w:t>establishing effluent limitations for the following permit.</w:t>
      </w:r>
    </w:p>
    <w:p w14:paraId="6815E3EA" w14:textId="77777777" w:rsidR="00547231" w:rsidRDefault="00547231"/>
    <w:p w14:paraId="2AD56479" w14:textId="77777777" w:rsidR="00547231" w:rsidRDefault="00632270">
      <w:r>
        <w:t xml:space="preserve">Beyond potential errors in the dissolved copper translator value used, there are concerns with </w:t>
      </w:r>
      <w:proofErr w:type="gramStart"/>
      <w:r>
        <w:t>other</w:t>
      </w:r>
      <w:proofErr w:type="gramEnd"/>
    </w:p>
    <w:p w14:paraId="577C2EFA" w14:textId="77777777" w:rsidR="00547231" w:rsidRDefault="00632270">
      <w:r>
        <w:t>elements of the copper benchm</w:t>
      </w:r>
      <w:r>
        <w:t>ark calculation. In its method for determining the copper benchmark</w:t>
      </w:r>
    </w:p>
    <w:p w14:paraId="52230F6D" w14:textId="77777777" w:rsidR="00547231" w:rsidRDefault="00632270">
      <w:r>
        <w:t>value, Ecology relies on and repeats the calculation method from a 2009 report titled Water Quality Risk</w:t>
      </w:r>
    </w:p>
    <w:p w14:paraId="2613A3F0" w14:textId="77777777" w:rsidR="00547231" w:rsidRDefault="00632270">
      <w:r>
        <w:t>Evaluation for Proposed Benchmarks/Action Levels in the Industrial Stormwater Gener</w:t>
      </w:r>
      <w:r>
        <w:t>al Permit</w:t>
      </w:r>
    </w:p>
    <w:p w14:paraId="5A84F1C6" w14:textId="77777777" w:rsidR="00547231" w:rsidRDefault="00632270">
      <w:pPr>
        <w:rPr>
          <w:u w:val="single"/>
        </w:rPr>
      </w:pPr>
      <w:r>
        <w:t>(Herrera, February 9, 2009). In this report it is noted that “</w:t>
      </w:r>
      <w:r>
        <w:rPr>
          <w:u w:val="single"/>
        </w:rPr>
        <w:t>The actual risk level that is deemed</w:t>
      </w:r>
    </w:p>
    <w:p w14:paraId="393C0CA0" w14:textId="77777777" w:rsidR="00547231" w:rsidRDefault="00632270">
      <w:r>
        <w:rPr>
          <w:u w:val="single"/>
        </w:rPr>
        <w:t xml:space="preserve">acceptable for exceeding water quality standards is a </w:t>
      </w:r>
      <w:r>
        <w:rPr>
          <w:b/>
          <w:u w:val="single"/>
        </w:rPr>
        <w:t>policy issue</w:t>
      </w:r>
      <w:r>
        <w:rPr>
          <w:b/>
        </w:rPr>
        <w:t xml:space="preserve"> </w:t>
      </w:r>
      <w:r>
        <w:t>that must be resolved by Ecology with</w:t>
      </w:r>
    </w:p>
    <w:p w14:paraId="4FBD2BD8" w14:textId="77777777" w:rsidR="00547231" w:rsidRDefault="00632270">
      <w:r>
        <w:t>input from other stakeholders associated w</w:t>
      </w:r>
      <w:r>
        <w:t>ith the ISWGP. In connection with ongoing discussions</w:t>
      </w:r>
    </w:p>
    <w:p w14:paraId="2747CF84" w14:textId="77777777" w:rsidR="00547231" w:rsidRDefault="00632270">
      <w:r>
        <w:t xml:space="preserve">between Ecology and the external stakeholder workgroup, proposed benchmarks and action levels </w:t>
      </w:r>
      <w:proofErr w:type="gramStart"/>
      <w:r>
        <w:t>are</w:t>
      </w:r>
      <w:proofErr w:type="gramEnd"/>
    </w:p>
    <w:p w14:paraId="08F0D0D3" w14:textId="77777777" w:rsidR="00547231" w:rsidRDefault="00632270">
      <w:r>
        <w:t xml:space="preserve">being considered based on a </w:t>
      </w:r>
      <w:r>
        <w:rPr>
          <w:u w:val="single"/>
        </w:rPr>
        <w:t>dilution factor of 5</w:t>
      </w:r>
      <w:r>
        <w:t xml:space="preserve">, and a </w:t>
      </w:r>
      <w:r>
        <w:rPr>
          <w:u w:val="single"/>
        </w:rPr>
        <w:t>10 percent risk threshold</w:t>
      </w:r>
      <w:r>
        <w:t xml:space="preserve"> for </w:t>
      </w:r>
      <w:proofErr w:type="gramStart"/>
      <w:r>
        <w:t>exceeding</w:t>
      </w:r>
      <w:proofErr w:type="gramEnd"/>
      <w:r>
        <w:t xml:space="preserve"> the</w:t>
      </w:r>
    </w:p>
    <w:p w14:paraId="1987E846" w14:textId="77777777" w:rsidR="00547231" w:rsidRDefault="00632270">
      <w:r>
        <w:t>appl</w:t>
      </w:r>
      <w:r>
        <w:t>icable water quality standard for each metal.” Given the significant logistical and financial impact to</w:t>
      </w:r>
    </w:p>
    <w:p w14:paraId="0DE6930F" w14:textId="77777777" w:rsidR="00547231" w:rsidRDefault="00632270">
      <w:r>
        <w:t xml:space="preserve">boatyards from this proposed copper benchmark change, it is incumbent on Ecology to avoid </w:t>
      </w:r>
      <w:proofErr w:type="gramStart"/>
      <w:r>
        <w:t>using</w:t>
      </w:r>
      <w:proofErr w:type="gramEnd"/>
    </w:p>
    <w:p w14:paraId="61A460D1" w14:textId="77777777" w:rsidR="00547231" w:rsidRDefault="00632270">
      <w:r>
        <w:t xml:space="preserve">arbitrary and/or excessively conservative criteria that </w:t>
      </w:r>
      <w:r>
        <w:t>have no clear basis in federal or state laws or</w:t>
      </w:r>
    </w:p>
    <w:p w14:paraId="7A231EDE" w14:textId="77777777" w:rsidR="00547231" w:rsidRDefault="00632270">
      <w:r>
        <w:t>regulations. To penalize boatyards with having to carry out onerous response actions based on a</w:t>
      </w:r>
    </w:p>
    <w:p w14:paraId="30642EE6" w14:textId="77777777" w:rsidR="00547231" w:rsidRDefault="00632270">
      <w:r>
        <w:t>stormwater copper discharge concentration of 16 µg/L, which even by Ecology’s conservative and likely</w:t>
      </w:r>
    </w:p>
    <w:p w14:paraId="0E67F7F6" w14:textId="77777777" w:rsidR="00547231" w:rsidRDefault="00632270">
      <w:r>
        <w:t>inappropri</w:t>
      </w:r>
      <w:r>
        <w:t xml:space="preserve">ate calculation has little more than 10 percent chance of temporarily exceeding the </w:t>
      </w:r>
      <w:proofErr w:type="gramStart"/>
      <w:r>
        <w:t>state</w:t>
      </w:r>
      <w:proofErr w:type="gramEnd"/>
    </w:p>
    <w:p w14:paraId="45A05A01" w14:textId="77777777" w:rsidR="00547231" w:rsidRDefault="00632270">
      <w:r>
        <w:t>water quality criterion, seems to be excessive.</w:t>
      </w:r>
    </w:p>
    <w:p w14:paraId="33A9B6B3" w14:textId="77777777" w:rsidR="00547231" w:rsidRDefault="00547231"/>
    <w:p w14:paraId="3EF474CD" w14:textId="77777777" w:rsidR="002C4E5A" w:rsidRDefault="002C4E5A">
      <w:pPr>
        <w:rPr>
          <w:b/>
        </w:rPr>
      </w:pPr>
    </w:p>
    <w:p w14:paraId="227941D4" w14:textId="77777777" w:rsidR="002C4E5A" w:rsidRDefault="002C4E5A">
      <w:pPr>
        <w:rPr>
          <w:b/>
        </w:rPr>
      </w:pPr>
      <w:r>
        <w:rPr>
          <w:b/>
        </w:rPr>
        <w:lastRenderedPageBreak/>
        <w:t>\</w:t>
      </w:r>
    </w:p>
    <w:p w14:paraId="22177ABB" w14:textId="77777777" w:rsidR="002C4E5A" w:rsidRDefault="002C4E5A">
      <w:pPr>
        <w:rPr>
          <w:b/>
        </w:rPr>
      </w:pPr>
    </w:p>
    <w:p w14:paraId="10D2BECE" w14:textId="1F8A9233" w:rsidR="00547231" w:rsidRDefault="00632270">
      <w:pPr>
        <w:rPr>
          <w:b/>
        </w:rPr>
      </w:pPr>
      <w:r>
        <w:rPr>
          <w:b/>
        </w:rPr>
        <w:t>Further Context on Concern over an Inappropriately Determined Water Quality-Based Benchmark</w:t>
      </w:r>
    </w:p>
    <w:p w14:paraId="7FEEAD23" w14:textId="77777777" w:rsidR="00547231" w:rsidRDefault="00632270">
      <w:r>
        <w:t>With the proposed dramati</w:t>
      </w:r>
      <w:r>
        <w:t xml:space="preserve">c lowering of the copper benchmark to 15 µg/L, we are concerned </w:t>
      </w:r>
      <w:proofErr w:type="gramStart"/>
      <w:r>
        <w:t>that</w:t>
      </w:r>
      <w:proofErr w:type="gramEnd"/>
    </w:p>
    <w:p w14:paraId="027522C9" w14:textId="77777777" w:rsidR="00547231" w:rsidRDefault="00632270">
      <w:r>
        <w:t>Ecology appears to have entirely dropped the joint agreement between Northwest Marine Trade</w:t>
      </w:r>
    </w:p>
    <w:p w14:paraId="62C4314A" w14:textId="77777777" w:rsidR="00547231" w:rsidRDefault="00632270">
      <w:r>
        <w:t>Association (NMTA) and Puget Soundkeeper Alliance (PSA) in 2007 and the associated research study</w:t>
      </w:r>
    </w:p>
    <w:p w14:paraId="1BA3CD89" w14:textId="77777777" w:rsidR="00547231" w:rsidRDefault="00632270">
      <w:r>
        <w:t xml:space="preserve">that provided technical assessment of applicable stormwater treatment technologies. This study </w:t>
      </w:r>
      <w:proofErr w:type="gramStart"/>
      <w:r>
        <w:t>was</w:t>
      </w:r>
      <w:proofErr w:type="gramEnd"/>
    </w:p>
    <w:p w14:paraId="7610CF97" w14:textId="77777777" w:rsidR="00547231" w:rsidRDefault="00632270">
      <w:r>
        <w:t>presented in a technology assessment report titled “Boatyar</w:t>
      </w:r>
      <w:r>
        <w:t>d Stormwater Treatment Study” produced</w:t>
      </w:r>
    </w:p>
    <w:p w14:paraId="4E6A8F81" w14:textId="79CC275B" w:rsidR="00547231" w:rsidRDefault="00632270">
      <w:r>
        <w:t>by Taylor Associates, Inc. in 2008. That study demonstrated multimedia filtration as being effective for</w:t>
      </w:r>
    </w:p>
    <w:p w14:paraId="691032C9" w14:textId="77777777" w:rsidR="00547231" w:rsidRDefault="00632270">
      <w:r>
        <w:t>copper and zinc removal from stormwater. As stated by Ecology in the draft 2021 Permit Fact Sheet, “In</w:t>
      </w:r>
    </w:p>
    <w:p w14:paraId="2D792A94" w14:textId="77777777" w:rsidR="00547231" w:rsidRDefault="00632270">
      <w:r>
        <w:t>2010, Ec</w:t>
      </w:r>
      <w:r>
        <w:t>ology deemed the level of performance from multimedia filtration as AKART,” with AKART being</w:t>
      </w:r>
    </w:p>
    <w:p w14:paraId="1C633647" w14:textId="77777777" w:rsidR="00547231" w:rsidRDefault="00632270">
      <w:r>
        <w:t xml:space="preserve">an acronym for All Known, Available and Reasonable methods of prevention, </w:t>
      </w:r>
      <w:proofErr w:type="gramStart"/>
      <w:r>
        <w:t>control</w:t>
      </w:r>
      <w:proofErr w:type="gramEnd"/>
      <w:r>
        <w:t xml:space="preserve"> and Treatment. In</w:t>
      </w:r>
    </w:p>
    <w:p w14:paraId="2525F259" w14:textId="77777777" w:rsidR="00547231" w:rsidRDefault="00632270">
      <w:r>
        <w:t>August 2008, following the treatment study report, the NMTA and</w:t>
      </w:r>
      <w:r>
        <w:t xml:space="preserve"> PSA sent a draft permit to </w:t>
      </w:r>
      <w:proofErr w:type="gramStart"/>
      <w:r>
        <w:t>Ecology</w:t>
      </w:r>
      <w:proofErr w:type="gramEnd"/>
    </w:p>
    <w:p w14:paraId="3BCF0EC8" w14:textId="77777777" w:rsidR="00547231" w:rsidRDefault="00632270">
      <w:r>
        <w:t xml:space="preserve">that they said was mutually acceptable, and which Ecology agreed and </w:t>
      </w:r>
      <w:proofErr w:type="gramStart"/>
      <w:r>
        <w:t>subsequently</w:t>
      </w:r>
      <w:proofErr w:type="gramEnd"/>
    </w:p>
    <w:p w14:paraId="1176EF51" w14:textId="77777777" w:rsidR="00547231" w:rsidRDefault="00632270">
      <w:r>
        <w:t>incorporated/adopted into the Current Permit.</w:t>
      </w:r>
    </w:p>
    <w:p w14:paraId="1AC7B60B" w14:textId="77777777" w:rsidR="00547231" w:rsidRDefault="00547231"/>
    <w:p w14:paraId="7A9F7FA3" w14:textId="77777777" w:rsidR="00547231" w:rsidRDefault="00632270">
      <w:r>
        <w:t>Finally, the apparently invalid scientific basis for determining the copper benchmark is of</w:t>
      </w:r>
      <w:r>
        <w:t xml:space="preserve"> </w:t>
      </w:r>
      <w:proofErr w:type="gramStart"/>
      <w:r>
        <w:t>heightened</w:t>
      </w:r>
      <w:proofErr w:type="gramEnd"/>
    </w:p>
    <w:p w14:paraId="53F08088" w14:textId="77777777" w:rsidR="00547231" w:rsidRDefault="00632270">
      <w:r>
        <w:t xml:space="preserve">concern considering the anti-backsliding provision of the NPDES permit development process, such </w:t>
      </w:r>
      <w:proofErr w:type="gramStart"/>
      <w:r>
        <w:t>that</w:t>
      </w:r>
      <w:proofErr w:type="gramEnd"/>
    </w:p>
    <w:p w14:paraId="4C7FC609" w14:textId="77777777" w:rsidR="00547231" w:rsidRDefault="00632270">
      <w:r>
        <w:t>an erroneously low benchmark value for copper would never be allowed to increase back to a properly-</w:t>
      </w:r>
    </w:p>
    <w:p w14:paraId="5CDD1EEF" w14:textId="77777777" w:rsidR="00547231" w:rsidRDefault="00632270">
      <w:r>
        <w:t>derived value, even if there were determi</w:t>
      </w:r>
      <w:r>
        <w:t xml:space="preserve">ned to be flaws or shortcomings with how the erroneously </w:t>
      </w:r>
      <w:proofErr w:type="gramStart"/>
      <w:r>
        <w:t>low</w:t>
      </w:r>
      <w:proofErr w:type="gramEnd"/>
    </w:p>
    <w:p w14:paraId="29F8A499" w14:textId="77777777" w:rsidR="00547231" w:rsidRDefault="00632270">
      <w:r>
        <w:t>value was calculated.</w:t>
      </w:r>
    </w:p>
    <w:p w14:paraId="42CF3907" w14:textId="77777777" w:rsidR="00547231" w:rsidRDefault="00547231"/>
    <w:p w14:paraId="22CBAB45" w14:textId="77777777" w:rsidR="00547231" w:rsidRDefault="00632270">
      <w:pPr>
        <w:rPr>
          <w:b/>
        </w:rPr>
      </w:pPr>
      <w:r>
        <w:rPr>
          <w:b/>
        </w:rPr>
        <w:t>S7. Inadequacy of Adaptive Management Provisions</w:t>
      </w:r>
    </w:p>
    <w:p w14:paraId="7A7634DA" w14:textId="77777777" w:rsidR="00547231" w:rsidRDefault="00632270">
      <w:r>
        <w:t>With conducting a proposed 6 stormwater sampling events within an 8-month monitoring period there</w:t>
      </w:r>
    </w:p>
    <w:p w14:paraId="23D697A4" w14:textId="77777777" w:rsidR="00547231" w:rsidRDefault="00632270">
      <w:r>
        <w:t>is likely to be inadequate time to complete a Level One response before the next monitoring event. Even</w:t>
      </w:r>
    </w:p>
    <w:p w14:paraId="7A843F93" w14:textId="77777777" w:rsidR="00547231" w:rsidRDefault="00632270">
      <w:r>
        <w:t>with diligent implementation of pollutant source contr</w:t>
      </w:r>
      <w:r>
        <w:t>ols and diligent attention to operating,</w:t>
      </w:r>
    </w:p>
    <w:p w14:paraId="3E87D1CE" w14:textId="77777777" w:rsidR="00547231" w:rsidRDefault="00632270">
      <w:r>
        <w:t xml:space="preserve">maintaining, and optimizing the installed stormwater treatment systems, we would expect to </w:t>
      </w:r>
      <w:proofErr w:type="gramStart"/>
      <w:r>
        <w:t>exceed</w:t>
      </w:r>
      <w:proofErr w:type="gramEnd"/>
    </w:p>
    <w:p w14:paraId="7B8898C9" w14:textId="77777777" w:rsidR="00547231" w:rsidRDefault="00632270">
      <w:r>
        <w:t>the copper benchmark each monitoring period and trigger a Level 3 response within the first year of the</w:t>
      </w:r>
    </w:p>
    <w:p w14:paraId="65F243CF" w14:textId="77777777" w:rsidR="002C4E5A" w:rsidRDefault="002C4E5A"/>
    <w:p w14:paraId="6415E927" w14:textId="77777777" w:rsidR="002C4E5A" w:rsidRDefault="002C4E5A"/>
    <w:p w14:paraId="5234859C" w14:textId="280EBC94" w:rsidR="002C4E5A" w:rsidRDefault="002C4E5A"/>
    <w:p w14:paraId="5865509B" w14:textId="77777777" w:rsidR="002C4E5A" w:rsidRDefault="002C4E5A"/>
    <w:p w14:paraId="425A45C4" w14:textId="379E6279" w:rsidR="00547231" w:rsidRDefault="00632270">
      <w:r>
        <w:t>new permit. T</w:t>
      </w:r>
      <w:r>
        <w:t>he adaptive management strategies that are in the permit would be of no use to delay or</w:t>
      </w:r>
    </w:p>
    <w:p w14:paraId="1C3335AA" w14:textId="77777777" w:rsidR="00547231" w:rsidRDefault="00632270">
      <w:r>
        <w:t>avoid a large cost for installing new infrastructure and advanced treatment.</w:t>
      </w:r>
    </w:p>
    <w:p w14:paraId="739E7CD7" w14:textId="77777777" w:rsidR="00547231" w:rsidRDefault="00547231"/>
    <w:p w14:paraId="22284C41" w14:textId="77777777" w:rsidR="00547231" w:rsidRDefault="00632270">
      <w:pPr>
        <w:rPr>
          <w:b/>
        </w:rPr>
      </w:pPr>
      <w:r>
        <w:rPr>
          <w:b/>
        </w:rPr>
        <w:t>S2.D Monitoring Frequency; Fact Sheet Pages 20, 23-24, 32</w:t>
      </w:r>
    </w:p>
    <w:p w14:paraId="7F020EBC" w14:textId="77777777" w:rsidR="00547231" w:rsidRDefault="00632270">
      <w:r>
        <w:t>Ecology has presented no data or</w:t>
      </w:r>
      <w:r>
        <w:t xml:space="preserve"> compelling rationale in its Fact Sheet for why a 6 </w:t>
      </w:r>
      <w:proofErr w:type="spellStart"/>
      <w:r>
        <w:t>th</w:t>
      </w:r>
      <w:proofErr w:type="spellEnd"/>
      <w:r>
        <w:t xml:space="preserve"> annual </w:t>
      </w:r>
      <w:proofErr w:type="gramStart"/>
      <w:r>
        <w:t>sampling</w:t>
      </w:r>
      <w:proofErr w:type="gramEnd"/>
    </w:p>
    <w:p w14:paraId="0CFC3A30" w14:textId="77777777" w:rsidR="00547231" w:rsidRDefault="00632270">
      <w:r>
        <w:t>event in March needed to be added to the permit. Page 20 of the draft Fact Sheet states,</w:t>
      </w:r>
    </w:p>
    <w:p w14:paraId="4350E887" w14:textId="77777777" w:rsidR="00547231" w:rsidRDefault="00547231"/>
    <w:p w14:paraId="11F55983" w14:textId="77777777" w:rsidR="00547231" w:rsidRDefault="00632270">
      <w:pPr>
        <w:rPr>
          <w:i/>
        </w:rPr>
      </w:pPr>
      <w:r>
        <w:rPr>
          <w:i/>
        </w:rPr>
        <w:t xml:space="preserve">Ecology has determined that the additional month of sampling in March is need to necessary to </w:t>
      </w:r>
      <w:proofErr w:type="gramStart"/>
      <w:r>
        <w:rPr>
          <w:i/>
        </w:rPr>
        <w:t>verify</w:t>
      </w:r>
      <w:proofErr w:type="gramEnd"/>
    </w:p>
    <w:p w14:paraId="726482E3" w14:textId="390B3564" w:rsidR="00547231" w:rsidRDefault="00632270">
      <w:pPr>
        <w:rPr>
          <w:i/>
        </w:rPr>
      </w:pPr>
      <w:r>
        <w:rPr>
          <w:i/>
        </w:rPr>
        <w:t>the effectiveness of best management practices during a month that typically sees high boatyard activity</w:t>
      </w:r>
      <w:r w:rsidR="002C4E5A">
        <w:rPr>
          <w:i/>
        </w:rPr>
        <w:t xml:space="preserve"> </w:t>
      </w:r>
      <w:r>
        <w:rPr>
          <w:i/>
        </w:rPr>
        <w:t>and rainfall.</w:t>
      </w:r>
    </w:p>
    <w:p w14:paraId="14FE359B" w14:textId="77777777" w:rsidR="00547231" w:rsidRDefault="00547231"/>
    <w:p w14:paraId="775B2797" w14:textId="77777777" w:rsidR="00547231" w:rsidRDefault="00632270">
      <w:r>
        <w:t>However, it seems that could be mo</w:t>
      </w:r>
      <w:r>
        <w:t xml:space="preserve">re appropriately addressed by simply moving one of the other </w:t>
      </w:r>
      <w:proofErr w:type="gramStart"/>
      <w:r>
        <w:t>5</w:t>
      </w:r>
      <w:proofErr w:type="gramEnd"/>
    </w:p>
    <w:p w14:paraId="7F0AB31A" w14:textId="77777777" w:rsidR="00547231" w:rsidRDefault="00632270">
      <w:r>
        <w:t>monitoring months to March, without increasing the burden of permit compliance (which would be</w:t>
      </w:r>
    </w:p>
    <w:p w14:paraId="5885F856" w14:textId="77777777" w:rsidR="00547231" w:rsidRDefault="00632270">
      <w:r>
        <w:t>above and beyond that of other industries in the state under the ISGP, which only requires samplin</w:t>
      </w:r>
      <w:r>
        <w:t xml:space="preserve">g </w:t>
      </w:r>
      <w:proofErr w:type="gramStart"/>
      <w:r>
        <w:t>4</w:t>
      </w:r>
      <w:proofErr w:type="gramEnd"/>
    </w:p>
    <w:p w14:paraId="2694D9E1" w14:textId="77777777" w:rsidR="00547231" w:rsidRDefault="00632270">
      <w:r>
        <w:t>times per year). Page 32 of the draft Fact Sheet states,</w:t>
      </w:r>
    </w:p>
    <w:p w14:paraId="37775006" w14:textId="77777777" w:rsidR="00547231" w:rsidRDefault="00547231"/>
    <w:p w14:paraId="7745D45D" w14:textId="77777777" w:rsidR="00547231" w:rsidRDefault="00632270">
      <w:pPr>
        <w:rPr>
          <w:i/>
        </w:rPr>
      </w:pPr>
      <w:r>
        <w:rPr>
          <w:i/>
        </w:rPr>
        <w:t xml:space="preserve">…the new permit has replaced the “seasonal average” measurement and benchmark and replaced </w:t>
      </w:r>
      <w:proofErr w:type="gramStart"/>
      <w:r>
        <w:rPr>
          <w:i/>
        </w:rPr>
        <w:t>it</w:t>
      </w:r>
      <w:proofErr w:type="gramEnd"/>
    </w:p>
    <w:p w14:paraId="4CF0D9FD" w14:textId="77777777" w:rsidR="00547231" w:rsidRDefault="00632270">
      <w:pPr>
        <w:rPr>
          <w:i/>
        </w:rPr>
      </w:pPr>
      <w:r>
        <w:rPr>
          <w:i/>
        </w:rPr>
        <w:t>with an additional sampling month of March.</w:t>
      </w:r>
    </w:p>
    <w:p w14:paraId="4EE78F75" w14:textId="77777777" w:rsidR="00547231" w:rsidRDefault="00547231">
      <w:pPr>
        <w:rPr>
          <w:i/>
        </w:rPr>
      </w:pPr>
    </w:p>
    <w:p w14:paraId="24775F76" w14:textId="77777777" w:rsidR="00547231" w:rsidRDefault="00632270">
      <w:r>
        <w:t xml:space="preserve">However, that is not at all an equivalent replacement. </w:t>
      </w:r>
      <w:r>
        <w:t>An additional sampling event adds sampling labor,</w:t>
      </w:r>
    </w:p>
    <w:p w14:paraId="1295F12F" w14:textId="77777777" w:rsidR="00547231" w:rsidRDefault="00632270">
      <w:r>
        <w:t>DMR reporting requirements, as well as the not insignificant external lab analysis costs associated with</w:t>
      </w:r>
    </w:p>
    <w:p w14:paraId="1D525E36" w14:textId="77777777" w:rsidR="00547231" w:rsidRDefault="00632270">
      <w:r>
        <w:t>the proposed expanded 6 benchmark parameters.</w:t>
      </w:r>
    </w:p>
    <w:p w14:paraId="7BF4F1B0" w14:textId="77777777" w:rsidR="00547231" w:rsidRDefault="00547231"/>
    <w:p w14:paraId="7EE8F65A" w14:textId="77777777" w:rsidR="00547231" w:rsidRDefault="00632270">
      <w:pPr>
        <w:rPr>
          <w:b/>
        </w:rPr>
      </w:pPr>
      <w:r>
        <w:rPr>
          <w:b/>
        </w:rPr>
        <w:t>Onerous Conditions that are Disproportionate to Boatya</w:t>
      </w:r>
      <w:r>
        <w:rPr>
          <w:b/>
        </w:rPr>
        <w:t>rds Versus other Industries</w:t>
      </w:r>
    </w:p>
    <w:p w14:paraId="4A3FDFFE" w14:textId="42589E2F" w:rsidR="00547231" w:rsidRDefault="00632270">
      <w:r>
        <w:t>Ecology appears to want to align the Boatyard general Permit with the conditions in the Industrial</w:t>
      </w:r>
    </w:p>
    <w:p w14:paraId="0F80F283" w14:textId="77777777" w:rsidR="00547231" w:rsidRDefault="00632270">
      <w:r>
        <w:t>Stormwater General Permit (ISGP), but there is a clear reason why the Boatyard Permit is separate and</w:t>
      </w:r>
    </w:p>
    <w:p w14:paraId="60E439E5" w14:textId="77777777" w:rsidR="00547231" w:rsidRDefault="00632270">
      <w:r>
        <w:t>distinct from the ISGP: the</w:t>
      </w:r>
      <w:r>
        <w:t xml:space="preserve"> pollutant sources, applicable Best Management Practices (BMPs), and</w:t>
      </w:r>
    </w:p>
    <w:p w14:paraId="204EE844" w14:textId="77777777" w:rsidR="002C4E5A" w:rsidRDefault="002C4E5A"/>
    <w:p w14:paraId="13D6E014" w14:textId="77777777" w:rsidR="002C4E5A" w:rsidRDefault="002C4E5A"/>
    <w:p w14:paraId="1C86E761" w14:textId="77777777" w:rsidR="002C4E5A" w:rsidRDefault="002C4E5A"/>
    <w:p w14:paraId="2E8DE9C6" w14:textId="355F1A76" w:rsidR="00547231" w:rsidRDefault="00632270">
      <w:r>
        <w:t>stormwater treatment needs are significantly different for a boatyard facility compared to the typical</w:t>
      </w:r>
    </w:p>
    <w:p w14:paraId="154E13C5" w14:textId="77777777" w:rsidR="00547231" w:rsidRDefault="00632270">
      <w:r>
        <w:t>ISGP facility.</w:t>
      </w:r>
    </w:p>
    <w:p w14:paraId="6F5920F0" w14:textId="77777777" w:rsidR="00547231" w:rsidRDefault="00547231"/>
    <w:p w14:paraId="4951961E" w14:textId="77777777" w:rsidR="00547231" w:rsidRDefault="00632270">
      <w:r>
        <w:t>In apparently wanting to align the Boatyard Permit with the ISGP, Ec</w:t>
      </w:r>
      <w:r>
        <w:t xml:space="preserve">ology has incorporated changes </w:t>
      </w:r>
      <w:proofErr w:type="gramStart"/>
      <w:r>
        <w:t>to</w:t>
      </w:r>
      <w:proofErr w:type="gramEnd"/>
    </w:p>
    <w:p w14:paraId="59F8CB59" w14:textId="77777777" w:rsidR="00547231" w:rsidRDefault="00632270">
      <w:r>
        <w:t>the Boatyard Permit that in fact make it disproportionately more onerous to boatyards as compared to</w:t>
      </w:r>
    </w:p>
    <w:p w14:paraId="389DF5FE" w14:textId="77777777" w:rsidR="00547231" w:rsidRDefault="00632270">
      <w:r>
        <w:t xml:space="preserve">an industrial facility under the ISGP. Examples of this disproportionate impact are listed in the </w:t>
      </w:r>
      <w:proofErr w:type="gramStart"/>
      <w:r>
        <w:t>following</w:t>
      </w:r>
      <w:proofErr w:type="gramEnd"/>
    </w:p>
    <w:p w14:paraId="45F4AB94" w14:textId="493F4CE5" w:rsidR="00600F50" w:rsidRDefault="00632270">
      <w:r>
        <w:t>table:</w:t>
      </w:r>
    </w:p>
    <w:tbl>
      <w:tblPr>
        <w:tblStyle w:val="TableGrid"/>
        <w:tblW w:w="0" w:type="auto"/>
        <w:tblInd w:w="-5" w:type="dxa"/>
        <w:tblLook w:val="04A0" w:firstRow="1" w:lastRow="0" w:firstColumn="1" w:lastColumn="0" w:noHBand="0" w:noVBand="1"/>
      </w:tblPr>
      <w:tblGrid>
        <w:gridCol w:w="3116"/>
        <w:gridCol w:w="3117"/>
        <w:gridCol w:w="3117"/>
      </w:tblGrid>
      <w:tr w:rsidR="00600F50" w14:paraId="3A1B9A82" w14:textId="77777777" w:rsidTr="00600F50">
        <w:trPr>
          <w:trHeight w:val="413"/>
        </w:trPr>
        <w:tc>
          <w:tcPr>
            <w:tcW w:w="3116" w:type="dxa"/>
            <w:tcBorders>
              <w:top w:val="single" w:sz="4" w:space="0" w:color="auto"/>
              <w:left w:val="single" w:sz="4" w:space="0" w:color="auto"/>
              <w:bottom w:val="single" w:sz="4" w:space="0" w:color="auto"/>
              <w:right w:val="single" w:sz="4" w:space="0" w:color="auto"/>
            </w:tcBorders>
            <w:vAlign w:val="center"/>
            <w:hideMark/>
          </w:tcPr>
          <w:p w14:paraId="14940836" w14:textId="77777777" w:rsidR="00600F50" w:rsidRDefault="00600F50">
            <w:pPr>
              <w:keepNext/>
              <w:keepLines/>
              <w:jc w:val="center"/>
              <w:rPr>
                <w:b/>
                <w:bCs/>
              </w:rPr>
            </w:pPr>
            <w:r>
              <w:rPr>
                <w:b/>
                <w:bCs/>
              </w:rPr>
              <w:t>Permit Condition</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E0BC66E" w14:textId="77777777" w:rsidR="00600F50" w:rsidRDefault="00600F50">
            <w:pPr>
              <w:keepNext/>
              <w:keepLines/>
              <w:jc w:val="center"/>
              <w:rPr>
                <w:b/>
                <w:bCs/>
              </w:rPr>
            </w:pPr>
            <w:r>
              <w:rPr>
                <w:b/>
                <w:bCs/>
              </w:rPr>
              <w:t>ISGP</w:t>
            </w:r>
          </w:p>
        </w:tc>
        <w:tc>
          <w:tcPr>
            <w:tcW w:w="3117" w:type="dxa"/>
            <w:tcBorders>
              <w:top w:val="single" w:sz="4" w:space="0" w:color="auto"/>
              <w:left w:val="single" w:sz="4" w:space="0" w:color="auto"/>
              <w:bottom w:val="single" w:sz="4" w:space="0" w:color="auto"/>
              <w:right w:val="single" w:sz="4" w:space="0" w:color="auto"/>
            </w:tcBorders>
            <w:vAlign w:val="center"/>
            <w:hideMark/>
          </w:tcPr>
          <w:p w14:paraId="74C81006" w14:textId="77777777" w:rsidR="00600F50" w:rsidRDefault="00600F50">
            <w:pPr>
              <w:keepNext/>
              <w:keepLines/>
              <w:jc w:val="center"/>
              <w:rPr>
                <w:b/>
                <w:bCs/>
              </w:rPr>
            </w:pPr>
            <w:r>
              <w:rPr>
                <w:b/>
                <w:bCs/>
              </w:rPr>
              <w:t>Draft Boatyard Permit</w:t>
            </w:r>
          </w:p>
        </w:tc>
      </w:tr>
      <w:tr w:rsidR="00600F50" w14:paraId="4628FDA4" w14:textId="77777777" w:rsidTr="00600F50">
        <w:trPr>
          <w:trHeight w:val="1187"/>
        </w:trPr>
        <w:tc>
          <w:tcPr>
            <w:tcW w:w="3116" w:type="dxa"/>
            <w:tcBorders>
              <w:top w:val="single" w:sz="4" w:space="0" w:color="auto"/>
              <w:left w:val="single" w:sz="4" w:space="0" w:color="auto"/>
              <w:bottom w:val="single" w:sz="4" w:space="0" w:color="auto"/>
              <w:right w:val="single" w:sz="4" w:space="0" w:color="auto"/>
            </w:tcBorders>
            <w:hideMark/>
          </w:tcPr>
          <w:p w14:paraId="50034F75" w14:textId="77777777" w:rsidR="00600F50" w:rsidRDefault="00600F50">
            <w:pPr>
              <w:keepNext/>
              <w:keepLines/>
            </w:pPr>
            <w:r>
              <w:rPr>
                <w:b/>
                <w:bCs/>
              </w:rPr>
              <w:t>S2.D</w:t>
            </w:r>
            <w:r>
              <w:t xml:space="preserve"> Sampling frequency</w:t>
            </w:r>
          </w:p>
        </w:tc>
        <w:tc>
          <w:tcPr>
            <w:tcW w:w="3117" w:type="dxa"/>
            <w:tcBorders>
              <w:top w:val="single" w:sz="4" w:space="0" w:color="auto"/>
              <w:left w:val="single" w:sz="4" w:space="0" w:color="auto"/>
              <w:bottom w:val="single" w:sz="4" w:space="0" w:color="auto"/>
              <w:right w:val="single" w:sz="4" w:space="0" w:color="auto"/>
            </w:tcBorders>
            <w:hideMark/>
          </w:tcPr>
          <w:p w14:paraId="2A0C1A5D" w14:textId="77777777" w:rsidR="00600F50" w:rsidRDefault="00600F50">
            <w:pPr>
              <w:keepNext/>
              <w:keepLines/>
            </w:pPr>
            <w:r>
              <w:t>4 times per year, flexible selection of sampling months in the 4 quarters (other than the first fall sample)</w:t>
            </w:r>
          </w:p>
        </w:tc>
        <w:tc>
          <w:tcPr>
            <w:tcW w:w="3117" w:type="dxa"/>
            <w:tcBorders>
              <w:top w:val="single" w:sz="4" w:space="0" w:color="auto"/>
              <w:left w:val="single" w:sz="4" w:space="0" w:color="auto"/>
              <w:bottom w:val="single" w:sz="4" w:space="0" w:color="auto"/>
              <w:right w:val="single" w:sz="4" w:space="0" w:color="auto"/>
            </w:tcBorders>
            <w:hideMark/>
          </w:tcPr>
          <w:p w14:paraId="2D5C39FA" w14:textId="77777777" w:rsidR="00600F50" w:rsidRDefault="00600F50">
            <w:pPr>
              <w:keepNext/>
              <w:keepLines/>
            </w:pPr>
            <w:r>
              <w:t xml:space="preserve">6 times per year, specific sampling months dictated </w:t>
            </w:r>
          </w:p>
        </w:tc>
      </w:tr>
      <w:tr w:rsidR="00600F50" w14:paraId="057EE831" w14:textId="77777777" w:rsidTr="00600F50">
        <w:trPr>
          <w:trHeight w:val="917"/>
        </w:trPr>
        <w:tc>
          <w:tcPr>
            <w:tcW w:w="3116" w:type="dxa"/>
            <w:tcBorders>
              <w:top w:val="single" w:sz="4" w:space="0" w:color="auto"/>
              <w:left w:val="single" w:sz="4" w:space="0" w:color="auto"/>
              <w:bottom w:val="single" w:sz="4" w:space="0" w:color="auto"/>
              <w:right w:val="single" w:sz="4" w:space="0" w:color="auto"/>
            </w:tcBorders>
            <w:hideMark/>
          </w:tcPr>
          <w:p w14:paraId="2D9763E8" w14:textId="77777777" w:rsidR="00600F50" w:rsidRDefault="00600F50">
            <w:pPr>
              <w:keepNext/>
              <w:keepLines/>
            </w:pPr>
            <w:r>
              <w:rPr>
                <w:b/>
                <w:bCs/>
              </w:rPr>
              <w:t>S7.A</w:t>
            </w:r>
            <w:r>
              <w:t xml:space="preserve"> Benchmark exceedances that count toward Level 2 or Level 3 response actions</w:t>
            </w:r>
          </w:p>
        </w:tc>
        <w:tc>
          <w:tcPr>
            <w:tcW w:w="3117" w:type="dxa"/>
            <w:tcBorders>
              <w:top w:val="single" w:sz="4" w:space="0" w:color="auto"/>
              <w:left w:val="single" w:sz="4" w:space="0" w:color="auto"/>
              <w:bottom w:val="single" w:sz="4" w:space="0" w:color="auto"/>
              <w:right w:val="single" w:sz="4" w:space="0" w:color="auto"/>
            </w:tcBorders>
            <w:hideMark/>
          </w:tcPr>
          <w:p w14:paraId="23E08144" w14:textId="77777777" w:rsidR="00600F50" w:rsidRDefault="00600F50">
            <w:pPr>
              <w:keepNext/>
              <w:keepLines/>
            </w:pPr>
            <w:r>
              <w:t>Reset to zero each calendar year</w:t>
            </w:r>
          </w:p>
        </w:tc>
        <w:tc>
          <w:tcPr>
            <w:tcW w:w="3117" w:type="dxa"/>
            <w:tcBorders>
              <w:top w:val="single" w:sz="4" w:space="0" w:color="auto"/>
              <w:left w:val="single" w:sz="4" w:space="0" w:color="auto"/>
              <w:bottom w:val="single" w:sz="4" w:space="0" w:color="auto"/>
              <w:right w:val="single" w:sz="4" w:space="0" w:color="auto"/>
            </w:tcBorders>
            <w:hideMark/>
          </w:tcPr>
          <w:p w14:paraId="76CBDA34" w14:textId="77777777" w:rsidR="00600F50" w:rsidRDefault="00600F50">
            <w:pPr>
              <w:keepNext/>
              <w:keepLines/>
            </w:pPr>
            <w:r>
              <w:t>“…are counted during the effective term of the permit and do not reset annually.”</w:t>
            </w:r>
          </w:p>
        </w:tc>
      </w:tr>
      <w:tr w:rsidR="00600F50" w14:paraId="6A909F15" w14:textId="77777777" w:rsidTr="00600F50">
        <w:trPr>
          <w:trHeight w:val="368"/>
        </w:trPr>
        <w:tc>
          <w:tcPr>
            <w:tcW w:w="3116" w:type="dxa"/>
            <w:tcBorders>
              <w:top w:val="single" w:sz="4" w:space="0" w:color="auto"/>
              <w:left w:val="single" w:sz="4" w:space="0" w:color="auto"/>
              <w:bottom w:val="single" w:sz="4" w:space="0" w:color="auto"/>
              <w:right w:val="single" w:sz="4" w:space="0" w:color="auto"/>
            </w:tcBorders>
            <w:hideMark/>
          </w:tcPr>
          <w:p w14:paraId="709E5778" w14:textId="77777777" w:rsidR="00600F50" w:rsidRDefault="00600F50">
            <w:pPr>
              <w:keepNext/>
              <w:keepLines/>
            </w:pPr>
            <w:r>
              <w:rPr>
                <w:b/>
                <w:bCs/>
              </w:rPr>
              <w:t>S2.D</w:t>
            </w:r>
            <w:r>
              <w:t xml:space="preserve"> Benchmark value for zinc</w:t>
            </w:r>
          </w:p>
        </w:tc>
        <w:tc>
          <w:tcPr>
            <w:tcW w:w="3117" w:type="dxa"/>
            <w:tcBorders>
              <w:top w:val="single" w:sz="4" w:space="0" w:color="auto"/>
              <w:left w:val="single" w:sz="4" w:space="0" w:color="auto"/>
              <w:bottom w:val="single" w:sz="4" w:space="0" w:color="auto"/>
              <w:right w:val="single" w:sz="4" w:space="0" w:color="auto"/>
            </w:tcBorders>
            <w:hideMark/>
          </w:tcPr>
          <w:p w14:paraId="058E953A" w14:textId="77777777" w:rsidR="00600F50" w:rsidRDefault="00600F50">
            <w:pPr>
              <w:keepNext/>
              <w:keepLines/>
            </w:pPr>
            <w:r>
              <w:t xml:space="preserve">117 </w:t>
            </w:r>
            <w:r>
              <w:rPr>
                <w:rFonts w:cstheme="minorHAnsi"/>
              </w:rPr>
              <w:t>µ</w:t>
            </w:r>
            <w:r>
              <w:t>g/L</w:t>
            </w:r>
          </w:p>
        </w:tc>
        <w:tc>
          <w:tcPr>
            <w:tcW w:w="3117" w:type="dxa"/>
            <w:tcBorders>
              <w:top w:val="single" w:sz="4" w:space="0" w:color="auto"/>
              <w:left w:val="single" w:sz="4" w:space="0" w:color="auto"/>
              <w:bottom w:val="single" w:sz="4" w:space="0" w:color="auto"/>
              <w:right w:val="single" w:sz="4" w:space="0" w:color="auto"/>
            </w:tcBorders>
            <w:hideMark/>
          </w:tcPr>
          <w:p w14:paraId="49FF84A6" w14:textId="77777777" w:rsidR="00600F50" w:rsidRDefault="00600F50">
            <w:pPr>
              <w:keepNext/>
              <w:keepLines/>
            </w:pPr>
            <w:r>
              <w:t xml:space="preserve">90 </w:t>
            </w:r>
            <w:r>
              <w:rPr>
                <w:rFonts w:cstheme="minorHAnsi"/>
              </w:rPr>
              <w:t>µ</w:t>
            </w:r>
            <w:r>
              <w:t>g/L</w:t>
            </w:r>
          </w:p>
        </w:tc>
      </w:tr>
      <w:tr w:rsidR="00600F50" w14:paraId="715A44BC" w14:textId="77777777" w:rsidTr="00600F50">
        <w:trPr>
          <w:trHeight w:val="350"/>
        </w:trPr>
        <w:tc>
          <w:tcPr>
            <w:tcW w:w="3116" w:type="dxa"/>
            <w:tcBorders>
              <w:top w:val="single" w:sz="4" w:space="0" w:color="auto"/>
              <w:left w:val="single" w:sz="4" w:space="0" w:color="auto"/>
              <w:bottom w:val="single" w:sz="4" w:space="0" w:color="auto"/>
              <w:right w:val="single" w:sz="4" w:space="0" w:color="auto"/>
            </w:tcBorders>
            <w:hideMark/>
          </w:tcPr>
          <w:p w14:paraId="4933CD1C" w14:textId="77777777" w:rsidR="00600F50" w:rsidRDefault="00600F50">
            <w:pPr>
              <w:keepNext/>
              <w:keepLines/>
            </w:pPr>
            <w:r>
              <w:rPr>
                <w:b/>
                <w:bCs/>
              </w:rPr>
              <w:t>S2.D</w:t>
            </w:r>
            <w:r>
              <w:t xml:space="preserve"> Benchmark value for pH</w:t>
            </w:r>
          </w:p>
        </w:tc>
        <w:tc>
          <w:tcPr>
            <w:tcW w:w="3117" w:type="dxa"/>
            <w:tcBorders>
              <w:top w:val="single" w:sz="4" w:space="0" w:color="auto"/>
              <w:left w:val="single" w:sz="4" w:space="0" w:color="auto"/>
              <w:bottom w:val="single" w:sz="4" w:space="0" w:color="auto"/>
              <w:right w:val="single" w:sz="4" w:space="0" w:color="auto"/>
            </w:tcBorders>
            <w:hideMark/>
          </w:tcPr>
          <w:p w14:paraId="635074E6" w14:textId="77777777" w:rsidR="00600F50" w:rsidRDefault="00600F50">
            <w:pPr>
              <w:keepNext/>
              <w:keepLines/>
            </w:pPr>
            <w:r>
              <w:t>5-9</w:t>
            </w:r>
          </w:p>
        </w:tc>
        <w:tc>
          <w:tcPr>
            <w:tcW w:w="3117" w:type="dxa"/>
            <w:tcBorders>
              <w:top w:val="single" w:sz="4" w:space="0" w:color="auto"/>
              <w:left w:val="single" w:sz="4" w:space="0" w:color="auto"/>
              <w:bottom w:val="single" w:sz="4" w:space="0" w:color="auto"/>
              <w:right w:val="single" w:sz="4" w:space="0" w:color="auto"/>
            </w:tcBorders>
            <w:hideMark/>
          </w:tcPr>
          <w:p w14:paraId="20A19192" w14:textId="77777777" w:rsidR="00600F50" w:rsidRDefault="00600F50">
            <w:pPr>
              <w:keepNext/>
              <w:keepLines/>
            </w:pPr>
            <w:r>
              <w:t>6-9</w:t>
            </w:r>
          </w:p>
        </w:tc>
      </w:tr>
      <w:tr w:rsidR="00600F50" w14:paraId="592A7E38" w14:textId="77777777" w:rsidTr="00600F50">
        <w:trPr>
          <w:trHeight w:val="665"/>
        </w:trPr>
        <w:tc>
          <w:tcPr>
            <w:tcW w:w="3116" w:type="dxa"/>
            <w:tcBorders>
              <w:top w:val="single" w:sz="4" w:space="0" w:color="auto"/>
              <w:left w:val="single" w:sz="4" w:space="0" w:color="auto"/>
              <w:bottom w:val="single" w:sz="4" w:space="0" w:color="auto"/>
              <w:right w:val="single" w:sz="4" w:space="0" w:color="auto"/>
            </w:tcBorders>
            <w:hideMark/>
          </w:tcPr>
          <w:p w14:paraId="2F0BD111" w14:textId="77777777" w:rsidR="00600F50" w:rsidRDefault="00600F50">
            <w:pPr>
              <w:keepNext/>
              <w:keepLines/>
            </w:pPr>
            <w:r>
              <w:rPr>
                <w:b/>
                <w:bCs/>
              </w:rPr>
              <w:t>S2.D</w:t>
            </w:r>
            <w:r>
              <w:t xml:space="preserve"> Sampling requirements for stormwater discharge to ground</w:t>
            </w:r>
          </w:p>
        </w:tc>
        <w:tc>
          <w:tcPr>
            <w:tcW w:w="3117" w:type="dxa"/>
            <w:tcBorders>
              <w:top w:val="single" w:sz="4" w:space="0" w:color="auto"/>
              <w:left w:val="single" w:sz="4" w:space="0" w:color="auto"/>
              <w:bottom w:val="single" w:sz="4" w:space="0" w:color="auto"/>
              <w:right w:val="single" w:sz="4" w:space="0" w:color="auto"/>
            </w:tcBorders>
            <w:hideMark/>
          </w:tcPr>
          <w:p w14:paraId="73603AE3" w14:textId="77777777" w:rsidR="00600F50" w:rsidRDefault="00600F50">
            <w:pPr>
              <w:keepNext/>
              <w:keepLines/>
            </w:pPr>
            <w:r>
              <w:t>None</w:t>
            </w:r>
          </w:p>
        </w:tc>
        <w:tc>
          <w:tcPr>
            <w:tcW w:w="3117" w:type="dxa"/>
            <w:tcBorders>
              <w:top w:val="single" w:sz="4" w:space="0" w:color="auto"/>
              <w:left w:val="single" w:sz="4" w:space="0" w:color="auto"/>
              <w:bottom w:val="single" w:sz="4" w:space="0" w:color="auto"/>
              <w:right w:val="single" w:sz="4" w:space="0" w:color="auto"/>
            </w:tcBorders>
            <w:hideMark/>
          </w:tcPr>
          <w:p w14:paraId="4DBFFBC4" w14:textId="77777777" w:rsidR="00600F50" w:rsidRDefault="00600F50">
            <w:pPr>
              <w:keepNext/>
              <w:keepLines/>
            </w:pPr>
            <w:r>
              <w:t>6 samples per year, in selected months</w:t>
            </w:r>
          </w:p>
        </w:tc>
      </w:tr>
      <w:tr w:rsidR="00600F50" w14:paraId="34A8B1E7" w14:textId="77777777" w:rsidTr="00600F50">
        <w:trPr>
          <w:trHeight w:val="620"/>
        </w:trPr>
        <w:tc>
          <w:tcPr>
            <w:tcW w:w="3116" w:type="dxa"/>
            <w:tcBorders>
              <w:top w:val="single" w:sz="4" w:space="0" w:color="auto"/>
              <w:left w:val="single" w:sz="4" w:space="0" w:color="auto"/>
              <w:bottom w:val="single" w:sz="4" w:space="0" w:color="auto"/>
              <w:right w:val="single" w:sz="4" w:space="0" w:color="auto"/>
            </w:tcBorders>
            <w:hideMark/>
          </w:tcPr>
          <w:p w14:paraId="4E391963" w14:textId="77777777" w:rsidR="00600F50" w:rsidRDefault="00600F50">
            <w:pPr>
              <w:keepNext/>
              <w:keepLines/>
            </w:pPr>
            <w:r>
              <w:rPr>
                <w:b/>
                <w:bCs/>
              </w:rPr>
              <w:t>S2.D</w:t>
            </w:r>
            <w:r>
              <w:t xml:space="preserve"> Maximum concentration limits for infiltration to ground</w:t>
            </w:r>
          </w:p>
        </w:tc>
        <w:tc>
          <w:tcPr>
            <w:tcW w:w="3117" w:type="dxa"/>
            <w:tcBorders>
              <w:top w:val="single" w:sz="4" w:space="0" w:color="auto"/>
              <w:left w:val="single" w:sz="4" w:space="0" w:color="auto"/>
              <w:bottom w:val="single" w:sz="4" w:space="0" w:color="auto"/>
              <w:right w:val="single" w:sz="4" w:space="0" w:color="auto"/>
            </w:tcBorders>
            <w:hideMark/>
          </w:tcPr>
          <w:p w14:paraId="7F8FCC25" w14:textId="77777777" w:rsidR="00600F50" w:rsidRDefault="00600F50">
            <w:pPr>
              <w:keepNext/>
              <w:keepLines/>
            </w:pPr>
            <w:r>
              <w:t>None</w:t>
            </w:r>
          </w:p>
        </w:tc>
        <w:tc>
          <w:tcPr>
            <w:tcW w:w="3117" w:type="dxa"/>
            <w:tcBorders>
              <w:top w:val="single" w:sz="4" w:space="0" w:color="auto"/>
              <w:left w:val="single" w:sz="4" w:space="0" w:color="auto"/>
              <w:bottom w:val="single" w:sz="4" w:space="0" w:color="auto"/>
              <w:right w:val="single" w:sz="4" w:space="0" w:color="auto"/>
            </w:tcBorders>
            <w:hideMark/>
          </w:tcPr>
          <w:p w14:paraId="4A9797D5" w14:textId="77777777" w:rsidR="00600F50" w:rsidRDefault="00600F50">
            <w:pPr>
              <w:keepNext/>
              <w:keepLines/>
            </w:pPr>
            <w:r>
              <w:t>Concentration limits for both copper and zinc</w:t>
            </w:r>
          </w:p>
        </w:tc>
      </w:tr>
      <w:tr w:rsidR="00600F50" w14:paraId="75BC2F7F" w14:textId="77777777" w:rsidTr="00600F50">
        <w:trPr>
          <w:trHeight w:val="620"/>
        </w:trPr>
        <w:tc>
          <w:tcPr>
            <w:tcW w:w="3116" w:type="dxa"/>
            <w:tcBorders>
              <w:top w:val="single" w:sz="4" w:space="0" w:color="auto"/>
              <w:left w:val="single" w:sz="4" w:space="0" w:color="auto"/>
              <w:bottom w:val="single" w:sz="4" w:space="0" w:color="auto"/>
              <w:right w:val="single" w:sz="4" w:space="0" w:color="auto"/>
            </w:tcBorders>
            <w:hideMark/>
          </w:tcPr>
          <w:p w14:paraId="46BDB77F" w14:textId="77777777" w:rsidR="00600F50" w:rsidRDefault="00600F50">
            <w:pPr>
              <w:keepNext/>
              <w:keepLines/>
            </w:pPr>
            <w:r>
              <w:rPr>
                <w:b/>
                <w:bCs/>
              </w:rPr>
              <w:t>S2.D</w:t>
            </w:r>
            <w:r>
              <w:t xml:space="preserve"> Pretreatment requirement for infiltration basin/trench</w:t>
            </w:r>
          </w:p>
        </w:tc>
        <w:tc>
          <w:tcPr>
            <w:tcW w:w="3117" w:type="dxa"/>
            <w:tcBorders>
              <w:top w:val="single" w:sz="4" w:space="0" w:color="auto"/>
              <w:left w:val="single" w:sz="4" w:space="0" w:color="auto"/>
              <w:bottom w:val="single" w:sz="4" w:space="0" w:color="auto"/>
              <w:right w:val="single" w:sz="4" w:space="0" w:color="auto"/>
            </w:tcBorders>
            <w:hideMark/>
          </w:tcPr>
          <w:p w14:paraId="77354F09" w14:textId="77777777" w:rsidR="00600F50" w:rsidRDefault="00600F50">
            <w:pPr>
              <w:keepNext/>
              <w:keepLines/>
            </w:pPr>
            <w:r>
              <w:t>None</w:t>
            </w:r>
          </w:p>
        </w:tc>
        <w:tc>
          <w:tcPr>
            <w:tcW w:w="3117" w:type="dxa"/>
            <w:tcBorders>
              <w:top w:val="single" w:sz="4" w:space="0" w:color="auto"/>
              <w:left w:val="single" w:sz="4" w:space="0" w:color="auto"/>
              <w:bottom w:val="single" w:sz="4" w:space="0" w:color="auto"/>
              <w:right w:val="single" w:sz="4" w:space="0" w:color="auto"/>
            </w:tcBorders>
            <w:hideMark/>
          </w:tcPr>
          <w:p w14:paraId="53260C8C" w14:textId="77777777" w:rsidR="00600F50" w:rsidRDefault="00600F50">
            <w:pPr>
              <w:keepNext/>
              <w:keepLines/>
            </w:pPr>
            <w:r>
              <w:t>Absorptive media required</w:t>
            </w:r>
          </w:p>
        </w:tc>
      </w:tr>
      <w:tr w:rsidR="00600F50" w14:paraId="20EF73B7" w14:textId="77777777" w:rsidTr="00600F50">
        <w:trPr>
          <w:trHeight w:val="890"/>
        </w:trPr>
        <w:tc>
          <w:tcPr>
            <w:tcW w:w="3116" w:type="dxa"/>
            <w:tcBorders>
              <w:top w:val="single" w:sz="4" w:space="0" w:color="auto"/>
              <w:left w:val="single" w:sz="4" w:space="0" w:color="auto"/>
              <w:bottom w:val="single" w:sz="4" w:space="0" w:color="auto"/>
              <w:right w:val="single" w:sz="4" w:space="0" w:color="auto"/>
            </w:tcBorders>
            <w:hideMark/>
          </w:tcPr>
          <w:p w14:paraId="4F7716C5" w14:textId="77777777" w:rsidR="00600F50" w:rsidRDefault="00600F50">
            <w:pPr>
              <w:keepNext/>
              <w:keepLines/>
            </w:pPr>
            <w:r>
              <w:rPr>
                <w:b/>
                <w:bCs/>
              </w:rPr>
              <w:t>S2.D</w:t>
            </w:r>
            <w:r>
              <w:t xml:space="preserve"> Ability to discontinue sampling for a parameter</w:t>
            </w:r>
          </w:p>
        </w:tc>
        <w:tc>
          <w:tcPr>
            <w:tcW w:w="3117" w:type="dxa"/>
            <w:tcBorders>
              <w:top w:val="single" w:sz="4" w:space="0" w:color="auto"/>
              <w:left w:val="single" w:sz="4" w:space="0" w:color="auto"/>
              <w:bottom w:val="single" w:sz="4" w:space="0" w:color="auto"/>
              <w:right w:val="single" w:sz="4" w:space="0" w:color="auto"/>
            </w:tcBorders>
            <w:hideMark/>
          </w:tcPr>
          <w:p w14:paraId="26B15251" w14:textId="77777777" w:rsidR="00600F50" w:rsidRDefault="00600F50">
            <w:pPr>
              <w:keepNext/>
              <w:keepLines/>
            </w:pPr>
            <w:r>
              <w:t>“Consistent attainment” achieved after 8 consecutive samples meeting benchmark</w:t>
            </w:r>
          </w:p>
        </w:tc>
        <w:tc>
          <w:tcPr>
            <w:tcW w:w="3117" w:type="dxa"/>
            <w:tcBorders>
              <w:top w:val="single" w:sz="4" w:space="0" w:color="auto"/>
              <w:left w:val="single" w:sz="4" w:space="0" w:color="auto"/>
              <w:bottom w:val="single" w:sz="4" w:space="0" w:color="auto"/>
              <w:right w:val="single" w:sz="4" w:space="0" w:color="auto"/>
            </w:tcBorders>
            <w:hideMark/>
          </w:tcPr>
          <w:p w14:paraId="7BAFC397" w14:textId="77777777" w:rsidR="00600F50" w:rsidRDefault="00600F50">
            <w:pPr>
              <w:keepNext/>
              <w:keepLines/>
            </w:pPr>
            <w:r>
              <w:t>No established path to discontinue sampling through “consistent attainment”</w:t>
            </w:r>
          </w:p>
        </w:tc>
      </w:tr>
    </w:tbl>
    <w:p w14:paraId="4E5D98B0" w14:textId="77777777" w:rsidR="00600F50" w:rsidRDefault="00600F50"/>
    <w:p w14:paraId="6E7CFEB2" w14:textId="77777777" w:rsidR="00547231" w:rsidRDefault="00632270">
      <w:r>
        <w:t xml:space="preserve">Given the above more restrictive elements of the draft permit compared to the ISGP, which all </w:t>
      </w:r>
      <w:proofErr w:type="gramStart"/>
      <w:r>
        <w:t>have</w:t>
      </w:r>
      <w:proofErr w:type="gramEnd"/>
    </w:p>
    <w:p w14:paraId="4C43EC6C" w14:textId="77777777" w:rsidR="00547231" w:rsidRDefault="00632270">
      <w:r>
        <w:t xml:space="preserve">potential cost impacts to boatyards, how can Ecology justify the statement from its Economic </w:t>
      </w:r>
      <w:proofErr w:type="gramStart"/>
      <w:r>
        <w:t>Impact</w:t>
      </w:r>
      <w:proofErr w:type="gramEnd"/>
    </w:p>
    <w:p w14:paraId="702D0F60" w14:textId="77777777" w:rsidR="002C4E5A" w:rsidRDefault="002C4E5A"/>
    <w:p w14:paraId="08CA6166" w14:textId="77777777" w:rsidR="002C4E5A" w:rsidRDefault="002C4E5A"/>
    <w:p w14:paraId="4C02FEE5" w14:textId="77777777" w:rsidR="002C4E5A" w:rsidRDefault="002C4E5A"/>
    <w:p w14:paraId="55FB4E32" w14:textId="77777777" w:rsidR="002C4E5A" w:rsidRDefault="002C4E5A"/>
    <w:p w14:paraId="346FA223" w14:textId="77777777" w:rsidR="002C4E5A" w:rsidRDefault="002C4E5A"/>
    <w:p w14:paraId="15203C47" w14:textId="77777777" w:rsidR="002C4E5A" w:rsidRDefault="002C4E5A"/>
    <w:p w14:paraId="64D1CB84" w14:textId="39ABF69A" w:rsidR="00547231" w:rsidRDefault="00632270">
      <w:r>
        <w:t>Analysis that “Ecology has determined there is no opport</w:t>
      </w:r>
      <w:r>
        <w:t xml:space="preserve">unity to significantly reduce the costs of </w:t>
      </w:r>
      <w:proofErr w:type="gramStart"/>
      <w:r>
        <w:t>this</w:t>
      </w:r>
      <w:proofErr w:type="gramEnd"/>
    </w:p>
    <w:p w14:paraId="1E88DE69" w14:textId="41D23827" w:rsidR="00547231" w:rsidRDefault="00632270">
      <w:r>
        <w:t>permit…”? Rather, it seems that was an erroneous statement, and that Ecology has many reasonable</w:t>
      </w:r>
    </w:p>
    <w:p w14:paraId="03C931F2" w14:textId="77777777" w:rsidR="00547231" w:rsidRDefault="00632270">
      <w:r>
        <w:t>opportunities to reduce the costs of complying with this permit. That is especially so when also</w:t>
      </w:r>
    </w:p>
    <w:p w14:paraId="588DD58C" w14:textId="77777777" w:rsidR="00547231" w:rsidRDefault="00632270">
      <w:r>
        <w:t xml:space="preserve">considering </w:t>
      </w:r>
      <w:r>
        <w:t>the potentially inappropriate data and assumptions that Ecology used when determining the</w:t>
      </w:r>
    </w:p>
    <w:p w14:paraId="54464462" w14:textId="77777777" w:rsidR="00547231" w:rsidRDefault="00632270">
      <w:r>
        <w:t>water quality-based benchmark value for copper, as discussed earlier in this comment letter.</w:t>
      </w:r>
    </w:p>
    <w:p w14:paraId="26BA4C5A" w14:textId="77777777" w:rsidR="00547231" w:rsidRDefault="00547231"/>
    <w:p w14:paraId="540FEFFC" w14:textId="77777777" w:rsidR="00547231" w:rsidRDefault="00632270">
      <w:r>
        <w:t>Specifically, as mentioned earlier, if the proposed 15 µg/L copper bench</w:t>
      </w:r>
      <w:r>
        <w:t xml:space="preserve">mark </w:t>
      </w:r>
      <w:proofErr w:type="gramStart"/>
      <w:r>
        <w:t>is allowed to</w:t>
      </w:r>
      <w:proofErr w:type="gramEnd"/>
      <w:r>
        <w:t xml:space="preserve"> become final,</w:t>
      </w:r>
    </w:p>
    <w:p w14:paraId="027687D8" w14:textId="77777777" w:rsidR="00547231" w:rsidRDefault="00632270">
      <w:r>
        <w:t xml:space="preserve">we would need to make significant modifications to our stormwater conveyance infrastructure in </w:t>
      </w:r>
      <w:proofErr w:type="gramStart"/>
      <w:r>
        <w:t>order</w:t>
      </w:r>
      <w:proofErr w:type="gramEnd"/>
    </w:p>
    <w:p w14:paraId="18460F29" w14:textId="77777777" w:rsidR="00547231" w:rsidRDefault="00632270">
      <w:r>
        <w:t>to install an advanced stormwater treatment system. The cost for the infrastructure modifications and</w:t>
      </w:r>
    </w:p>
    <w:p w14:paraId="52C05962" w14:textId="77777777" w:rsidR="00547231" w:rsidRDefault="00632270">
      <w:r>
        <w:t>for the treatment itself does not appear to be adequately estimated in Ecology’s Small Business</w:t>
      </w:r>
    </w:p>
    <w:p w14:paraId="3831EC01" w14:textId="77777777" w:rsidR="00547231" w:rsidRDefault="00632270">
      <w:r>
        <w:t xml:space="preserve">Economic Impact Analysis (February 2021, Publication 21-10-004), which cites a range of annualized </w:t>
      </w:r>
      <w:proofErr w:type="gramStart"/>
      <w:r>
        <w:t>cost</w:t>
      </w:r>
      <w:proofErr w:type="gramEnd"/>
    </w:p>
    <w:p w14:paraId="6E37AF50" w14:textId="77777777" w:rsidR="00547231" w:rsidRDefault="00632270">
      <w:r>
        <w:t>for “Stormwater Treatment Technology” of $23,161 to $62,</w:t>
      </w:r>
      <w:r>
        <w:t>079 for a “Small Boatyard.” The Economic</w:t>
      </w:r>
    </w:p>
    <w:p w14:paraId="694D7ECE" w14:textId="77777777" w:rsidR="00547231" w:rsidRDefault="00632270">
      <w:r>
        <w:t xml:space="preserve">Impact Analysis report and the draft Permit Fact Sheet do not adequately spell out what </w:t>
      </w:r>
      <w:proofErr w:type="gramStart"/>
      <w:r>
        <w:t>infrastructure</w:t>
      </w:r>
      <w:proofErr w:type="gramEnd"/>
    </w:p>
    <w:p w14:paraId="5D0690A8" w14:textId="77777777" w:rsidR="00547231" w:rsidRDefault="00632270">
      <w:r>
        <w:t>improvements and treatment technologies were used to develop that estimated range of cost.</w:t>
      </w:r>
    </w:p>
    <w:p w14:paraId="5FE8657B" w14:textId="77777777" w:rsidR="00547231" w:rsidRDefault="00547231"/>
    <w:p w14:paraId="718A0176" w14:textId="77777777" w:rsidR="00547231" w:rsidRDefault="00632270">
      <w:r>
        <w:t>Even with a possible</w:t>
      </w:r>
      <w:r>
        <w:t xml:space="preserve"> under-estimation of cost, the conclusion of the analysis was that the annual </w:t>
      </w:r>
      <w:proofErr w:type="gramStart"/>
      <w:r>
        <w:t>cost</w:t>
      </w:r>
      <w:proofErr w:type="gramEnd"/>
    </w:p>
    <w:p w14:paraId="56670DA4" w14:textId="77777777" w:rsidR="00547231" w:rsidRDefault="00632270">
      <w:r>
        <w:t xml:space="preserve">per employee for a small business from this proposed draft permit would be $3,663 to $8,742, </w:t>
      </w:r>
      <w:proofErr w:type="gramStart"/>
      <w:r>
        <w:t>which</w:t>
      </w:r>
      <w:proofErr w:type="gramEnd"/>
    </w:p>
    <w:p w14:paraId="4A833D7F" w14:textId="77777777" w:rsidR="00547231" w:rsidRDefault="00632270">
      <w:r>
        <w:t>would be an unacceptably large cost increase. Further, the report conclude</w:t>
      </w:r>
      <w:r>
        <w:t>s “it is likely that the costs of</w:t>
      </w:r>
    </w:p>
    <w:p w14:paraId="27DB00B6" w14:textId="77777777" w:rsidR="00547231" w:rsidRDefault="00632270">
      <w:r>
        <w:t xml:space="preserve">compliance with the draft permit </w:t>
      </w:r>
      <w:proofErr w:type="gramStart"/>
      <w:r>
        <w:t>are</w:t>
      </w:r>
      <w:proofErr w:type="gramEnd"/>
      <w:r>
        <w:t xml:space="preserve"> disproportional.” Despite that conclusion, Ecology appears to </w:t>
      </w:r>
      <w:proofErr w:type="gramStart"/>
      <w:r>
        <w:t>have</w:t>
      </w:r>
      <w:proofErr w:type="gramEnd"/>
    </w:p>
    <w:p w14:paraId="17B71C36" w14:textId="77777777" w:rsidR="00547231" w:rsidRDefault="00632270">
      <w:r>
        <w:t xml:space="preserve">taken no reasonable effort to </w:t>
      </w:r>
      <w:proofErr w:type="gramStart"/>
      <w:r>
        <w:t>more closely examine its basis</w:t>
      </w:r>
      <w:proofErr w:type="gramEnd"/>
      <w:r>
        <w:t xml:space="preserve"> for deriving its proposed water quality-</w:t>
      </w:r>
    </w:p>
    <w:p w14:paraId="66C21224" w14:textId="77777777" w:rsidR="00547231" w:rsidRDefault="00632270">
      <w:r>
        <w:t>based copper benchmark or to collect a truly representative set of data for that derivation, or to</w:t>
      </w:r>
    </w:p>
    <w:p w14:paraId="60DB7788" w14:textId="4F9EC1B5" w:rsidR="00547231" w:rsidRDefault="00632270">
      <w:r>
        <w:t>consider other permit changes such as monitoring freque</w:t>
      </w:r>
      <w:r>
        <w:t>ncy, as discussed above.</w:t>
      </w:r>
    </w:p>
    <w:p w14:paraId="6E60AC95" w14:textId="77777777" w:rsidR="002C4E5A" w:rsidRDefault="002C4E5A" w:rsidP="002C4E5A">
      <w:pPr>
        <w:shd w:val="clear" w:color="auto" w:fill="FFFFFF"/>
        <w:spacing w:after="0" w:line="240" w:lineRule="auto"/>
        <w:rPr>
          <w:rFonts w:asciiTheme="minorHAnsi" w:eastAsia="Times New Roman" w:hAnsiTheme="minorHAnsi" w:cstheme="minorHAnsi"/>
          <w:b/>
          <w:bCs/>
          <w:color w:val="000000"/>
        </w:rPr>
      </w:pPr>
    </w:p>
    <w:p w14:paraId="591D24B4" w14:textId="00C5E830" w:rsidR="002C4E5A" w:rsidRPr="002C4E5A" w:rsidRDefault="002C4E5A" w:rsidP="002C4E5A">
      <w:pPr>
        <w:shd w:val="clear" w:color="auto" w:fill="FFFFFF"/>
        <w:spacing w:after="0" w:line="240" w:lineRule="auto"/>
        <w:rPr>
          <w:rFonts w:asciiTheme="minorHAnsi" w:eastAsia="Times New Roman" w:hAnsiTheme="minorHAnsi" w:cstheme="minorHAnsi"/>
          <w:color w:val="222222"/>
        </w:rPr>
      </w:pPr>
      <w:r w:rsidRPr="002C4E5A">
        <w:rPr>
          <w:rFonts w:asciiTheme="minorHAnsi" w:eastAsia="Times New Roman" w:hAnsiTheme="minorHAnsi" w:cstheme="minorHAnsi"/>
          <w:b/>
          <w:bCs/>
          <w:color w:val="000000"/>
        </w:rPr>
        <w:t>Brent Moore</w:t>
      </w:r>
      <w:r w:rsidRPr="002C4E5A">
        <w:rPr>
          <w:rFonts w:asciiTheme="minorHAnsi" w:eastAsia="Times New Roman" w:hAnsiTheme="minorHAnsi" w:cstheme="minorHAnsi"/>
          <w:color w:val="000000"/>
        </w:rPr>
        <w:t xml:space="preserve">   </w:t>
      </w:r>
      <w:proofErr w:type="gramStart"/>
      <w:r w:rsidRPr="002C4E5A">
        <w:rPr>
          <w:rFonts w:asciiTheme="minorHAnsi" w:eastAsia="Times New Roman" w:hAnsiTheme="minorHAnsi" w:cstheme="minorHAnsi"/>
          <w:color w:val="000000"/>
        </w:rPr>
        <w:t>|  </w:t>
      </w:r>
      <w:r w:rsidRPr="002C4E5A">
        <w:rPr>
          <w:rFonts w:asciiTheme="minorHAnsi" w:eastAsia="Times New Roman" w:hAnsiTheme="minorHAnsi" w:cstheme="minorHAnsi"/>
          <w:color w:val="000000"/>
        </w:rPr>
        <w:t>National</w:t>
      </w:r>
      <w:proofErr w:type="gramEnd"/>
      <w:r w:rsidRPr="002C4E5A">
        <w:rPr>
          <w:rFonts w:asciiTheme="minorHAnsi" w:eastAsia="Times New Roman" w:hAnsiTheme="minorHAnsi" w:cstheme="minorHAnsi"/>
          <w:color w:val="000000"/>
        </w:rPr>
        <w:t xml:space="preserve"> </w:t>
      </w:r>
      <w:r w:rsidRPr="002C4E5A">
        <w:rPr>
          <w:rFonts w:asciiTheme="minorHAnsi" w:eastAsia="Times New Roman" w:hAnsiTheme="minorHAnsi" w:cstheme="minorHAnsi"/>
          <w:color w:val="000000"/>
        </w:rPr>
        <w:t>Service Director</w:t>
      </w:r>
    </w:p>
    <w:p w14:paraId="187A1519" w14:textId="0DC9C59F" w:rsidR="002C4E5A" w:rsidRPr="002C4E5A" w:rsidRDefault="002C4E5A" w:rsidP="002C4E5A">
      <w:pPr>
        <w:shd w:val="clear" w:color="auto" w:fill="FFFFFF"/>
        <w:spacing w:after="0" w:line="240" w:lineRule="auto"/>
        <w:rPr>
          <w:rFonts w:asciiTheme="minorHAnsi" w:eastAsia="Times New Roman" w:hAnsiTheme="minorHAnsi" w:cstheme="minorHAnsi"/>
          <w:color w:val="222222"/>
        </w:rPr>
      </w:pPr>
      <w:r w:rsidRPr="002C4E5A">
        <w:rPr>
          <w:rFonts w:asciiTheme="minorHAnsi" w:eastAsia="Times New Roman" w:hAnsiTheme="minorHAnsi" w:cstheme="minorHAnsi"/>
          <w:i/>
          <w:iCs/>
          <w:color w:val="FF0000"/>
        </w:rPr>
        <w:br/>
      </w:r>
      <w:r w:rsidRPr="002C4E5A">
        <w:rPr>
          <w:rFonts w:asciiTheme="minorHAnsi" w:eastAsia="Times New Roman" w:hAnsiTheme="minorHAnsi" w:cstheme="minorHAnsi"/>
          <w:color w:val="000000"/>
        </w:rPr>
        <w:t xml:space="preserve">2417 T Ave | Anacortes WA </w:t>
      </w:r>
      <w:proofErr w:type="gramStart"/>
      <w:r w:rsidRPr="002C4E5A">
        <w:rPr>
          <w:rFonts w:asciiTheme="minorHAnsi" w:eastAsia="Times New Roman" w:hAnsiTheme="minorHAnsi" w:cstheme="minorHAnsi"/>
          <w:color w:val="000000"/>
        </w:rPr>
        <w:t>98221  |</w:t>
      </w:r>
      <w:proofErr w:type="gramEnd"/>
      <w:r w:rsidRPr="002C4E5A">
        <w:rPr>
          <w:rFonts w:asciiTheme="minorHAnsi" w:eastAsia="Times New Roman" w:hAnsiTheme="minorHAnsi" w:cstheme="minorHAnsi"/>
          <w:color w:val="000000"/>
        </w:rPr>
        <w:t>   O: 360.293.8200 C: 503.358.8090</w:t>
      </w:r>
    </w:p>
    <w:sectPr w:rsidR="002C4E5A" w:rsidRPr="002C4E5A">
      <w:headerReference w:type="even" r:id="rId8"/>
      <w:headerReference w:type="default" r:id="rId9"/>
      <w:footerReference w:type="even" r:id="rId10"/>
      <w:footerReference w:type="default" r:id="rId11"/>
      <w:headerReference w:type="first" r:id="rId12"/>
      <w:footerReference w:type="first" r:id="rId13"/>
      <w:pgSz w:w="12240" w:h="15840"/>
      <w:pgMar w:top="900" w:right="1440" w:bottom="126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4E22" w14:textId="77777777" w:rsidR="00632270" w:rsidRDefault="00632270">
      <w:pPr>
        <w:spacing w:after="0" w:line="240" w:lineRule="auto"/>
      </w:pPr>
      <w:r>
        <w:separator/>
      </w:r>
    </w:p>
  </w:endnote>
  <w:endnote w:type="continuationSeparator" w:id="0">
    <w:p w14:paraId="6560DB5B" w14:textId="77777777" w:rsidR="00632270" w:rsidRDefault="0063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ancing Scrip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C36E" w14:textId="77777777" w:rsidR="00547231" w:rsidRDefault="0054723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76CF" w14:textId="77777777" w:rsidR="00547231" w:rsidRDefault="0063227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45720" distB="45720" distL="114300" distR="114300" simplePos="0" relativeHeight="251659264" behindDoc="0" locked="0" layoutInCell="1" hidden="0" allowOverlap="1" wp14:anchorId="5F268E52" wp14:editId="652ED2A7">
              <wp:simplePos x="0" y="0"/>
              <wp:positionH relativeFrom="column">
                <wp:posOffset>-622299</wp:posOffset>
              </wp:positionH>
              <wp:positionV relativeFrom="paragraph">
                <wp:posOffset>71120</wp:posOffset>
              </wp:positionV>
              <wp:extent cx="7257415" cy="506095"/>
              <wp:effectExtent l="0" t="0" r="0" b="0"/>
              <wp:wrapSquare wrapText="bothSides" distT="45720" distB="45720" distL="114300" distR="114300"/>
              <wp:docPr id="227" name="Rectangle 227"/>
              <wp:cNvGraphicFramePr/>
              <a:graphic xmlns:a="http://schemas.openxmlformats.org/drawingml/2006/main">
                <a:graphicData uri="http://schemas.microsoft.com/office/word/2010/wordprocessingShape">
                  <wps:wsp>
                    <wps:cNvSpPr/>
                    <wps:spPr>
                      <a:xfrm>
                        <a:off x="1731580" y="3541240"/>
                        <a:ext cx="7228840" cy="477520"/>
                      </a:xfrm>
                      <a:prstGeom prst="rect">
                        <a:avLst/>
                      </a:prstGeom>
                      <a:noFill/>
                      <a:ln>
                        <a:noFill/>
                      </a:ln>
                    </wps:spPr>
                    <wps:txbx>
                      <w:txbxContent>
                        <w:p w14:paraId="5BC955CE" w14:textId="77777777" w:rsidR="00547231" w:rsidRDefault="00632270">
                          <w:pPr>
                            <w:spacing w:after="0" w:line="240" w:lineRule="auto"/>
                            <w:textDirection w:val="btLr"/>
                          </w:pPr>
                          <w:r>
                            <w:rPr>
                              <w:i/>
                              <w:color w:val="000000"/>
                            </w:rPr>
                            <w:t>Washington</w:t>
                          </w:r>
                          <w:r>
                            <w:rPr>
                              <w:i/>
                              <w:color w:val="000000"/>
                            </w:rPr>
                            <w:tab/>
                            <w:t>California</w:t>
                          </w:r>
                          <w:r>
                            <w:rPr>
                              <w:i/>
                              <w:color w:val="000000"/>
                            </w:rPr>
                            <w:tab/>
                            <w:t>Maryland</w:t>
                          </w:r>
                          <w:r>
                            <w:rPr>
                              <w:i/>
                              <w:color w:val="000000"/>
                            </w:rPr>
                            <w:tab/>
                            <w:t>Florida</w:t>
                          </w:r>
                          <w:r>
                            <w:rPr>
                              <w:i/>
                              <w:color w:val="000000"/>
                            </w:rPr>
                            <w:tab/>
                            <w:t>British Colombia</w:t>
                          </w:r>
                        </w:p>
                      </w:txbxContent>
                    </wps:txbx>
                    <wps:bodyPr spcFirstLastPara="1" wrap="square" lIns="91425" tIns="45700" rIns="91425" bIns="45700" anchor="t" anchorCtr="0">
                      <a:noAutofit/>
                    </wps:bodyPr>
                  </wps:wsp>
                </a:graphicData>
              </a:graphic>
            </wp:anchor>
          </w:drawing>
        </mc:Choice>
        <mc:Fallback>
          <w:pict>
            <v:rect w14:anchorId="5F268E52" id="Rectangle 227" o:spid="_x0000_s1026" style="position:absolute;margin-left:-49pt;margin-top:5.6pt;width:571.45pt;height:39.8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" filled="f" stroked="f">
              <v:textbox inset="2.53958mm,1.2694mm,2.53958mm,1.2694mm">
                <w:txbxContent>
                  <w:p w14:paraId="5BC955CE" w14:textId="77777777" w:rsidR="00547231" w:rsidRDefault="00632270">
                    <w:pPr>
                      <w:spacing w:after="0" w:line="240" w:lineRule="auto"/>
                      <w:textDirection w:val="btLr"/>
                    </w:pPr>
                    <w:r>
                      <w:rPr>
                        <w:i/>
                        <w:color w:val="000000"/>
                      </w:rPr>
                      <w:t>Washington</w:t>
                    </w:r>
                    <w:r>
                      <w:rPr>
                        <w:i/>
                        <w:color w:val="000000"/>
                      </w:rPr>
                      <w:tab/>
                      <w:t>California</w:t>
                    </w:r>
                    <w:r>
                      <w:rPr>
                        <w:i/>
                        <w:color w:val="000000"/>
                      </w:rPr>
                      <w:tab/>
                      <w:t>Maryland</w:t>
                    </w:r>
                    <w:r>
                      <w:rPr>
                        <w:i/>
                        <w:color w:val="000000"/>
                      </w:rPr>
                      <w:tab/>
                      <w:t>Florida</w:t>
                    </w:r>
                    <w:r>
                      <w:rPr>
                        <w:i/>
                        <w:color w:val="000000"/>
                      </w:rPr>
                      <w:tab/>
                      <w:t>British Colombia</w:t>
                    </w:r>
                  </w:p>
                </w:txbxContent>
              </v:textbox>
              <w10:wrap type="square"/>
            </v:rect>
          </w:pict>
        </mc:Fallback>
      </mc:AlternateContent>
    </w:r>
    <w:r>
      <w:rPr>
        <w:noProof/>
      </w:rPr>
      <mc:AlternateContent>
        <mc:Choice Requires="wpg">
          <w:drawing>
            <wp:anchor distT="0" distB="0" distL="114300" distR="114300" simplePos="0" relativeHeight="251660288" behindDoc="0" locked="0" layoutInCell="1" hidden="0" allowOverlap="1" wp14:anchorId="50543BF7" wp14:editId="4A8D50C4">
              <wp:simplePos x="0" y="0"/>
              <wp:positionH relativeFrom="column">
                <wp:posOffset>-609599</wp:posOffset>
              </wp:positionH>
              <wp:positionV relativeFrom="paragraph">
                <wp:posOffset>63500</wp:posOffset>
              </wp:positionV>
              <wp:extent cx="7248839" cy="31750"/>
              <wp:effectExtent l="0" t="0" r="0" b="0"/>
              <wp:wrapNone/>
              <wp:docPr id="226" name="Straight Arrow Connector 226"/>
              <wp:cNvGraphicFramePr/>
              <a:graphic xmlns:a="http://schemas.openxmlformats.org/drawingml/2006/main">
                <a:graphicData uri="http://schemas.microsoft.com/office/word/2010/wordprocessingShape">
                  <wps:wsp>
                    <wps:cNvCnPr/>
                    <wps:spPr>
                      <a:xfrm>
                        <a:off x="1731106" y="3780000"/>
                        <a:ext cx="7229789"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63500</wp:posOffset>
              </wp:positionV>
              <wp:extent cx="7248839" cy="31750"/>
              <wp:effectExtent b="0" l="0" r="0" t="0"/>
              <wp:wrapNone/>
              <wp:docPr id="22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248839" cy="31750"/>
                      </a:xfrm>
                      <a:prstGeom prst="rect"/>
                      <a:ln/>
                    </pic:spPr>
                  </pic:pic>
                </a:graphicData>
              </a:graphic>
            </wp:anchor>
          </w:drawing>
        </mc:Fallback>
      </mc:AlternateContent>
    </w:r>
    <w:r>
      <w:rPr>
        <w:noProof/>
      </w:rPr>
      <mc:AlternateContent>
        <mc:Choice Requires="wps">
          <w:drawing>
            <wp:anchor distT="45720" distB="45720" distL="114300" distR="114300" simplePos="0" relativeHeight="251661312" behindDoc="0" locked="0" layoutInCell="1" hidden="0" allowOverlap="1" wp14:anchorId="2A604778" wp14:editId="4AA29F62">
              <wp:simplePos x="0" y="0"/>
              <wp:positionH relativeFrom="column">
                <wp:posOffset>2082800</wp:posOffset>
              </wp:positionH>
              <wp:positionV relativeFrom="paragraph">
                <wp:posOffset>-220979</wp:posOffset>
              </wp:positionV>
              <wp:extent cx="2938145" cy="417195"/>
              <wp:effectExtent l="0" t="0" r="0" b="0"/>
              <wp:wrapSquare wrapText="bothSides" distT="45720" distB="45720" distL="114300" distR="114300"/>
              <wp:docPr id="228" name="Rectangle 228"/>
              <wp:cNvGraphicFramePr/>
              <a:graphic xmlns:a="http://schemas.openxmlformats.org/drawingml/2006/main">
                <a:graphicData uri="http://schemas.microsoft.com/office/word/2010/wordprocessingShape">
                  <wps:wsp>
                    <wps:cNvSpPr/>
                    <wps:spPr>
                      <a:xfrm>
                        <a:off x="3886453" y="3580928"/>
                        <a:ext cx="2919095" cy="398145"/>
                      </a:xfrm>
                      <a:prstGeom prst="rect">
                        <a:avLst/>
                      </a:prstGeom>
                      <a:noFill/>
                      <a:ln>
                        <a:noFill/>
                      </a:ln>
                    </wps:spPr>
                    <wps:txbx>
                      <w:txbxContent>
                        <w:p w14:paraId="1A01B2EF" w14:textId="77777777" w:rsidR="00547231" w:rsidRDefault="00632270">
                          <w:pPr>
                            <w:spacing w:after="0" w:line="240" w:lineRule="auto"/>
                            <w:jc w:val="center"/>
                            <w:textDirection w:val="btLr"/>
                          </w:pPr>
                          <w:r>
                            <w:rPr>
                              <w:rFonts w:ascii="Dancing Script" w:eastAsia="Dancing Script" w:hAnsi="Dancing Script" w:cs="Dancing Script"/>
                              <w:b/>
                              <w:color w:val="F6BB00"/>
                              <w:sz w:val="32"/>
                            </w:rPr>
                            <w:t>Our business is fun!</w:t>
                          </w:r>
                        </w:p>
                        <w:p w14:paraId="4E3A2B27" w14:textId="77777777" w:rsidR="00547231" w:rsidRDefault="00632270">
                          <w:pPr>
                            <w:spacing w:line="258" w:lineRule="auto"/>
                            <w:textDirection w:val="btLr"/>
                          </w:pPr>
                          <w:r>
                            <w:rPr>
                              <w:color w:val="000000"/>
                            </w:rPr>
                            <w:t>–</w:t>
                          </w:r>
                        </w:p>
                      </w:txbxContent>
                    </wps:txbx>
                    <wps:bodyPr spcFirstLastPara="1" wrap="square" lIns="91425" tIns="45700" rIns="91425" bIns="45700" anchor="t" anchorCtr="0">
                      <a:noAutofit/>
                    </wps:bodyPr>
                  </wps:wsp>
                </a:graphicData>
              </a:graphic>
            </wp:anchor>
          </w:drawing>
        </mc:Choice>
        <mc:Fallback>
          <w:pict>
            <v:rect w14:anchorId="2A604778" id="Rectangle 228" o:spid="_x0000_s1027" style="position:absolute;margin-left:164pt;margin-top:-17.4pt;width:231.35pt;height:32.8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" filled="f" stroked="f">
              <v:textbox inset="2.53958mm,1.2694mm,2.53958mm,1.2694mm">
                <w:txbxContent>
                  <w:p w14:paraId="1A01B2EF" w14:textId="77777777" w:rsidR="00547231" w:rsidRDefault="00632270">
                    <w:pPr>
                      <w:spacing w:after="0" w:line="240" w:lineRule="auto"/>
                      <w:jc w:val="center"/>
                      <w:textDirection w:val="btLr"/>
                    </w:pPr>
                    <w:r>
                      <w:rPr>
                        <w:rFonts w:ascii="Dancing Script" w:eastAsia="Dancing Script" w:hAnsi="Dancing Script" w:cs="Dancing Script"/>
                        <w:b/>
                        <w:color w:val="F6BB00"/>
                        <w:sz w:val="32"/>
                      </w:rPr>
                      <w:t>Our business is fun!</w:t>
                    </w:r>
                  </w:p>
                  <w:p w14:paraId="4E3A2B27" w14:textId="77777777" w:rsidR="00547231" w:rsidRDefault="00632270">
                    <w:pPr>
                      <w:spacing w:line="258" w:lineRule="auto"/>
                      <w:textDirection w:val="btLr"/>
                    </w:pPr>
                    <w:r>
                      <w:rPr>
                        <w:color w:val="000000"/>
                      </w:rPr>
                      <w:t>–</w:t>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FDE0" w14:textId="77777777" w:rsidR="00547231" w:rsidRDefault="0054723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51B3" w14:textId="77777777" w:rsidR="00632270" w:rsidRDefault="00632270">
      <w:pPr>
        <w:spacing w:after="0" w:line="240" w:lineRule="auto"/>
      </w:pPr>
      <w:r>
        <w:separator/>
      </w:r>
    </w:p>
  </w:footnote>
  <w:footnote w:type="continuationSeparator" w:id="0">
    <w:p w14:paraId="41DE54C3" w14:textId="77777777" w:rsidR="00632270" w:rsidRDefault="00632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FC69" w14:textId="77777777" w:rsidR="00547231" w:rsidRDefault="0054723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1A09" w14:textId="77777777" w:rsidR="00547231" w:rsidRDefault="0063227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5AD4FDBB" wp14:editId="3816D643">
          <wp:simplePos x="0" y="0"/>
          <wp:positionH relativeFrom="column">
            <wp:posOffset>-511788</wp:posOffset>
          </wp:positionH>
          <wp:positionV relativeFrom="paragraph">
            <wp:posOffset>-218361</wp:posOffset>
          </wp:positionV>
          <wp:extent cx="3446060" cy="688476"/>
          <wp:effectExtent l="0" t="0" r="0" b="0"/>
          <wp:wrapSquare wrapText="bothSides" distT="0" distB="0" distL="114300" distR="114300"/>
          <wp:docPr id="229"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3446060" cy="688476"/>
                  </a:xfrm>
                  <a:prstGeom prst="rect">
                    <a:avLst/>
                  </a:prstGeom>
                  <a:ln/>
                </pic:spPr>
              </pic:pic>
            </a:graphicData>
          </a:graphic>
        </wp:anchor>
      </w:drawing>
    </w:r>
  </w:p>
  <w:p w14:paraId="574FA149" w14:textId="77777777" w:rsidR="00547231" w:rsidRDefault="0054723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1588" w14:textId="77777777" w:rsidR="00547231" w:rsidRDefault="0054723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B3C09"/>
    <w:multiLevelType w:val="multilevel"/>
    <w:tmpl w:val="B2EA7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31"/>
    <w:rsid w:val="002C4E5A"/>
    <w:rsid w:val="00547231"/>
    <w:rsid w:val="00600F50"/>
    <w:rsid w:val="00632270"/>
    <w:rsid w:val="00803400"/>
    <w:rsid w:val="00C42F47"/>
    <w:rsid w:val="00D1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C10F"/>
  <w15:docId w15:val="{39427604-3C69-4393-B66F-504621C3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C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21817"/>
    <w:rPr>
      <w:color w:val="0563C1" w:themeColor="hyperlink"/>
      <w:u w:val="single"/>
    </w:rPr>
  </w:style>
  <w:style w:type="character" w:styleId="Mention">
    <w:name w:val="Mention"/>
    <w:basedOn w:val="DefaultParagraphFont"/>
    <w:uiPriority w:val="99"/>
    <w:semiHidden/>
    <w:unhideWhenUsed/>
    <w:rsid w:val="00521817"/>
    <w:rPr>
      <w:color w:val="2B579A"/>
      <w:shd w:val="clear" w:color="auto" w:fill="E6E6E6"/>
    </w:rPr>
  </w:style>
  <w:style w:type="paragraph" w:styleId="BalloonText">
    <w:name w:val="Balloon Text"/>
    <w:basedOn w:val="Normal"/>
    <w:link w:val="BalloonTextChar"/>
    <w:uiPriority w:val="99"/>
    <w:semiHidden/>
    <w:unhideWhenUsed/>
    <w:rsid w:val="00495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85B"/>
    <w:rPr>
      <w:rFonts w:ascii="Segoe UI" w:hAnsi="Segoe UI" w:cs="Segoe UI"/>
      <w:sz w:val="18"/>
      <w:szCs w:val="18"/>
    </w:rPr>
  </w:style>
  <w:style w:type="paragraph" w:styleId="Header">
    <w:name w:val="header"/>
    <w:basedOn w:val="Normal"/>
    <w:link w:val="HeaderChar"/>
    <w:uiPriority w:val="99"/>
    <w:unhideWhenUsed/>
    <w:rsid w:val="00596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0B1"/>
  </w:style>
  <w:style w:type="paragraph" w:styleId="Footer">
    <w:name w:val="footer"/>
    <w:basedOn w:val="Normal"/>
    <w:link w:val="FooterChar"/>
    <w:uiPriority w:val="99"/>
    <w:unhideWhenUsed/>
    <w:rsid w:val="00596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0B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600F50"/>
    <w:pPr>
      <w:spacing w:after="0" w:line="240" w:lineRule="auto"/>
    </w:pPr>
    <w:rPr>
      <w:rFonts w:asciiTheme="minorHAnsi" w:eastAsia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80292">
      <w:bodyDiv w:val="1"/>
      <w:marLeft w:val="0"/>
      <w:marRight w:val="0"/>
      <w:marTop w:val="0"/>
      <w:marBottom w:val="0"/>
      <w:divBdr>
        <w:top w:val="none" w:sz="0" w:space="0" w:color="auto"/>
        <w:left w:val="none" w:sz="0" w:space="0" w:color="auto"/>
        <w:bottom w:val="none" w:sz="0" w:space="0" w:color="auto"/>
        <w:right w:val="none" w:sz="0" w:space="0" w:color="auto"/>
      </w:divBdr>
    </w:div>
    <w:div w:id="1786347056">
      <w:bodyDiv w:val="1"/>
      <w:marLeft w:val="0"/>
      <w:marRight w:val="0"/>
      <w:marTop w:val="0"/>
      <w:marBottom w:val="0"/>
      <w:divBdr>
        <w:top w:val="none" w:sz="0" w:space="0" w:color="auto"/>
        <w:left w:val="none" w:sz="0" w:space="0" w:color="auto"/>
        <w:bottom w:val="none" w:sz="0" w:space="0" w:color="auto"/>
        <w:right w:val="none" w:sz="0" w:space="0" w:color="auto"/>
      </w:divBdr>
      <w:divsChild>
        <w:div w:id="797382023">
          <w:marLeft w:val="0"/>
          <w:marRight w:val="0"/>
          <w:marTop w:val="0"/>
          <w:marBottom w:val="0"/>
          <w:divBdr>
            <w:top w:val="none" w:sz="0" w:space="0" w:color="auto"/>
            <w:left w:val="none" w:sz="0" w:space="0" w:color="auto"/>
            <w:bottom w:val="none" w:sz="0" w:space="0" w:color="auto"/>
            <w:right w:val="none" w:sz="0" w:space="0" w:color="auto"/>
          </w:divBdr>
        </w:div>
        <w:div w:id="2051801460">
          <w:marLeft w:val="0"/>
          <w:marRight w:val="0"/>
          <w:marTop w:val="0"/>
          <w:marBottom w:val="0"/>
          <w:divBdr>
            <w:top w:val="none" w:sz="0" w:space="0" w:color="auto"/>
            <w:left w:val="none" w:sz="0" w:space="0" w:color="auto"/>
            <w:bottom w:val="none" w:sz="0" w:space="0" w:color="auto"/>
            <w:right w:val="none" w:sz="0" w:space="0" w:color="auto"/>
          </w:divBdr>
        </w:div>
        <w:div w:id="1337078140">
          <w:marLeft w:val="0"/>
          <w:marRight w:val="0"/>
          <w:marTop w:val="0"/>
          <w:marBottom w:val="0"/>
          <w:divBdr>
            <w:top w:val="none" w:sz="0" w:space="0" w:color="auto"/>
            <w:left w:val="none" w:sz="0" w:space="0" w:color="auto"/>
            <w:bottom w:val="none" w:sz="0" w:space="0" w:color="auto"/>
            <w:right w:val="none" w:sz="0" w:space="0" w:color="auto"/>
          </w:divBdr>
        </w:div>
        <w:div w:id="466824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n/m/HnWx6i5X6iRB2UnStJ+Fg==">AMUW2mWRynRIb+fmDKrKX50I4KNRofuo3azExDiO2Z/IS6JZYJRW3dKfYhX6QcdnRT/jQRph3dq5NUyaL8fN3lidLV2JPuO7CLXnWo++F6/tllIgbD0Qd7Y=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Whiting</dc:creator>
  <cp:lastModifiedBy>Brent Moore</cp:lastModifiedBy>
  <cp:revision>2</cp:revision>
  <cp:lastPrinted>2021-04-16T20:50:00Z</cp:lastPrinted>
  <dcterms:created xsi:type="dcterms:W3CDTF">2021-04-16T21:18:00Z</dcterms:created>
  <dcterms:modified xsi:type="dcterms:W3CDTF">2021-04-16T21:18:00Z</dcterms:modified>
</cp:coreProperties>
</file>