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1E3A" w14:textId="7D33FCE4" w:rsidR="00B66370" w:rsidRPr="0064525C" w:rsidRDefault="00D630FC" w:rsidP="0064525C">
      <w:pPr>
        <w:jc w:val="center"/>
        <w:rPr>
          <w:b/>
          <w:bCs/>
          <w:sz w:val="28"/>
          <w:szCs w:val="28"/>
        </w:rPr>
      </w:pPr>
      <w:r w:rsidRPr="0064525C">
        <w:rPr>
          <w:b/>
          <w:bCs/>
          <w:sz w:val="28"/>
          <w:szCs w:val="28"/>
        </w:rPr>
        <w:t xml:space="preserve">S4F </w:t>
      </w:r>
      <w:r w:rsidR="00C5788F" w:rsidRPr="0064525C">
        <w:rPr>
          <w:b/>
          <w:bCs/>
          <w:sz w:val="28"/>
          <w:szCs w:val="28"/>
        </w:rPr>
        <w:t xml:space="preserve">Topic Group </w:t>
      </w:r>
      <w:r w:rsidR="00994711">
        <w:rPr>
          <w:b/>
          <w:bCs/>
          <w:sz w:val="28"/>
          <w:szCs w:val="28"/>
        </w:rPr>
        <w:t>White Paper</w:t>
      </w:r>
    </w:p>
    <w:p w14:paraId="13F6903B" w14:textId="231F4064" w:rsidR="005579B0" w:rsidRDefault="005579B0">
      <w:r>
        <w:t xml:space="preserve">Co-Leads </w:t>
      </w:r>
      <w:r w:rsidR="0064525C">
        <w:tab/>
      </w:r>
      <w:r w:rsidR="007E7B92" w:rsidRPr="007E7B92">
        <w:t xml:space="preserve">Melissa Ivancevich </w:t>
      </w:r>
      <w:r w:rsidR="007E7B92">
        <w:tab/>
      </w:r>
      <w:hyperlink r:id="rId10" w:history="1">
        <w:r w:rsidR="007E7B92" w:rsidRPr="002A46EF">
          <w:rPr>
            <w:rStyle w:val="Hyperlink"/>
          </w:rPr>
          <w:t>Melissa.Ivancevich@seattle.gov</w:t>
        </w:r>
      </w:hyperlink>
    </w:p>
    <w:p w14:paraId="7507F655" w14:textId="3543BB48" w:rsidR="005579B0" w:rsidRDefault="005579B0" w:rsidP="0064525C">
      <w:pPr>
        <w:ind w:left="720" w:firstLine="720"/>
      </w:pPr>
      <w:r>
        <w:t>Doug Navetski</w:t>
      </w:r>
      <w:r w:rsidR="007E7B92">
        <w:tab/>
      </w:r>
      <w:r w:rsidR="007E7B92">
        <w:tab/>
      </w:r>
      <w:hyperlink r:id="rId11" w:history="1">
        <w:r w:rsidR="007E7B92" w:rsidRPr="002A46EF">
          <w:rPr>
            <w:rStyle w:val="Hyperlink"/>
          </w:rPr>
          <w:t>Doug.Navetski@kingcounty.gov</w:t>
        </w:r>
      </w:hyperlink>
    </w:p>
    <w:p w14:paraId="0676D046" w14:textId="77777777" w:rsidR="007E7B92" w:rsidRDefault="007E7B92"/>
    <w:p w14:paraId="4D81FEFC" w14:textId="53D2B832" w:rsidR="005579B0" w:rsidRDefault="0064525C">
      <w:r>
        <w:t>The following report contains issues identified and recommendations of the S4</w:t>
      </w:r>
      <w:r w:rsidR="1FA60970">
        <w:t>F</w:t>
      </w:r>
      <w:r>
        <w:t xml:space="preserve"> topic group. The report is organized into topics, explanations of the issue, </w:t>
      </w:r>
      <w:r w:rsidR="0050255A">
        <w:t xml:space="preserve">comments made during the meetings </w:t>
      </w:r>
      <w:r>
        <w:t xml:space="preserve">and recommended adjustments or requests. </w:t>
      </w:r>
      <w:r>
        <w:tab/>
      </w:r>
    </w:p>
    <w:p w14:paraId="0F1FD6CD" w14:textId="19F25CBD" w:rsidR="00C5788F" w:rsidRPr="0064525C" w:rsidRDefault="005579B0" w:rsidP="00C5788F">
      <w:pPr>
        <w:pStyle w:val="ListParagraph"/>
        <w:numPr>
          <w:ilvl w:val="0"/>
          <w:numId w:val="1"/>
        </w:numPr>
        <w:rPr>
          <w:b/>
          <w:bCs/>
        </w:rPr>
      </w:pPr>
      <w:r w:rsidRPr="2FCC2E89">
        <w:rPr>
          <w:b/>
          <w:bCs/>
        </w:rPr>
        <w:t>T</w:t>
      </w:r>
      <w:r w:rsidR="00D630FC" w:rsidRPr="2FCC2E89">
        <w:rPr>
          <w:b/>
          <w:bCs/>
        </w:rPr>
        <w:t xml:space="preserve">he administrative burden for </w:t>
      </w:r>
      <w:r w:rsidR="0064525C" w:rsidRPr="2FCC2E89">
        <w:rPr>
          <w:b/>
          <w:bCs/>
        </w:rPr>
        <w:t xml:space="preserve">an </w:t>
      </w:r>
      <w:r w:rsidR="00D630FC" w:rsidRPr="2FCC2E89">
        <w:rPr>
          <w:b/>
          <w:bCs/>
        </w:rPr>
        <w:t>S4</w:t>
      </w:r>
      <w:r w:rsidR="6B4BBBC8" w:rsidRPr="2FCC2E89">
        <w:rPr>
          <w:b/>
          <w:bCs/>
        </w:rPr>
        <w:t>F</w:t>
      </w:r>
      <w:r w:rsidRPr="2FCC2E89">
        <w:rPr>
          <w:b/>
          <w:bCs/>
        </w:rPr>
        <w:t xml:space="preserve"> </w:t>
      </w:r>
      <w:r w:rsidR="0064525C" w:rsidRPr="2FCC2E89">
        <w:rPr>
          <w:b/>
          <w:bCs/>
        </w:rPr>
        <w:t xml:space="preserve">report </w:t>
      </w:r>
      <w:r w:rsidRPr="2FCC2E89">
        <w:rPr>
          <w:b/>
          <w:bCs/>
        </w:rPr>
        <w:t>is challenging for many jurisdictions because of the process for meeting the G19 signature requirement</w:t>
      </w:r>
      <w:r w:rsidR="00D630FC" w:rsidRPr="2FCC2E89">
        <w:rPr>
          <w:b/>
          <w:bCs/>
        </w:rPr>
        <w:t xml:space="preserve">.  </w:t>
      </w:r>
    </w:p>
    <w:p w14:paraId="5380345D" w14:textId="77777777" w:rsidR="005579B0" w:rsidRDefault="005579B0" w:rsidP="005579B0">
      <w:pPr>
        <w:pStyle w:val="ListParagraph"/>
        <w:numPr>
          <w:ilvl w:val="1"/>
          <w:numId w:val="1"/>
        </w:numPr>
      </w:pPr>
      <w:r>
        <w:t xml:space="preserve">A G19 </w:t>
      </w:r>
      <w:proofErr w:type="spellStart"/>
      <w:r>
        <w:t>signator</w:t>
      </w:r>
      <w:proofErr w:type="spellEnd"/>
      <w:r>
        <w:t xml:space="preserve"> is often a senior administrator or public official that requires approval from multiple levels of management and accompanying documentation explaining the need for the S4</w:t>
      </w:r>
      <w:r w:rsidR="07B81261">
        <w:t>F</w:t>
      </w:r>
      <w:r>
        <w:t xml:space="preserve"> report </w:t>
      </w:r>
      <w:proofErr w:type="gramStart"/>
      <w:r w:rsidR="0064525C">
        <w:t>in order to</w:t>
      </w:r>
      <w:proofErr w:type="gramEnd"/>
      <w:r>
        <w:t xml:space="preserve"> get the signature. This is </w:t>
      </w:r>
      <w:r w:rsidR="0064525C">
        <w:t xml:space="preserve">burdensome and </w:t>
      </w:r>
      <w:r>
        <w:t>time consuming and can lead to a permit violation if the process take</w:t>
      </w:r>
      <w:r w:rsidR="0064525C">
        <w:t>s</w:t>
      </w:r>
      <w:r>
        <w:t xml:space="preserve"> longer tha</w:t>
      </w:r>
      <w:r w:rsidR="0064525C">
        <w:t>n</w:t>
      </w:r>
      <w:r>
        <w:t xml:space="preserve"> 30 days.</w:t>
      </w:r>
    </w:p>
    <w:p w14:paraId="7865AEF8" w14:textId="1AF9F040" w:rsidR="00745C68" w:rsidRDefault="00A6071B" w:rsidP="00745C68">
      <w:pPr>
        <w:pStyle w:val="ListParagraph"/>
        <w:numPr>
          <w:ilvl w:val="1"/>
          <w:numId w:val="1"/>
        </w:numPr>
      </w:pPr>
      <w:r>
        <w:t>Some members of t</w:t>
      </w:r>
      <w:r w:rsidR="005579B0">
        <w:t>he group questioned the value of producing both aG3 notifications and an S4</w:t>
      </w:r>
      <w:r w:rsidR="00D65556">
        <w:t>F</w:t>
      </w:r>
      <w:r w:rsidR="005579B0">
        <w:t xml:space="preserve"> report for single-event incidents</w:t>
      </w:r>
      <w:r w:rsidR="00D630FC">
        <w:t xml:space="preserve"> like spills</w:t>
      </w:r>
      <w:r w:rsidR="005579B0">
        <w:t xml:space="preserve">. </w:t>
      </w:r>
      <w:r w:rsidR="0064525C">
        <w:t xml:space="preserve">This concern is about single-event incidents where </w:t>
      </w:r>
      <w:r w:rsidR="0050255A">
        <w:t>the water</w:t>
      </w:r>
      <w:r w:rsidR="005579B0">
        <w:t xml:space="preserve"> quality implementation plan </w:t>
      </w:r>
      <w:r w:rsidR="0064525C">
        <w:t>consists of</w:t>
      </w:r>
      <w:r w:rsidR="005579B0">
        <w:t xml:space="preserve"> implement</w:t>
      </w:r>
      <w:r w:rsidR="0064525C">
        <w:t>ing</w:t>
      </w:r>
      <w:r w:rsidR="005579B0">
        <w:t xml:space="preserve"> current permit requirement</w:t>
      </w:r>
      <w:r w:rsidR="0064525C">
        <w:t>s</w:t>
      </w:r>
      <w:r w:rsidR="005579B0">
        <w:t xml:space="preserve"> with</w:t>
      </w:r>
      <w:r w:rsidR="00D630FC">
        <w:t xml:space="preserve"> no need to change the </w:t>
      </w:r>
      <w:r w:rsidR="005579B0">
        <w:t xml:space="preserve">geographic </w:t>
      </w:r>
      <w:r w:rsidR="0064525C">
        <w:t>focus or</w:t>
      </w:r>
      <w:r w:rsidR="005579B0">
        <w:t xml:space="preserve"> change any other </w:t>
      </w:r>
      <w:r w:rsidR="00D630FC">
        <w:t xml:space="preserve">permit actions in response to the </w:t>
      </w:r>
      <w:r w:rsidR="0064525C">
        <w:t>incident</w:t>
      </w:r>
      <w:r w:rsidR="00D630FC">
        <w:t xml:space="preserve">.  </w:t>
      </w:r>
    </w:p>
    <w:p w14:paraId="32349E95" w14:textId="77777777" w:rsidR="0035401D" w:rsidRDefault="0035401D" w:rsidP="0035401D">
      <w:pPr>
        <w:pStyle w:val="ListParagraph"/>
        <w:numPr>
          <w:ilvl w:val="2"/>
          <w:numId w:val="1"/>
        </w:numPr>
      </w:pPr>
      <w:r>
        <w:t xml:space="preserve">Is there a way to address the water quality violation and to come back into compliance with the permit for single event incidents that are already addressed by current permit requirements that would not require a G19 signature?  </w:t>
      </w:r>
    </w:p>
    <w:p w14:paraId="6B258C36" w14:textId="682389F0" w:rsidR="0035401D" w:rsidRPr="00745C68" w:rsidRDefault="0035401D" w:rsidP="0035401D">
      <w:pPr>
        <w:pStyle w:val="ListParagraph"/>
        <w:numPr>
          <w:ilvl w:val="2"/>
          <w:numId w:val="1"/>
        </w:numPr>
      </w:pPr>
      <w:r>
        <w:t>Is there a way to combine G3 notifications and S4F reporting into a single report for single event incidents? Does Ecology need (use) the reports differently? Could it be coordinated?</w:t>
      </w:r>
    </w:p>
    <w:p w14:paraId="1FBB55BF" w14:textId="0BC5EDBC" w:rsidR="5CE85E4A" w:rsidRDefault="5CE85E4A" w:rsidP="415A9660">
      <w:pPr>
        <w:pStyle w:val="ListParagraph"/>
        <w:numPr>
          <w:ilvl w:val="1"/>
          <w:numId w:val="1"/>
        </w:numPr>
      </w:pPr>
      <w:r>
        <w:t>The S4</w:t>
      </w:r>
      <w:r w:rsidR="008B78AF">
        <w:t>F</w:t>
      </w:r>
      <w:r>
        <w:t xml:space="preserve"> needs to be implemented equitably over the Regions. Currently, some jurisdictions file lots of S4</w:t>
      </w:r>
      <w:r w:rsidR="00C22BC4">
        <w:t>F</w:t>
      </w:r>
      <w:r>
        <w:t xml:space="preserve"> reports, other ju</w:t>
      </w:r>
      <w:r w:rsidR="6F214A1F">
        <w:t>risdictions file very few.</w:t>
      </w:r>
    </w:p>
    <w:p w14:paraId="637E3973" w14:textId="7B116ADB" w:rsidR="0050255A" w:rsidRDefault="0050255A" w:rsidP="00C5788F">
      <w:pPr>
        <w:pStyle w:val="ListParagraph"/>
        <w:numPr>
          <w:ilvl w:val="1"/>
          <w:numId w:val="1"/>
        </w:numPr>
      </w:pPr>
      <w:r>
        <w:t>Need to ensure that Ecology has a way to ask for additional information for some situations, how can they ask through the system</w:t>
      </w:r>
      <w:r w:rsidR="00AC7929">
        <w:t>?</w:t>
      </w:r>
      <w:r>
        <w:t xml:space="preserve"> Concerns about legal aspects.</w:t>
      </w:r>
    </w:p>
    <w:p w14:paraId="760C4372" w14:textId="4E79BF59" w:rsidR="00D630FC" w:rsidRPr="00382700" w:rsidRDefault="00382700" w:rsidP="140BDEE1">
      <w:pPr>
        <w:pStyle w:val="ListParagraph"/>
      </w:pPr>
      <w:bookmarkStart w:id="0" w:name="_Hlk89088787"/>
      <w:r w:rsidRPr="2F188584">
        <w:rPr>
          <w:b/>
          <w:bCs/>
        </w:rPr>
        <w:t>Recommended solution</w:t>
      </w:r>
      <w:r w:rsidR="004067EE" w:rsidRPr="2F188584">
        <w:rPr>
          <w:b/>
          <w:bCs/>
        </w:rPr>
        <w:t>s</w:t>
      </w:r>
      <w:r w:rsidRPr="2F188584">
        <w:rPr>
          <w:b/>
          <w:bCs/>
        </w:rPr>
        <w:t>:</w:t>
      </w:r>
      <w:r w:rsidR="5715B0F8">
        <w:t xml:space="preserve"> </w:t>
      </w:r>
      <w:r w:rsidR="78134E7B">
        <w:t xml:space="preserve">Some members propose </w:t>
      </w:r>
      <w:r w:rsidR="57D03831">
        <w:t>combin</w:t>
      </w:r>
      <w:r w:rsidR="096FA9F9">
        <w:t>ing</w:t>
      </w:r>
      <w:r w:rsidR="57D03831">
        <w:t xml:space="preserve"> the </w:t>
      </w:r>
      <w:r w:rsidR="5715B0F8">
        <w:t>S4</w:t>
      </w:r>
      <w:r w:rsidR="00C22BC4">
        <w:t>F</w:t>
      </w:r>
      <w:r w:rsidR="5715B0F8">
        <w:t xml:space="preserve"> reporting process with the G3 reporting process</w:t>
      </w:r>
      <w:r w:rsidR="6EDE7079">
        <w:t xml:space="preserve"> for single event incidents</w:t>
      </w:r>
      <w:r w:rsidR="222BD7C2">
        <w:t xml:space="preserve">. </w:t>
      </w:r>
      <w:r w:rsidR="123AEB9B">
        <w:t xml:space="preserve">Some members propose </w:t>
      </w:r>
      <w:r w:rsidR="4BC1CC24">
        <w:t>that</w:t>
      </w:r>
      <w:r w:rsidR="28B6F008">
        <w:t xml:space="preserve"> </w:t>
      </w:r>
      <w:r w:rsidR="5715B0F8">
        <w:t>a G19 s</w:t>
      </w:r>
      <w:r w:rsidR="0C8B6AE0">
        <w:t>ubmittal for an S4F report</w:t>
      </w:r>
      <w:r w:rsidR="7B4AEF3D">
        <w:t xml:space="preserve"> </w:t>
      </w:r>
      <w:proofErr w:type="gramStart"/>
      <w:r w:rsidR="7B4AEF3D">
        <w:t>not be</w:t>
      </w:r>
      <w:proofErr w:type="gramEnd"/>
      <w:r w:rsidR="7B4AEF3D">
        <w:t xml:space="preserve"> required for single event incidents.</w:t>
      </w:r>
      <w:r w:rsidR="004067EE">
        <w:t xml:space="preserve"> </w:t>
      </w:r>
      <w:r w:rsidR="35FD9CA1">
        <w:t>Other members propose</w:t>
      </w:r>
      <w:r w:rsidR="6586BFBA">
        <w:t xml:space="preserve"> </w:t>
      </w:r>
      <w:r w:rsidR="7A7079B5">
        <w:t xml:space="preserve">to </w:t>
      </w:r>
      <w:r w:rsidR="00BD7D62">
        <w:t>extend the timeline for submittal (</w:t>
      </w:r>
      <w:proofErr w:type="gramStart"/>
      <w:r w:rsidR="00BD7D62">
        <w:t>i.e.</w:t>
      </w:r>
      <w:proofErr w:type="gramEnd"/>
      <w:r w:rsidR="00BD7D62">
        <w:t xml:space="preserve"> </w:t>
      </w:r>
      <w:r w:rsidR="002C20CB">
        <w:t>within 7 days of becoming aware</w:t>
      </w:r>
      <w:r w:rsidR="00D813C6">
        <w:t xml:space="preserve">, notify Ecology you will be submitting an S4F, then </w:t>
      </w:r>
      <w:r w:rsidR="00B018E3">
        <w:t>submit within 45 days)</w:t>
      </w:r>
      <w:r w:rsidR="52310DA8">
        <w:t xml:space="preserve"> if the notification and signature requirements remain unchanged</w:t>
      </w:r>
      <w:r w:rsidR="00B018E3">
        <w:t>.</w:t>
      </w:r>
      <w:r w:rsidR="002C20CB">
        <w:t xml:space="preserve"> </w:t>
      </w:r>
      <w:r w:rsidR="0D200AC0">
        <w:t>Because of the varied recommendations, the committee recommends a follow-up conversation with Ecology.</w:t>
      </w:r>
    </w:p>
    <w:bookmarkEnd w:id="0"/>
    <w:p w14:paraId="03543F1E" w14:textId="77777777" w:rsidR="00382700" w:rsidRDefault="00382700" w:rsidP="00D630FC">
      <w:pPr>
        <w:pStyle w:val="ListParagraph"/>
      </w:pPr>
    </w:p>
    <w:p w14:paraId="4F8472D6" w14:textId="72751FBB" w:rsidR="0064525C" w:rsidRPr="004D3BEA" w:rsidRDefault="0064525C" w:rsidP="00D630FC">
      <w:pPr>
        <w:pStyle w:val="ListParagraph"/>
        <w:numPr>
          <w:ilvl w:val="0"/>
          <w:numId w:val="1"/>
        </w:numPr>
        <w:rPr>
          <w:b/>
          <w:bCs/>
        </w:rPr>
      </w:pPr>
      <w:r w:rsidRPr="2FCC2E89">
        <w:rPr>
          <w:b/>
          <w:bCs/>
        </w:rPr>
        <w:t>There is a lack of clarity in the permit d</w:t>
      </w:r>
      <w:r w:rsidR="00D630FC" w:rsidRPr="2FCC2E89">
        <w:rPr>
          <w:b/>
          <w:bCs/>
        </w:rPr>
        <w:t>efin</w:t>
      </w:r>
      <w:r w:rsidRPr="2FCC2E89">
        <w:rPr>
          <w:b/>
          <w:bCs/>
        </w:rPr>
        <w:t>ing</w:t>
      </w:r>
      <w:r w:rsidR="4D0E0CFA" w:rsidRPr="2FCC2E89">
        <w:rPr>
          <w:b/>
          <w:bCs/>
        </w:rPr>
        <w:t xml:space="preserve"> credible</w:t>
      </w:r>
      <w:r w:rsidR="00D630FC" w:rsidRPr="2FCC2E89">
        <w:rPr>
          <w:b/>
          <w:bCs/>
        </w:rPr>
        <w:t xml:space="preserve"> site-specific </w:t>
      </w:r>
      <w:r w:rsidR="7F05E3ED" w:rsidRPr="2FCC2E89">
        <w:rPr>
          <w:b/>
          <w:bCs/>
        </w:rPr>
        <w:t>information</w:t>
      </w:r>
      <w:r w:rsidR="32C715F7" w:rsidRPr="2FCC2E89">
        <w:rPr>
          <w:b/>
          <w:bCs/>
        </w:rPr>
        <w:t>.</w:t>
      </w:r>
      <w:r w:rsidR="00D630FC" w:rsidRPr="2FCC2E89">
        <w:rPr>
          <w:b/>
          <w:bCs/>
        </w:rPr>
        <w:t xml:space="preserve"> </w:t>
      </w:r>
    </w:p>
    <w:p w14:paraId="2736507D" w14:textId="5864B724" w:rsidR="00D630FC" w:rsidRDefault="004D3BEA" w:rsidP="0064525C">
      <w:pPr>
        <w:pStyle w:val="ListParagraph"/>
        <w:numPr>
          <w:ilvl w:val="1"/>
          <w:numId w:val="1"/>
        </w:numPr>
      </w:pPr>
      <w:r>
        <w:t>I</w:t>
      </w:r>
      <w:r w:rsidR="00D630FC">
        <w:t xml:space="preserve">nsert a definition </w:t>
      </w:r>
      <w:r w:rsidR="0064525C">
        <w:t xml:space="preserve">of </w:t>
      </w:r>
      <w:r w:rsidR="5E003051">
        <w:t xml:space="preserve">credible </w:t>
      </w:r>
      <w:r w:rsidR="0064525C">
        <w:t xml:space="preserve">site-specific </w:t>
      </w:r>
      <w:r w:rsidR="6D18EF07">
        <w:t>information</w:t>
      </w:r>
      <w:r w:rsidR="0064525C">
        <w:t xml:space="preserve"> in the definitions section of the permit.</w:t>
      </w:r>
    </w:p>
    <w:p w14:paraId="69BA8F98" w14:textId="77777777" w:rsidR="0064525C" w:rsidRDefault="0064525C" w:rsidP="0064525C">
      <w:pPr>
        <w:pStyle w:val="ListParagraph"/>
        <w:numPr>
          <w:ilvl w:val="1"/>
          <w:numId w:val="1"/>
        </w:numPr>
      </w:pPr>
      <w:r>
        <w:t>The definition should include the following</w:t>
      </w:r>
      <w:r w:rsidR="004D3BEA">
        <w:t>:</w:t>
      </w:r>
      <w:r>
        <w:t xml:space="preserve"> </w:t>
      </w:r>
    </w:p>
    <w:p w14:paraId="35239F4C" w14:textId="77DA4A5D" w:rsidR="004D3BEA" w:rsidRDefault="004D3BEA" w:rsidP="004D3BEA">
      <w:pPr>
        <w:pStyle w:val="ListParagraph"/>
        <w:numPr>
          <w:ilvl w:val="2"/>
          <w:numId w:val="1"/>
        </w:numPr>
      </w:pPr>
      <w:r>
        <w:lastRenderedPageBreak/>
        <w:t xml:space="preserve">The </w:t>
      </w:r>
      <w:r w:rsidR="38A97A39">
        <w:t>information</w:t>
      </w:r>
      <w:r>
        <w:t xml:space="preserve"> must demonstrate the contribution of the </w:t>
      </w:r>
      <w:r w:rsidR="002F24C7">
        <w:t xml:space="preserve">MS4 </w:t>
      </w:r>
      <w:r>
        <w:t xml:space="preserve">outfall to the receiving water using samples from the </w:t>
      </w:r>
      <w:r w:rsidR="002F24C7">
        <w:t>MS4</w:t>
      </w:r>
      <w:r>
        <w:t xml:space="preserve"> and samples downstream from the outfall or samples taken from the receiving water upstream and downstream of the outfall.</w:t>
      </w:r>
    </w:p>
    <w:p w14:paraId="32A301B9" w14:textId="77777777" w:rsidR="00D630FC" w:rsidRDefault="00D630FC" w:rsidP="0064525C">
      <w:pPr>
        <w:pStyle w:val="ListParagraph"/>
        <w:numPr>
          <w:ilvl w:val="2"/>
          <w:numId w:val="1"/>
        </w:numPr>
      </w:pPr>
      <w:r>
        <w:t xml:space="preserve">Laboratory </w:t>
      </w:r>
      <w:r w:rsidR="0064525C">
        <w:t>analyses</w:t>
      </w:r>
      <w:r>
        <w:t xml:space="preserve"> </w:t>
      </w:r>
      <w:r w:rsidR="0064525C">
        <w:t>should be done by an Ecology</w:t>
      </w:r>
      <w:r>
        <w:t xml:space="preserve"> certified lab</w:t>
      </w:r>
      <w:r w:rsidR="004D3BEA">
        <w:t xml:space="preserve"> and obtained through documented methods</w:t>
      </w:r>
    </w:p>
    <w:p w14:paraId="3285EB40" w14:textId="70F6F751" w:rsidR="00D630FC" w:rsidRDefault="00D630FC" w:rsidP="0064525C">
      <w:pPr>
        <w:pStyle w:val="ListParagraph"/>
        <w:numPr>
          <w:ilvl w:val="2"/>
          <w:numId w:val="1"/>
        </w:numPr>
      </w:pPr>
      <w:r>
        <w:t xml:space="preserve">Field data </w:t>
      </w:r>
      <w:r w:rsidR="004D3BEA">
        <w:t>should be conducted</w:t>
      </w:r>
      <w:r>
        <w:t xml:space="preserve"> </w:t>
      </w:r>
      <w:r w:rsidR="3A9A1641">
        <w:t xml:space="preserve">using </w:t>
      </w:r>
      <w:r>
        <w:t xml:space="preserve">calibrated </w:t>
      </w:r>
      <w:r w:rsidR="21125E14">
        <w:t>instrument</w:t>
      </w:r>
      <w:r w:rsidR="4E0EC4FE">
        <w:t>s</w:t>
      </w:r>
      <w:r w:rsidR="004D3BEA">
        <w:t xml:space="preserve"> that </w:t>
      </w:r>
      <w:r w:rsidR="46BCF886">
        <w:t>ha</w:t>
      </w:r>
      <w:r w:rsidR="7433576C">
        <w:t>ve</w:t>
      </w:r>
      <w:r w:rsidR="004D3BEA">
        <w:t xml:space="preserve"> been documented and using a documented collection method</w:t>
      </w:r>
    </w:p>
    <w:p w14:paraId="569ED64F" w14:textId="77777777" w:rsidR="00D630FC" w:rsidRDefault="002F24C7" w:rsidP="0064525C">
      <w:pPr>
        <w:pStyle w:val="ListParagraph"/>
        <w:numPr>
          <w:ilvl w:val="2"/>
          <w:numId w:val="1"/>
        </w:numPr>
      </w:pPr>
      <w:r>
        <w:t>Documented o</w:t>
      </w:r>
      <w:r w:rsidR="00D630FC">
        <w:t xml:space="preserve">bservational data </w:t>
      </w:r>
      <w:r>
        <w:t xml:space="preserve">(photos or visual) </w:t>
      </w:r>
      <w:r w:rsidR="004D3BEA">
        <w:t>can be used for oil s</w:t>
      </w:r>
      <w:r w:rsidR="00D630FC">
        <w:t>heens and turbidity plumes</w:t>
      </w:r>
      <w:r>
        <w:t xml:space="preserve"> when obtained by qualified personnel.</w:t>
      </w:r>
    </w:p>
    <w:p w14:paraId="7529834D" w14:textId="199EE5C3" w:rsidR="24E0BC66" w:rsidRDefault="24E0BC66" w:rsidP="2FCC2E89">
      <w:pPr>
        <w:pStyle w:val="ListParagraph"/>
        <w:numPr>
          <w:ilvl w:val="1"/>
          <w:numId w:val="1"/>
        </w:numPr>
      </w:pPr>
      <w:r>
        <w:t>Qualified personnel:</w:t>
      </w:r>
    </w:p>
    <w:p w14:paraId="5C62C674" w14:textId="450DBECF" w:rsidR="00D630FC" w:rsidRDefault="24E0BC66" w:rsidP="2F188584">
      <w:pPr>
        <w:pStyle w:val="ListParagraph"/>
        <w:numPr>
          <w:ilvl w:val="2"/>
          <w:numId w:val="1"/>
        </w:numPr>
        <w:rPr>
          <w:rFonts w:eastAsiaTheme="minorEastAsia"/>
        </w:rPr>
      </w:pPr>
      <w:r>
        <w:t>Permittee’s investigators should verify the reported field observation(s).</w:t>
      </w:r>
    </w:p>
    <w:p w14:paraId="2690694C" w14:textId="7EF16EEC" w:rsidR="00D630FC" w:rsidRDefault="00382700" w:rsidP="2F188584">
      <w:pPr>
        <w:ind w:left="720"/>
      </w:pPr>
      <w:r w:rsidRPr="2F188584">
        <w:rPr>
          <w:b/>
          <w:bCs/>
        </w:rPr>
        <w:t>Recommended solution:</w:t>
      </w:r>
      <w:r w:rsidR="6E51AD17">
        <w:t xml:space="preserve"> Add definition of “</w:t>
      </w:r>
      <w:r w:rsidR="171E5C9C">
        <w:t xml:space="preserve">credible </w:t>
      </w:r>
      <w:r w:rsidR="6E51AD17">
        <w:t xml:space="preserve">site-specific </w:t>
      </w:r>
      <w:r w:rsidR="08BF33BF">
        <w:t>information</w:t>
      </w:r>
      <w:r w:rsidR="6E51AD17">
        <w:t xml:space="preserve">” to the </w:t>
      </w:r>
      <w:r w:rsidR="4FDD5389">
        <w:t>definitions</w:t>
      </w:r>
      <w:r w:rsidR="6E51AD17">
        <w:t xml:space="preserve"> section</w:t>
      </w:r>
      <w:r w:rsidR="00A23497">
        <w:t xml:space="preserve"> using the conditions described above</w:t>
      </w:r>
      <w:r w:rsidR="00715FC7">
        <w:t>.</w:t>
      </w:r>
    </w:p>
    <w:p w14:paraId="09F853D9" w14:textId="77777777" w:rsidR="00382700" w:rsidRDefault="00382700" w:rsidP="004D3BEA">
      <w:pPr>
        <w:pStyle w:val="ListParagraph"/>
      </w:pPr>
    </w:p>
    <w:p w14:paraId="1A3B461B" w14:textId="3FC3E5B8" w:rsidR="00D630FC" w:rsidRPr="004F73E9" w:rsidRDefault="00D630FC" w:rsidP="2FCC2E89">
      <w:pPr>
        <w:pStyle w:val="ListParagraph"/>
        <w:numPr>
          <w:ilvl w:val="0"/>
          <w:numId w:val="1"/>
        </w:numPr>
        <w:rPr>
          <w:rFonts w:eastAsiaTheme="minorEastAsia"/>
          <w:b/>
          <w:bCs/>
        </w:rPr>
      </w:pPr>
      <w:r w:rsidRPr="2FCC2E89">
        <w:rPr>
          <w:b/>
          <w:bCs/>
        </w:rPr>
        <w:t xml:space="preserve">How to address the </w:t>
      </w:r>
      <w:r w:rsidR="209F5E89" w:rsidRPr="2FCC2E89">
        <w:rPr>
          <w:b/>
          <w:bCs/>
        </w:rPr>
        <w:t xml:space="preserve">nexus </w:t>
      </w:r>
      <w:r w:rsidR="212390AB" w:rsidRPr="2FCC2E89">
        <w:rPr>
          <w:b/>
          <w:bCs/>
        </w:rPr>
        <w:t>between Construction</w:t>
      </w:r>
      <w:r w:rsidR="5D69B003">
        <w:t xml:space="preserve"> </w:t>
      </w:r>
      <w:r w:rsidR="5D69B003" w:rsidRPr="2FCC2E89">
        <w:rPr>
          <w:b/>
          <w:bCs/>
        </w:rPr>
        <w:t>General Permit/Industrial General Permit and Municipal Phase I &amp; II permits</w:t>
      </w:r>
      <w:r w:rsidR="607A9351" w:rsidRPr="2FCC2E89">
        <w:rPr>
          <w:b/>
          <w:bCs/>
        </w:rPr>
        <w:t>.</w:t>
      </w:r>
    </w:p>
    <w:p w14:paraId="4501DF84" w14:textId="5178D5DB" w:rsidR="1DF76206" w:rsidRDefault="00027E06" w:rsidP="2FCC2E89">
      <w:pPr>
        <w:pStyle w:val="ListParagraph"/>
        <w:numPr>
          <w:ilvl w:val="1"/>
          <w:numId w:val="1"/>
        </w:numPr>
        <w:rPr>
          <w:rFonts w:eastAsiaTheme="minorEastAsia"/>
        </w:rPr>
      </w:pPr>
      <w:r>
        <w:t>B</w:t>
      </w:r>
      <w:r w:rsidR="1DF76206">
        <w:t>enchmark</w:t>
      </w:r>
      <w:r>
        <w:t>s</w:t>
      </w:r>
      <w:r w:rsidR="1DF76206">
        <w:t xml:space="preserve"> for Construction</w:t>
      </w:r>
      <w:r w:rsidR="5144E742">
        <w:t xml:space="preserve">/Industrial </w:t>
      </w:r>
      <w:r w:rsidR="26BC35B2">
        <w:t>Permit</w:t>
      </w:r>
      <w:r w:rsidR="65AADA1E">
        <w:t xml:space="preserve"> </w:t>
      </w:r>
      <w:r w:rsidR="1DF76206">
        <w:t xml:space="preserve">can be </w:t>
      </w:r>
      <w:r w:rsidR="28CDBD61">
        <w:t xml:space="preserve">viewed </w:t>
      </w:r>
      <w:r w:rsidR="1DF76206">
        <w:t>as a G3 for the Municipal</w:t>
      </w:r>
      <w:r w:rsidR="00E463EC">
        <w:t xml:space="preserve"> permittees as </w:t>
      </w:r>
      <w:r w:rsidR="1DF76206">
        <w:t>the water quality standards</w:t>
      </w:r>
      <w:r w:rsidR="069CCA53">
        <w:t xml:space="preserve"> </w:t>
      </w:r>
      <w:r w:rsidR="1027FF13">
        <w:t>are 5 NTU over background when the background is 50 NTU or less; or a 10 percent increase in turbidity when the background turbidity is more than 50 NTU.</w:t>
      </w:r>
    </w:p>
    <w:p w14:paraId="391F2750" w14:textId="2B29EE87" w:rsidR="004F73E9" w:rsidRDefault="7F816E0C" w:rsidP="2F188584">
      <w:pPr>
        <w:pStyle w:val="ListParagraph"/>
        <w:numPr>
          <w:ilvl w:val="1"/>
          <w:numId w:val="1"/>
        </w:numPr>
        <w:rPr>
          <w:rFonts w:eastAsiaTheme="minorEastAsia"/>
        </w:rPr>
      </w:pPr>
      <w:r>
        <w:t>The group identified the d</w:t>
      </w:r>
      <w:r w:rsidR="004F73E9">
        <w:t>ifferences between Construction General Permit/Industrial General Permit and Phase I</w:t>
      </w:r>
      <w:r w:rsidR="5F527CD4">
        <w:t>&amp; II permits.</w:t>
      </w:r>
      <w:r w:rsidR="004F73E9">
        <w:t xml:space="preserve"> P</w:t>
      </w:r>
      <w:r w:rsidR="1799E6B5">
        <w:t>ermittees</w:t>
      </w:r>
      <w:r w:rsidR="004F73E9">
        <w:t xml:space="preserve"> may or may not be notified of CGP/IGP discharges </w:t>
      </w:r>
      <w:r w:rsidR="0B47D0FC">
        <w:t xml:space="preserve">that exceed benchmarks </w:t>
      </w:r>
      <w:r w:rsidR="004F73E9">
        <w:t>that are reported to Ecology. Some get ERTS, others not.</w:t>
      </w:r>
    </w:p>
    <w:p w14:paraId="07C368EA" w14:textId="057463C4" w:rsidR="004D3BEA" w:rsidRDefault="00382700" w:rsidP="004D3BEA">
      <w:pPr>
        <w:pStyle w:val="ListParagraph"/>
        <w:rPr>
          <w:b/>
          <w:bCs/>
        </w:rPr>
      </w:pPr>
      <w:bookmarkStart w:id="1" w:name="_Hlk89088853"/>
      <w:r w:rsidRPr="2FCC2E89">
        <w:rPr>
          <w:b/>
          <w:bCs/>
        </w:rPr>
        <w:t>Recommended solution</w:t>
      </w:r>
      <w:r w:rsidR="00837D98" w:rsidRPr="2FCC2E89">
        <w:rPr>
          <w:b/>
          <w:bCs/>
        </w:rPr>
        <w:t>(s)</w:t>
      </w:r>
      <w:r w:rsidRPr="2FCC2E89">
        <w:rPr>
          <w:b/>
          <w:bCs/>
        </w:rPr>
        <w:t>:</w:t>
      </w:r>
      <w:r w:rsidR="00837D98" w:rsidRPr="2FCC2E89">
        <w:rPr>
          <w:b/>
          <w:bCs/>
        </w:rPr>
        <w:t xml:space="preserve"> </w:t>
      </w:r>
      <w:r w:rsidR="00837D98" w:rsidRPr="00A8622B">
        <w:t xml:space="preserve">Ensure that all exceedances </w:t>
      </w:r>
      <w:r w:rsidR="00DB7D21" w:rsidRPr="00A8622B">
        <w:t xml:space="preserve">reported from </w:t>
      </w:r>
      <w:r w:rsidR="00206158">
        <w:t>C</w:t>
      </w:r>
      <w:r w:rsidR="00B83C85" w:rsidRPr="00A8622B">
        <w:t xml:space="preserve">SGP or ISGP permit holders be reported to the respective </w:t>
      </w:r>
      <w:r w:rsidR="00A8622B" w:rsidRPr="00A8622B">
        <w:t>jurisdictions</w:t>
      </w:r>
      <w:r w:rsidR="00206158">
        <w:t>.</w:t>
      </w:r>
    </w:p>
    <w:bookmarkEnd w:id="1"/>
    <w:p w14:paraId="5477C481" w14:textId="77777777" w:rsidR="00382700" w:rsidRPr="00382700" w:rsidRDefault="00382700" w:rsidP="004D3BEA">
      <w:pPr>
        <w:pStyle w:val="ListParagraph"/>
        <w:rPr>
          <w:b/>
          <w:bCs/>
        </w:rPr>
      </w:pPr>
    </w:p>
    <w:p w14:paraId="38ED0D5B" w14:textId="4A29F48A" w:rsidR="004F73E9" w:rsidRPr="004F73E9" w:rsidRDefault="004F73E9" w:rsidP="00D630FC">
      <w:pPr>
        <w:pStyle w:val="ListParagraph"/>
        <w:numPr>
          <w:ilvl w:val="0"/>
          <w:numId w:val="1"/>
        </w:numPr>
        <w:rPr>
          <w:b/>
          <w:bCs/>
        </w:rPr>
      </w:pPr>
      <w:r w:rsidRPr="2FCC2E89">
        <w:rPr>
          <w:b/>
          <w:bCs/>
        </w:rPr>
        <w:t xml:space="preserve">Currently there is no process other than </w:t>
      </w:r>
      <w:r w:rsidR="00895E4F" w:rsidRPr="2FCC2E89">
        <w:rPr>
          <w:b/>
          <w:bCs/>
        </w:rPr>
        <w:t>a legal chall</w:t>
      </w:r>
      <w:r w:rsidR="005C6E40" w:rsidRPr="2FCC2E89">
        <w:rPr>
          <w:b/>
          <w:bCs/>
        </w:rPr>
        <w:t>e</w:t>
      </w:r>
      <w:r w:rsidR="00895E4F" w:rsidRPr="2FCC2E89">
        <w:rPr>
          <w:b/>
          <w:bCs/>
        </w:rPr>
        <w:t>nge</w:t>
      </w:r>
      <w:r w:rsidRPr="2FCC2E89">
        <w:rPr>
          <w:b/>
          <w:bCs/>
        </w:rPr>
        <w:t xml:space="preserve"> to address differences between Ecology and the permittee on the contents of the </w:t>
      </w:r>
      <w:r w:rsidR="00D72D08" w:rsidRPr="2FCC2E89">
        <w:rPr>
          <w:b/>
          <w:bCs/>
        </w:rPr>
        <w:t xml:space="preserve">Adaptive Management </w:t>
      </w:r>
      <w:r w:rsidR="08343DC2" w:rsidRPr="2FCC2E89">
        <w:rPr>
          <w:b/>
          <w:bCs/>
        </w:rPr>
        <w:t>Rep</w:t>
      </w:r>
      <w:r w:rsidR="5EFB7F9F" w:rsidRPr="2FCC2E89">
        <w:rPr>
          <w:b/>
          <w:bCs/>
        </w:rPr>
        <w:t>o</w:t>
      </w:r>
      <w:r w:rsidR="08343DC2" w:rsidRPr="2FCC2E89">
        <w:rPr>
          <w:b/>
          <w:bCs/>
        </w:rPr>
        <w:t>rt</w:t>
      </w:r>
      <w:r w:rsidRPr="2FCC2E89">
        <w:rPr>
          <w:b/>
          <w:bCs/>
        </w:rPr>
        <w:t>.</w:t>
      </w:r>
    </w:p>
    <w:p w14:paraId="6E9C8C1C" w14:textId="6ECEBF36" w:rsidR="00D630FC" w:rsidRDefault="004F73E9" w:rsidP="004F73E9">
      <w:pPr>
        <w:pStyle w:val="ListParagraph"/>
        <w:numPr>
          <w:ilvl w:val="1"/>
          <w:numId w:val="1"/>
        </w:numPr>
      </w:pPr>
      <w:r>
        <w:t>Suggest adding a d</w:t>
      </w:r>
      <w:r w:rsidR="00D630FC">
        <w:t xml:space="preserve">ispute resolution process for </w:t>
      </w:r>
      <w:r w:rsidR="00D2077E">
        <w:t>Adaptive Management Response Report</w:t>
      </w:r>
      <w:r w:rsidR="009B2FFB">
        <w:t>.</w:t>
      </w:r>
    </w:p>
    <w:p w14:paraId="0A1265DE" w14:textId="77777777" w:rsidR="004F73E9" w:rsidRDefault="004F73E9" w:rsidP="009B2FFB">
      <w:pPr>
        <w:pStyle w:val="ListParagraph"/>
        <w:numPr>
          <w:ilvl w:val="2"/>
          <w:numId w:val="1"/>
        </w:numPr>
      </w:pPr>
      <w:r>
        <w:t>What are the boundaries, what does Ecology do now?</w:t>
      </w:r>
    </w:p>
    <w:p w14:paraId="6BBE5018" w14:textId="7E1A5512" w:rsidR="009B2FFB" w:rsidRDefault="009B2FFB" w:rsidP="009B2FFB">
      <w:pPr>
        <w:pStyle w:val="ListParagraph"/>
        <w:numPr>
          <w:ilvl w:val="2"/>
          <w:numId w:val="1"/>
        </w:numPr>
      </w:pPr>
      <w:r>
        <w:t>The directives may include things that aren’t possible to do, such as extra sweeping without regard to conditions like ice, etc.</w:t>
      </w:r>
    </w:p>
    <w:p w14:paraId="7EDAA6DF" w14:textId="1D2D9AB4" w:rsidR="004F73E9" w:rsidRDefault="004F73E9" w:rsidP="004F73E9">
      <w:pPr>
        <w:pStyle w:val="ListParagraph"/>
        <w:numPr>
          <w:ilvl w:val="1"/>
          <w:numId w:val="1"/>
        </w:numPr>
      </w:pPr>
      <w:r>
        <w:t xml:space="preserve">Ecology requests additional information and/or actions that aren’t in the Permit. </w:t>
      </w:r>
      <w:r w:rsidR="0050255A">
        <w:t>Otherwise,</w:t>
      </w:r>
      <w:r>
        <w:t xml:space="preserve"> Ecology would need to pursue a Permit Modification process.</w:t>
      </w:r>
    </w:p>
    <w:p w14:paraId="40FF8E47" w14:textId="77777777" w:rsidR="004F73E9" w:rsidRDefault="004F73E9" w:rsidP="004F73E9">
      <w:pPr>
        <w:pStyle w:val="ListParagraph"/>
        <w:numPr>
          <w:ilvl w:val="1"/>
          <w:numId w:val="1"/>
        </w:numPr>
      </w:pPr>
      <w:r>
        <w:t>Implementation Plans from S4F may include work outside of Implementation Plan/Permit.</w:t>
      </w:r>
    </w:p>
    <w:p w14:paraId="6195A52F" w14:textId="361BC88E" w:rsidR="004F73E9" w:rsidRDefault="004F73E9" w:rsidP="004F73E9">
      <w:pPr>
        <w:pStyle w:val="ListParagraph"/>
        <w:numPr>
          <w:ilvl w:val="1"/>
          <w:numId w:val="1"/>
        </w:numPr>
      </w:pPr>
      <w:r>
        <w:t>The scope has changed to include Capitol Projects and may be high cost for producing new Implementation Plans.</w:t>
      </w:r>
    </w:p>
    <w:p w14:paraId="62E9C527" w14:textId="426B4A11" w:rsidR="00382700" w:rsidRPr="0057458C" w:rsidRDefault="00382700" w:rsidP="00382700">
      <w:pPr>
        <w:ind w:left="1080"/>
      </w:pPr>
      <w:bookmarkStart w:id="2" w:name="_Hlk89088914"/>
      <w:r w:rsidRPr="00382700">
        <w:rPr>
          <w:b/>
          <w:bCs/>
        </w:rPr>
        <w:lastRenderedPageBreak/>
        <w:t>Recommended solution:</w:t>
      </w:r>
      <w:r w:rsidR="0057458C">
        <w:t xml:space="preserve"> Insert the following statement into </w:t>
      </w:r>
      <w:r w:rsidR="005841CE">
        <w:t>S4</w:t>
      </w:r>
      <w:r w:rsidR="00B1164F">
        <w:t>.</w:t>
      </w:r>
      <w:r w:rsidR="005845A2">
        <w:t>F.</w:t>
      </w:r>
      <w:r w:rsidR="00B1164F">
        <w:t>3</w:t>
      </w:r>
      <w:r w:rsidR="005841CE">
        <w:t>.</w:t>
      </w:r>
      <w:r w:rsidR="00B1164F">
        <w:t>b</w:t>
      </w:r>
      <w:r w:rsidR="00695B6D">
        <w:t xml:space="preserve"> (Phase I</w:t>
      </w:r>
      <w:r w:rsidR="00F178B2">
        <w:t xml:space="preserve"> &amp; Phase II)</w:t>
      </w:r>
      <w:proofErr w:type="gramStart"/>
      <w:r w:rsidR="00534305">
        <w:t>:</w:t>
      </w:r>
      <w:r w:rsidR="000D2DB5">
        <w:t xml:space="preserve">  </w:t>
      </w:r>
      <w:r w:rsidR="00832541">
        <w:t>“</w:t>
      </w:r>
      <w:proofErr w:type="gramEnd"/>
      <w:r w:rsidR="00FA65CB" w:rsidRPr="00832541">
        <w:rPr>
          <w:i/>
          <w:iCs/>
        </w:rPr>
        <w:t xml:space="preserve">If the permittee and Ecology </w:t>
      </w:r>
      <w:r w:rsidR="00596473" w:rsidRPr="00832541">
        <w:rPr>
          <w:i/>
          <w:iCs/>
        </w:rPr>
        <w:t xml:space="preserve">have </w:t>
      </w:r>
      <w:r w:rsidR="00746BCD" w:rsidRPr="00832541">
        <w:rPr>
          <w:i/>
          <w:iCs/>
        </w:rPr>
        <w:t xml:space="preserve">irreconcilable differences over the </w:t>
      </w:r>
      <w:r w:rsidR="007778D5" w:rsidRPr="00832541">
        <w:rPr>
          <w:i/>
          <w:iCs/>
        </w:rPr>
        <w:t>revised report</w:t>
      </w:r>
      <w:r w:rsidR="005521A8" w:rsidRPr="00832541">
        <w:rPr>
          <w:i/>
          <w:iCs/>
        </w:rPr>
        <w:t xml:space="preserve"> then a dispute resolution process can be invoked</w:t>
      </w:r>
      <w:r w:rsidR="00832541">
        <w:t>.”</w:t>
      </w:r>
      <w:r w:rsidR="00695B6D">
        <w:t xml:space="preserve"> </w:t>
      </w:r>
      <w:r w:rsidR="005841CE">
        <w:t xml:space="preserve">  </w:t>
      </w:r>
    </w:p>
    <w:bookmarkEnd w:id="2"/>
    <w:p w14:paraId="06B7FA5D" w14:textId="77777777" w:rsidR="002F24C7" w:rsidRDefault="002F24C7" w:rsidP="002F24C7">
      <w:pPr>
        <w:pStyle w:val="ListParagraph"/>
      </w:pPr>
    </w:p>
    <w:p w14:paraId="5F4E28DC" w14:textId="3D12AEE6" w:rsidR="004F73E9" w:rsidRPr="004F73E9" w:rsidRDefault="00AB649D" w:rsidP="002F24C7">
      <w:pPr>
        <w:pStyle w:val="ListParagraph"/>
        <w:numPr>
          <w:ilvl w:val="0"/>
          <w:numId w:val="1"/>
        </w:numPr>
        <w:rPr>
          <w:b/>
          <w:bCs/>
        </w:rPr>
      </w:pPr>
      <w:r w:rsidRPr="2FCC2E89">
        <w:rPr>
          <w:b/>
          <w:bCs/>
        </w:rPr>
        <w:t>Workflow</w:t>
      </w:r>
      <w:r w:rsidR="00F755EC" w:rsidRPr="2FCC2E89">
        <w:rPr>
          <w:b/>
          <w:bCs/>
        </w:rPr>
        <w:t xml:space="preserve"> process and timeline process for S4</w:t>
      </w:r>
      <w:r w:rsidR="00CF10E5" w:rsidRPr="2FCC2E89">
        <w:rPr>
          <w:b/>
          <w:bCs/>
        </w:rPr>
        <w:t>F</w:t>
      </w:r>
      <w:r w:rsidR="00F755EC" w:rsidRPr="2FCC2E89">
        <w:rPr>
          <w:b/>
          <w:bCs/>
        </w:rPr>
        <w:t xml:space="preserve"> </w:t>
      </w:r>
      <w:r w:rsidR="004F73E9" w:rsidRPr="2FCC2E89">
        <w:rPr>
          <w:b/>
          <w:bCs/>
        </w:rPr>
        <w:t>report</w:t>
      </w:r>
      <w:r w:rsidR="00F755EC" w:rsidRPr="2FCC2E89">
        <w:rPr>
          <w:b/>
          <w:bCs/>
        </w:rPr>
        <w:t>ing</w:t>
      </w:r>
      <w:r w:rsidR="004F73E9" w:rsidRPr="2FCC2E89">
        <w:rPr>
          <w:b/>
          <w:bCs/>
        </w:rPr>
        <w:t xml:space="preserve"> and the timeline </w:t>
      </w:r>
      <w:r w:rsidR="00F755EC" w:rsidRPr="2FCC2E89">
        <w:rPr>
          <w:b/>
          <w:bCs/>
        </w:rPr>
        <w:t>for S4F</w:t>
      </w:r>
      <w:r w:rsidR="004F73E9" w:rsidRPr="2FCC2E89">
        <w:rPr>
          <w:b/>
          <w:bCs/>
        </w:rPr>
        <w:t xml:space="preserve">.  </w:t>
      </w:r>
    </w:p>
    <w:p w14:paraId="04974108" w14:textId="03B649EB" w:rsidR="004F73E9" w:rsidRDefault="002F24C7" w:rsidP="004F73E9">
      <w:pPr>
        <w:pStyle w:val="ListParagraph"/>
        <w:numPr>
          <w:ilvl w:val="1"/>
          <w:numId w:val="1"/>
        </w:numPr>
      </w:pPr>
      <w:r>
        <w:t>Become aware</w:t>
      </w:r>
      <w:r w:rsidR="0028566F">
        <w:t>, when does the clock start?</w:t>
      </w:r>
      <w:r w:rsidR="004F73E9">
        <w:t xml:space="preserve"> What are the timelines for IC/IDDE and complaint response and how does that tie into S4</w:t>
      </w:r>
      <w:r w:rsidR="607944DF">
        <w:t>F?</w:t>
      </w:r>
    </w:p>
    <w:p w14:paraId="5B0C7137" w14:textId="7694BFE6" w:rsidR="002F24C7" w:rsidRDefault="004F73E9" w:rsidP="004F73E9">
      <w:pPr>
        <w:pStyle w:val="ListParagraph"/>
        <w:numPr>
          <w:ilvl w:val="1"/>
          <w:numId w:val="1"/>
        </w:numPr>
      </w:pPr>
      <w:r>
        <w:t xml:space="preserve">Timeliness is a concern. Procedures for </w:t>
      </w:r>
      <w:r w:rsidR="1842F690">
        <w:t>r</w:t>
      </w:r>
      <w:r>
        <w:t xml:space="preserve">esponse create a level of insurance that response will happen in a timely manner. Maybe put timeliness in Definitions? </w:t>
      </w:r>
      <w:proofErr w:type="gramStart"/>
      <w:r>
        <w:t>Also</w:t>
      </w:r>
      <w:proofErr w:type="gramEnd"/>
      <w:r>
        <w:t xml:space="preserve"> in the flow chart?</w:t>
      </w:r>
    </w:p>
    <w:p w14:paraId="602BB8D1" w14:textId="77777777" w:rsidR="0050255A" w:rsidRDefault="0050255A" w:rsidP="0050255A">
      <w:pPr>
        <w:pStyle w:val="ListParagraph"/>
        <w:numPr>
          <w:ilvl w:val="1"/>
          <w:numId w:val="1"/>
        </w:numPr>
      </w:pPr>
      <w:r>
        <w:t>At what point do incidents lead to enforcement plans? What are the discretion points?</w:t>
      </w:r>
    </w:p>
    <w:p w14:paraId="0E6EDD7C" w14:textId="57A626A4" w:rsidR="0050255A" w:rsidRDefault="0050255A" w:rsidP="0050255A">
      <w:pPr>
        <w:pStyle w:val="ListParagraph"/>
        <w:numPr>
          <w:ilvl w:val="1"/>
          <w:numId w:val="1"/>
        </w:numPr>
      </w:pPr>
      <w:r>
        <w:t>Permit</w:t>
      </w:r>
      <w:r w:rsidR="4F60C88A">
        <w:t>t</w:t>
      </w:r>
      <w:r>
        <w:t>ees (Phase Is and IIs) have the same timelines to respond to complaints.</w:t>
      </w:r>
    </w:p>
    <w:p w14:paraId="07602400" w14:textId="77D6B565" w:rsidR="002F24C7" w:rsidRPr="008435AC" w:rsidRDefault="00382700" w:rsidP="002F24C7">
      <w:pPr>
        <w:pStyle w:val="ListParagraph"/>
      </w:pPr>
      <w:r w:rsidRPr="2F188584">
        <w:rPr>
          <w:b/>
          <w:bCs/>
        </w:rPr>
        <w:t>Recommended solution:</w:t>
      </w:r>
      <w:r w:rsidR="00C1242A" w:rsidRPr="2F188584">
        <w:rPr>
          <w:b/>
          <w:bCs/>
        </w:rPr>
        <w:t xml:space="preserve"> </w:t>
      </w:r>
      <w:r w:rsidR="00C1242A">
        <w:t xml:space="preserve">Add a flow chart </w:t>
      </w:r>
      <w:r w:rsidR="4977A2A3">
        <w:t xml:space="preserve">as an appendix </w:t>
      </w:r>
      <w:r w:rsidR="008435AC">
        <w:t>to the permit</w:t>
      </w:r>
      <w:r w:rsidR="5C0328E3">
        <w:t xml:space="preserve"> or as a</w:t>
      </w:r>
      <w:r w:rsidR="06437B54">
        <w:t xml:space="preserve"> Municipal Stormwater Permit Guidance document,</w:t>
      </w:r>
      <w:r w:rsidR="008435AC">
        <w:t xml:space="preserve"> </w:t>
      </w:r>
      <w:r w:rsidR="00C1242A">
        <w:t xml:space="preserve">showing the process </w:t>
      </w:r>
      <w:r w:rsidR="71DEE892">
        <w:t xml:space="preserve">and timeline </w:t>
      </w:r>
      <w:r w:rsidR="00C1242A">
        <w:t xml:space="preserve">from receiving a complaint to </w:t>
      </w:r>
      <w:r w:rsidR="008435AC">
        <w:t xml:space="preserve">completing S4F remediation actions, including enforcement where needed. </w:t>
      </w:r>
    </w:p>
    <w:p w14:paraId="394B8928" w14:textId="77777777" w:rsidR="00382700" w:rsidRPr="008435AC" w:rsidRDefault="00382700" w:rsidP="002F24C7">
      <w:pPr>
        <w:pStyle w:val="ListParagraph"/>
      </w:pPr>
    </w:p>
    <w:p w14:paraId="0E51BF63" w14:textId="35A4F6DA" w:rsidR="002F24C7" w:rsidRPr="0050255A" w:rsidRDefault="002F24C7" w:rsidP="00D630FC">
      <w:pPr>
        <w:pStyle w:val="ListParagraph"/>
        <w:numPr>
          <w:ilvl w:val="0"/>
          <w:numId w:val="1"/>
        </w:numPr>
        <w:rPr>
          <w:b/>
          <w:bCs/>
        </w:rPr>
      </w:pPr>
      <w:r w:rsidRPr="2FCC2E89">
        <w:rPr>
          <w:b/>
          <w:bCs/>
        </w:rPr>
        <w:t>Reporting S4</w:t>
      </w:r>
      <w:r w:rsidR="3C7D1380" w:rsidRPr="2FCC2E89">
        <w:rPr>
          <w:b/>
          <w:bCs/>
        </w:rPr>
        <w:t>F</w:t>
      </w:r>
      <w:r w:rsidRPr="2FCC2E89">
        <w:rPr>
          <w:b/>
          <w:bCs/>
        </w:rPr>
        <w:t xml:space="preserve"> for discharges discovered implementing a TMDL</w:t>
      </w:r>
      <w:r w:rsidR="0028566F" w:rsidRPr="2FCC2E89">
        <w:rPr>
          <w:b/>
          <w:bCs/>
        </w:rPr>
        <w:t>. Already addressed under TMDL or enforceable water quality cleanup plan?</w:t>
      </w:r>
    </w:p>
    <w:p w14:paraId="03030F0D" w14:textId="548FABB5" w:rsidR="004F3594" w:rsidRPr="00745C68" w:rsidRDefault="00AD00DD" w:rsidP="004F3594">
      <w:pPr>
        <w:pStyle w:val="ListParagraph"/>
        <w:numPr>
          <w:ilvl w:val="1"/>
          <w:numId w:val="1"/>
        </w:numPr>
      </w:pPr>
      <w:r>
        <w:t>What is</w:t>
      </w:r>
      <w:r w:rsidR="004F3594">
        <w:t xml:space="preserve"> the value of producing an S4F report for incidents </w:t>
      </w:r>
      <w:r w:rsidR="007E290D">
        <w:t>discovered during a TMDL or enforceable water quality cleanup plan</w:t>
      </w:r>
      <w:r>
        <w:t>?</w:t>
      </w:r>
      <w:r w:rsidR="004F3594">
        <w:t xml:space="preserve"> This concern is about</w:t>
      </w:r>
      <w:r w:rsidR="0007569A">
        <w:t xml:space="preserve"> </w:t>
      </w:r>
      <w:r w:rsidR="004F3594">
        <w:t>water quality implementation plan</w:t>
      </w:r>
      <w:r w:rsidR="0007569A">
        <w:t>s,</w:t>
      </w:r>
      <w:r w:rsidR="004F3594">
        <w:t xml:space="preserve"> implementing current permit requirements </w:t>
      </w:r>
      <w:r w:rsidR="0007569A">
        <w:t xml:space="preserve">which will result in no </w:t>
      </w:r>
      <w:r w:rsidR="004F3594">
        <w:t xml:space="preserve">change </w:t>
      </w:r>
      <w:r w:rsidR="0007569A">
        <w:t xml:space="preserve">to </w:t>
      </w:r>
      <w:r w:rsidR="004F3594">
        <w:t xml:space="preserve">the geographic focus or change any other permit actions in response to the incident.  </w:t>
      </w:r>
    </w:p>
    <w:p w14:paraId="7127F2F5" w14:textId="3BB58EA0" w:rsidR="002F24C7" w:rsidRPr="00062AEA" w:rsidRDefault="00382700" w:rsidP="2F188584">
      <w:pPr>
        <w:pStyle w:val="ListParagraph"/>
        <w:numPr>
          <w:ilvl w:val="1"/>
          <w:numId w:val="1"/>
        </w:numPr>
      </w:pPr>
      <w:r w:rsidRPr="2F188584">
        <w:rPr>
          <w:b/>
          <w:bCs/>
        </w:rPr>
        <w:t>Recommended solution:</w:t>
      </w:r>
      <w:r w:rsidR="009E151A" w:rsidRPr="2F188584">
        <w:rPr>
          <w:b/>
          <w:bCs/>
        </w:rPr>
        <w:t xml:space="preserve"> </w:t>
      </w:r>
      <w:r w:rsidR="009E151A">
        <w:t>Do not require</w:t>
      </w:r>
      <w:r w:rsidR="00913EC0">
        <w:t xml:space="preserve"> a notification under S4F </w:t>
      </w:r>
      <w:r w:rsidR="10C0F15C">
        <w:t xml:space="preserve">or </w:t>
      </w:r>
      <w:r w:rsidR="6A30FFB2">
        <w:t xml:space="preserve">use </w:t>
      </w:r>
      <w:r w:rsidR="10C0F15C">
        <w:t xml:space="preserve">a non-G19 S4F (as described above) </w:t>
      </w:r>
      <w:r w:rsidR="00913EC0">
        <w:t>for discharges</w:t>
      </w:r>
      <w:r w:rsidR="4B8B1739">
        <w:t xml:space="preserve"> of pollutants that the TMDL is addressing</w:t>
      </w:r>
      <w:r w:rsidR="00913EC0">
        <w:t xml:space="preserve"> discovered during the implementation</w:t>
      </w:r>
      <w:r w:rsidR="00E453FD">
        <w:t xml:space="preserve"> or a TMDL or other enforceable water quality cleanup plan.</w:t>
      </w:r>
    </w:p>
    <w:p w14:paraId="24A09179" w14:textId="77777777" w:rsidR="002F24C7" w:rsidRDefault="002F24C7"/>
    <w:sectPr w:rsidR="002F24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7177" w14:textId="77777777" w:rsidR="00B97844" w:rsidRDefault="00B97844" w:rsidP="0028566F">
      <w:pPr>
        <w:spacing w:after="0" w:line="240" w:lineRule="auto"/>
      </w:pPr>
      <w:r>
        <w:separator/>
      </w:r>
    </w:p>
  </w:endnote>
  <w:endnote w:type="continuationSeparator" w:id="0">
    <w:p w14:paraId="4793D562" w14:textId="77777777" w:rsidR="00B97844" w:rsidRDefault="00B97844" w:rsidP="0028566F">
      <w:pPr>
        <w:spacing w:after="0" w:line="240" w:lineRule="auto"/>
      </w:pPr>
      <w:r>
        <w:continuationSeparator/>
      </w:r>
    </w:p>
  </w:endnote>
  <w:endnote w:type="continuationNotice" w:id="1">
    <w:p w14:paraId="4E6B6FD7" w14:textId="77777777" w:rsidR="00B97844" w:rsidRDefault="00B97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6DEA" w14:textId="77777777" w:rsidR="00B97844" w:rsidRDefault="00B97844" w:rsidP="0028566F">
      <w:pPr>
        <w:spacing w:after="0" w:line="240" w:lineRule="auto"/>
      </w:pPr>
      <w:r>
        <w:separator/>
      </w:r>
    </w:p>
  </w:footnote>
  <w:footnote w:type="continuationSeparator" w:id="0">
    <w:p w14:paraId="795C9D9C" w14:textId="77777777" w:rsidR="00B97844" w:rsidRDefault="00B97844" w:rsidP="0028566F">
      <w:pPr>
        <w:spacing w:after="0" w:line="240" w:lineRule="auto"/>
      </w:pPr>
      <w:r>
        <w:continuationSeparator/>
      </w:r>
    </w:p>
  </w:footnote>
  <w:footnote w:type="continuationNotice" w:id="1">
    <w:p w14:paraId="29FACB7C" w14:textId="77777777" w:rsidR="00B97844" w:rsidRDefault="00B978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560E1"/>
    <w:multiLevelType w:val="hybridMultilevel"/>
    <w:tmpl w:val="3B62A5A6"/>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D3DBC"/>
    <w:multiLevelType w:val="hybridMultilevel"/>
    <w:tmpl w:val="1D302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F313A"/>
    <w:multiLevelType w:val="hybridMultilevel"/>
    <w:tmpl w:val="84C27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C"/>
    <w:rsid w:val="00027E06"/>
    <w:rsid w:val="00062AEA"/>
    <w:rsid w:val="0007569A"/>
    <w:rsid w:val="000A5ACF"/>
    <w:rsid w:val="000D2DB5"/>
    <w:rsid w:val="001365D0"/>
    <w:rsid w:val="00180967"/>
    <w:rsid w:val="001C6FE8"/>
    <w:rsid w:val="001D77E6"/>
    <w:rsid w:val="001E3097"/>
    <w:rsid w:val="00206158"/>
    <w:rsid w:val="002219F1"/>
    <w:rsid w:val="0028566F"/>
    <w:rsid w:val="002960CD"/>
    <w:rsid w:val="002B13BC"/>
    <w:rsid w:val="002C20CB"/>
    <w:rsid w:val="002F24C7"/>
    <w:rsid w:val="002F2CDB"/>
    <w:rsid w:val="00305D30"/>
    <w:rsid w:val="0035401D"/>
    <w:rsid w:val="00382700"/>
    <w:rsid w:val="00385CFC"/>
    <w:rsid w:val="003C5F56"/>
    <w:rsid w:val="003D460D"/>
    <w:rsid w:val="003D5A79"/>
    <w:rsid w:val="003E06D1"/>
    <w:rsid w:val="003E4AAE"/>
    <w:rsid w:val="003F2CD2"/>
    <w:rsid w:val="004067EE"/>
    <w:rsid w:val="00466AF1"/>
    <w:rsid w:val="00471448"/>
    <w:rsid w:val="00487C62"/>
    <w:rsid w:val="004D265A"/>
    <w:rsid w:val="004D3BEA"/>
    <w:rsid w:val="004F3594"/>
    <w:rsid w:val="004F73E9"/>
    <w:rsid w:val="0050003C"/>
    <w:rsid w:val="0050255A"/>
    <w:rsid w:val="00534305"/>
    <w:rsid w:val="005521A8"/>
    <w:rsid w:val="005579B0"/>
    <w:rsid w:val="0057458C"/>
    <w:rsid w:val="005841CE"/>
    <w:rsid w:val="005845A2"/>
    <w:rsid w:val="00596473"/>
    <w:rsid w:val="005C6E40"/>
    <w:rsid w:val="005F133D"/>
    <w:rsid w:val="00610E3A"/>
    <w:rsid w:val="006200DC"/>
    <w:rsid w:val="0064525C"/>
    <w:rsid w:val="0066173F"/>
    <w:rsid w:val="006619A5"/>
    <w:rsid w:val="00675328"/>
    <w:rsid w:val="00695B6D"/>
    <w:rsid w:val="006A73E0"/>
    <w:rsid w:val="006E572B"/>
    <w:rsid w:val="00715FC7"/>
    <w:rsid w:val="00745C68"/>
    <w:rsid w:val="00746BCD"/>
    <w:rsid w:val="007778D5"/>
    <w:rsid w:val="00797621"/>
    <w:rsid w:val="007B45F9"/>
    <w:rsid w:val="007D37DB"/>
    <w:rsid w:val="007E290D"/>
    <w:rsid w:val="007E7748"/>
    <w:rsid w:val="007E7B92"/>
    <w:rsid w:val="0081255A"/>
    <w:rsid w:val="00832541"/>
    <w:rsid w:val="00837D98"/>
    <w:rsid w:val="008435AC"/>
    <w:rsid w:val="00873E74"/>
    <w:rsid w:val="00895E4F"/>
    <w:rsid w:val="008B78AF"/>
    <w:rsid w:val="008D7BE9"/>
    <w:rsid w:val="00913EC0"/>
    <w:rsid w:val="00956C9A"/>
    <w:rsid w:val="00994711"/>
    <w:rsid w:val="009B2FFB"/>
    <w:rsid w:val="009C2B9F"/>
    <w:rsid w:val="009E151A"/>
    <w:rsid w:val="00A23497"/>
    <w:rsid w:val="00A40DE5"/>
    <w:rsid w:val="00A5156A"/>
    <w:rsid w:val="00A6071B"/>
    <w:rsid w:val="00A8622B"/>
    <w:rsid w:val="00A9796E"/>
    <w:rsid w:val="00AB649D"/>
    <w:rsid w:val="00AB64F5"/>
    <w:rsid w:val="00AC19D3"/>
    <w:rsid w:val="00AC7929"/>
    <w:rsid w:val="00AD00DD"/>
    <w:rsid w:val="00B018E3"/>
    <w:rsid w:val="00B04F12"/>
    <w:rsid w:val="00B1164F"/>
    <w:rsid w:val="00B20677"/>
    <w:rsid w:val="00B3088C"/>
    <w:rsid w:val="00B54EF7"/>
    <w:rsid w:val="00B66370"/>
    <w:rsid w:val="00B83C85"/>
    <w:rsid w:val="00B87EF5"/>
    <w:rsid w:val="00B912A1"/>
    <w:rsid w:val="00B94970"/>
    <w:rsid w:val="00B95FA8"/>
    <w:rsid w:val="00B97844"/>
    <w:rsid w:val="00BB541D"/>
    <w:rsid w:val="00BD7D62"/>
    <w:rsid w:val="00C02903"/>
    <w:rsid w:val="00C1242A"/>
    <w:rsid w:val="00C22BC4"/>
    <w:rsid w:val="00C5788F"/>
    <w:rsid w:val="00C6112C"/>
    <w:rsid w:val="00C73D8D"/>
    <w:rsid w:val="00C8704E"/>
    <w:rsid w:val="00CF10E5"/>
    <w:rsid w:val="00CF2822"/>
    <w:rsid w:val="00D2077E"/>
    <w:rsid w:val="00D630FC"/>
    <w:rsid w:val="00D65556"/>
    <w:rsid w:val="00D72D08"/>
    <w:rsid w:val="00D77781"/>
    <w:rsid w:val="00D813C6"/>
    <w:rsid w:val="00DA0027"/>
    <w:rsid w:val="00DB7D21"/>
    <w:rsid w:val="00DC36EA"/>
    <w:rsid w:val="00DE1D7D"/>
    <w:rsid w:val="00E0280E"/>
    <w:rsid w:val="00E453FD"/>
    <w:rsid w:val="00E463EC"/>
    <w:rsid w:val="00EB138A"/>
    <w:rsid w:val="00EB54DE"/>
    <w:rsid w:val="00ED129C"/>
    <w:rsid w:val="00EE6AE8"/>
    <w:rsid w:val="00F178B2"/>
    <w:rsid w:val="00F45CD2"/>
    <w:rsid w:val="00F755EC"/>
    <w:rsid w:val="00FA65CB"/>
    <w:rsid w:val="00FA73C1"/>
    <w:rsid w:val="00FC4FE3"/>
    <w:rsid w:val="06437B54"/>
    <w:rsid w:val="069CCA53"/>
    <w:rsid w:val="07B81261"/>
    <w:rsid w:val="07D95266"/>
    <w:rsid w:val="08343DC2"/>
    <w:rsid w:val="08BF33BF"/>
    <w:rsid w:val="096FA9F9"/>
    <w:rsid w:val="09C82D5F"/>
    <w:rsid w:val="0B1554D9"/>
    <w:rsid w:val="0B47D0FC"/>
    <w:rsid w:val="0B8780EB"/>
    <w:rsid w:val="0C8B6AE0"/>
    <w:rsid w:val="0CFB135C"/>
    <w:rsid w:val="0D200AC0"/>
    <w:rsid w:val="0E8778F3"/>
    <w:rsid w:val="0F2D1444"/>
    <w:rsid w:val="0FD6405D"/>
    <w:rsid w:val="1027FF13"/>
    <w:rsid w:val="1048ED8A"/>
    <w:rsid w:val="10C0F15C"/>
    <w:rsid w:val="10FBD76F"/>
    <w:rsid w:val="11BF19B5"/>
    <w:rsid w:val="11E7ACDC"/>
    <w:rsid w:val="123AEB9B"/>
    <w:rsid w:val="140BDEE1"/>
    <w:rsid w:val="15B62035"/>
    <w:rsid w:val="15CAEB5A"/>
    <w:rsid w:val="162D6177"/>
    <w:rsid w:val="171E5C9C"/>
    <w:rsid w:val="1799E6B5"/>
    <w:rsid w:val="179D9800"/>
    <w:rsid w:val="1842F690"/>
    <w:rsid w:val="1DF58F4F"/>
    <w:rsid w:val="1DF76206"/>
    <w:rsid w:val="1FA60970"/>
    <w:rsid w:val="209F5E89"/>
    <w:rsid w:val="20B3B894"/>
    <w:rsid w:val="21125E14"/>
    <w:rsid w:val="212390AB"/>
    <w:rsid w:val="222BD7C2"/>
    <w:rsid w:val="23545CA7"/>
    <w:rsid w:val="23841971"/>
    <w:rsid w:val="23E5D15A"/>
    <w:rsid w:val="24E0BC66"/>
    <w:rsid w:val="25CA536F"/>
    <w:rsid w:val="262E675D"/>
    <w:rsid w:val="26BC35B2"/>
    <w:rsid w:val="286AECE6"/>
    <w:rsid w:val="28B6F008"/>
    <w:rsid w:val="28CDBD61"/>
    <w:rsid w:val="29D01AFE"/>
    <w:rsid w:val="29EBCF1E"/>
    <w:rsid w:val="2A06BD47"/>
    <w:rsid w:val="2C11A9C3"/>
    <w:rsid w:val="2C56BA5B"/>
    <w:rsid w:val="2F188584"/>
    <w:rsid w:val="2FCC2E89"/>
    <w:rsid w:val="318A5CBD"/>
    <w:rsid w:val="32892406"/>
    <w:rsid w:val="32C715F7"/>
    <w:rsid w:val="33B1D14C"/>
    <w:rsid w:val="35FD9CA1"/>
    <w:rsid w:val="375F50E7"/>
    <w:rsid w:val="38303F99"/>
    <w:rsid w:val="38A97A39"/>
    <w:rsid w:val="3A3D534A"/>
    <w:rsid w:val="3A9A1641"/>
    <w:rsid w:val="3B018E71"/>
    <w:rsid w:val="3C7D1380"/>
    <w:rsid w:val="3CE72698"/>
    <w:rsid w:val="3FCFD2DB"/>
    <w:rsid w:val="409E68B2"/>
    <w:rsid w:val="40B6C237"/>
    <w:rsid w:val="40C475C8"/>
    <w:rsid w:val="415A9660"/>
    <w:rsid w:val="42322AE8"/>
    <w:rsid w:val="44990FE3"/>
    <w:rsid w:val="453F434E"/>
    <w:rsid w:val="4634E044"/>
    <w:rsid w:val="46BCF886"/>
    <w:rsid w:val="46EE5B01"/>
    <w:rsid w:val="48148F2A"/>
    <w:rsid w:val="488A2B62"/>
    <w:rsid w:val="494A77AE"/>
    <w:rsid w:val="4962B97D"/>
    <w:rsid w:val="4977A2A3"/>
    <w:rsid w:val="4AACD9DB"/>
    <w:rsid w:val="4B8B1739"/>
    <w:rsid w:val="4BC1CC24"/>
    <w:rsid w:val="4D0E0CFA"/>
    <w:rsid w:val="4E0EC4FE"/>
    <w:rsid w:val="4E39CB67"/>
    <w:rsid w:val="4E776F8C"/>
    <w:rsid w:val="4F60C88A"/>
    <w:rsid w:val="4FDD5389"/>
    <w:rsid w:val="50816B00"/>
    <w:rsid w:val="50AD5332"/>
    <w:rsid w:val="5144E742"/>
    <w:rsid w:val="521AE146"/>
    <w:rsid w:val="52310DA8"/>
    <w:rsid w:val="52B9E19F"/>
    <w:rsid w:val="549E12C0"/>
    <w:rsid w:val="55F52A3A"/>
    <w:rsid w:val="5715B0F8"/>
    <w:rsid w:val="576984DE"/>
    <w:rsid w:val="57D03831"/>
    <w:rsid w:val="5B3CB2FC"/>
    <w:rsid w:val="5C0328E3"/>
    <w:rsid w:val="5CE85E4A"/>
    <w:rsid w:val="5D35B5F2"/>
    <w:rsid w:val="5D69B003"/>
    <w:rsid w:val="5E003051"/>
    <w:rsid w:val="5EC0D658"/>
    <w:rsid w:val="5EFB7F9F"/>
    <w:rsid w:val="5F414A3D"/>
    <w:rsid w:val="5F527CD4"/>
    <w:rsid w:val="5FD6E3F4"/>
    <w:rsid w:val="607944DF"/>
    <w:rsid w:val="607A9351"/>
    <w:rsid w:val="618ED821"/>
    <w:rsid w:val="623034D9"/>
    <w:rsid w:val="635FFAF9"/>
    <w:rsid w:val="6586BFBA"/>
    <w:rsid w:val="65AADA1E"/>
    <w:rsid w:val="65F0C2CB"/>
    <w:rsid w:val="66D86488"/>
    <w:rsid w:val="68CCDEE8"/>
    <w:rsid w:val="68D16C0D"/>
    <w:rsid w:val="6A28816D"/>
    <w:rsid w:val="6A30FFB2"/>
    <w:rsid w:val="6B4BBBC8"/>
    <w:rsid w:val="6BA5E15E"/>
    <w:rsid w:val="6C84A1E1"/>
    <w:rsid w:val="6D18EF07"/>
    <w:rsid w:val="6D661EF2"/>
    <w:rsid w:val="6E51AD17"/>
    <w:rsid w:val="6EDE7079"/>
    <w:rsid w:val="6F214A1F"/>
    <w:rsid w:val="6FC32BFE"/>
    <w:rsid w:val="700098EB"/>
    <w:rsid w:val="711C4734"/>
    <w:rsid w:val="71DEE892"/>
    <w:rsid w:val="73B70F95"/>
    <w:rsid w:val="74157C82"/>
    <w:rsid w:val="74278106"/>
    <w:rsid w:val="7433576C"/>
    <w:rsid w:val="78134E7B"/>
    <w:rsid w:val="78197553"/>
    <w:rsid w:val="78B43B46"/>
    <w:rsid w:val="7A6E849A"/>
    <w:rsid w:val="7A7079B5"/>
    <w:rsid w:val="7B4AEF3D"/>
    <w:rsid w:val="7BA30A30"/>
    <w:rsid w:val="7C4CD02B"/>
    <w:rsid w:val="7C8886A9"/>
    <w:rsid w:val="7DA6255C"/>
    <w:rsid w:val="7EB34282"/>
    <w:rsid w:val="7EEB12AD"/>
    <w:rsid w:val="7F05E3ED"/>
    <w:rsid w:val="7F81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A8A01"/>
  <w15:chartTrackingRefBased/>
  <w15:docId w15:val="{FD7B803E-4E78-4F36-825E-B36A4D4A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FC"/>
    <w:pPr>
      <w:ind w:left="720"/>
      <w:contextualSpacing/>
    </w:pPr>
  </w:style>
  <w:style w:type="character" w:styleId="Hyperlink">
    <w:name w:val="Hyperlink"/>
    <w:basedOn w:val="DefaultParagraphFont"/>
    <w:uiPriority w:val="99"/>
    <w:unhideWhenUsed/>
    <w:rsid w:val="007E7B92"/>
    <w:rPr>
      <w:color w:val="0563C1" w:themeColor="hyperlink"/>
      <w:u w:val="single"/>
    </w:rPr>
  </w:style>
  <w:style w:type="character" w:styleId="UnresolvedMention">
    <w:name w:val="Unresolved Mention"/>
    <w:basedOn w:val="DefaultParagraphFont"/>
    <w:uiPriority w:val="99"/>
    <w:semiHidden/>
    <w:unhideWhenUsed/>
    <w:rsid w:val="007E7B92"/>
    <w:rPr>
      <w:color w:val="605E5C"/>
      <w:shd w:val="clear" w:color="auto" w:fill="E1DFDD"/>
    </w:rPr>
  </w:style>
  <w:style w:type="character" w:styleId="CommentReference">
    <w:name w:val="annotation reference"/>
    <w:basedOn w:val="DefaultParagraphFont"/>
    <w:uiPriority w:val="99"/>
    <w:semiHidden/>
    <w:unhideWhenUsed/>
    <w:rsid w:val="00382700"/>
    <w:rPr>
      <w:sz w:val="16"/>
      <w:szCs w:val="16"/>
    </w:rPr>
  </w:style>
  <w:style w:type="paragraph" w:styleId="CommentText">
    <w:name w:val="annotation text"/>
    <w:basedOn w:val="Normal"/>
    <w:link w:val="CommentTextChar"/>
    <w:uiPriority w:val="99"/>
    <w:semiHidden/>
    <w:unhideWhenUsed/>
    <w:rsid w:val="00382700"/>
    <w:pPr>
      <w:spacing w:line="240" w:lineRule="auto"/>
    </w:pPr>
    <w:rPr>
      <w:sz w:val="20"/>
      <w:szCs w:val="20"/>
    </w:rPr>
  </w:style>
  <w:style w:type="character" w:customStyle="1" w:styleId="CommentTextChar">
    <w:name w:val="Comment Text Char"/>
    <w:basedOn w:val="DefaultParagraphFont"/>
    <w:link w:val="CommentText"/>
    <w:uiPriority w:val="99"/>
    <w:semiHidden/>
    <w:rsid w:val="00382700"/>
    <w:rPr>
      <w:sz w:val="20"/>
      <w:szCs w:val="20"/>
    </w:rPr>
  </w:style>
  <w:style w:type="paragraph" w:styleId="CommentSubject">
    <w:name w:val="annotation subject"/>
    <w:basedOn w:val="CommentText"/>
    <w:next w:val="CommentText"/>
    <w:link w:val="CommentSubjectChar"/>
    <w:uiPriority w:val="99"/>
    <w:semiHidden/>
    <w:unhideWhenUsed/>
    <w:rsid w:val="00382700"/>
    <w:rPr>
      <w:b/>
      <w:bCs/>
    </w:rPr>
  </w:style>
  <w:style w:type="character" w:customStyle="1" w:styleId="CommentSubjectChar">
    <w:name w:val="Comment Subject Char"/>
    <w:basedOn w:val="CommentTextChar"/>
    <w:link w:val="CommentSubject"/>
    <w:uiPriority w:val="99"/>
    <w:semiHidden/>
    <w:rsid w:val="00382700"/>
    <w:rPr>
      <w:b/>
      <w:bCs/>
      <w:sz w:val="20"/>
      <w:szCs w:val="20"/>
    </w:rPr>
  </w:style>
  <w:style w:type="paragraph" w:styleId="Header">
    <w:name w:val="header"/>
    <w:basedOn w:val="Normal"/>
    <w:link w:val="HeaderChar"/>
    <w:uiPriority w:val="99"/>
    <w:semiHidden/>
    <w:unhideWhenUsed/>
    <w:rsid w:val="00A51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156A"/>
  </w:style>
  <w:style w:type="paragraph" w:styleId="Footer">
    <w:name w:val="footer"/>
    <w:basedOn w:val="Normal"/>
    <w:link w:val="FooterChar"/>
    <w:uiPriority w:val="99"/>
    <w:semiHidden/>
    <w:unhideWhenUsed/>
    <w:rsid w:val="00A515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156A"/>
  </w:style>
  <w:style w:type="paragraph" w:styleId="Revision">
    <w:name w:val="Revision"/>
    <w:hidden/>
    <w:uiPriority w:val="99"/>
    <w:semiHidden/>
    <w:rsid w:val="00B912A1"/>
    <w:pPr>
      <w:spacing w:after="0" w:line="240" w:lineRule="auto"/>
    </w:pPr>
  </w:style>
  <w:style w:type="character" w:customStyle="1" w:styleId="normaltextrun">
    <w:name w:val="normaltextrun"/>
    <w:basedOn w:val="DefaultParagraphFont"/>
    <w:rsid w:val="00B9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ug.Navetski@kingcounty.gov" TargetMode="External"/><Relationship Id="rId5" Type="http://schemas.openxmlformats.org/officeDocument/2006/relationships/styles" Target="styles.xml"/><Relationship Id="rId10" Type="http://schemas.openxmlformats.org/officeDocument/2006/relationships/hyperlink" Target="mailto:Melissa.Ivancevich@seattle.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2DD627C2623418A9478A2D6051C1C" ma:contentTypeVersion="4" ma:contentTypeDescription="Create a new document." ma:contentTypeScope="" ma:versionID="fce1876e84c58fc776b13cce79ccfd43">
  <xsd:schema xmlns:xsd="http://www.w3.org/2001/XMLSchema" xmlns:xs="http://www.w3.org/2001/XMLSchema" xmlns:p="http://schemas.microsoft.com/office/2006/metadata/properties" xmlns:ns2="084f13ee-e499-4a99-83a3-44ff18c4365e" targetNamespace="http://schemas.microsoft.com/office/2006/metadata/properties" ma:root="true" ma:fieldsID="f4c4de00782fa51472e6b6a004805242" ns2:_="">
    <xsd:import namespace="084f13ee-e499-4a99-83a3-44ff18c436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f13ee-e499-4a99-83a3-44ff18c43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3C5C81-E909-47B9-BF59-7D1B1862F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f13ee-e499-4a99-83a3-44ff18c43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A3195-C08F-4376-AAB2-6F0A7D14B9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f13ee-e499-4a99-83a3-44ff18c4365e"/>
    <ds:schemaRef ds:uri="http://www.w3.org/XML/1998/namespace"/>
    <ds:schemaRef ds:uri="http://purl.org/dc/dcmitype/"/>
  </ds:schemaRefs>
</ds:datastoreItem>
</file>

<file path=customXml/itemProps3.xml><?xml version="1.0" encoding="utf-8"?>
<ds:datastoreItem xmlns:ds="http://schemas.openxmlformats.org/officeDocument/2006/customXml" ds:itemID="{CA676B3A-68AB-475A-B1E0-2A457C100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Navetski, Doug</dc:creator>
  <cp:keywords/>
  <dc:description/>
  <cp:lastModifiedBy>Ivancevich, Melissa</cp:lastModifiedBy>
  <cp:revision>2</cp:revision>
  <dcterms:created xsi:type="dcterms:W3CDTF">2022-02-04T00:08:00Z</dcterms:created>
  <dcterms:modified xsi:type="dcterms:W3CDTF">2022-02-04T00:08:00Z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0x0101002C62DD627C2623418A9478A2D6051C1C</vt:lpwstr>
  </property>
</Properties>
</file>