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D7E4" w14:textId="375409CA" w:rsidR="00C412C0" w:rsidRDefault="00C412C0" w:rsidP="00C412C0">
      <w:pPr>
        <w:spacing w:after="0" w:line="240" w:lineRule="auto"/>
        <w:jc w:val="center"/>
        <w:rPr>
          <w:rFonts w:ascii="Aptos" w:eastAsia="Aptos" w:hAnsi="Aptos" w:cs="Aptos"/>
          <w:b/>
          <w:bCs/>
          <w:kern w:val="0"/>
          <w14:ligatures w14:val="none"/>
        </w:rPr>
      </w:pPr>
      <w:r>
        <w:rPr>
          <w:rFonts w:ascii="Aptos" w:eastAsia="Aptos" w:hAnsi="Aptos" w:cs="Aptos"/>
          <w:b/>
          <w:bCs/>
          <w:kern w:val="0"/>
          <w14:ligatures w14:val="none"/>
        </w:rPr>
        <w:t>Financial Capability Assessment (FCA) Spreadsheet Tool</w:t>
      </w:r>
    </w:p>
    <w:p w14:paraId="0A040350" w14:textId="2C4A209C" w:rsidR="00C412C0" w:rsidRDefault="00C412C0" w:rsidP="00C412C0">
      <w:pPr>
        <w:spacing w:after="0" w:line="240" w:lineRule="auto"/>
        <w:jc w:val="center"/>
        <w:rPr>
          <w:rFonts w:ascii="Aptos" w:eastAsia="Aptos" w:hAnsi="Aptos" w:cs="Aptos"/>
          <w:b/>
          <w:bCs/>
          <w:kern w:val="0"/>
          <w14:ligatures w14:val="none"/>
        </w:rPr>
      </w:pPr>
      <w:r>
        <w:rPr>
          <w:rFonts w:ascii="Aptos" w:eastAsia="Aptos" w:hAnsi="Aptos" w:cs="Aptos"/>
          <w:b/>
          <w:bCs/>
          <w:kern w:val="0"/>
          <w14:ligatures w14:val="none"/>
        </w:rPr>
        <w:t>Review Comments</w:t>
      </w:r>
    </w:p>
    <w:p w14:paraId="1A24056A" w14:textId="2898A857" w:rsidR="00C412C0" w:rsidRDefault="00C412C0" w:rsidP="00C412C0">
      <w:pPr>
        <w:spacing w:after="0" w:line="240" w:lineRule="auto"/>
        <w:jc w:val="center"/>
        <w:rPr>
          <w:rFonts w:ascii="Aptos" w:eastAsia="Aptos" w:hAnsi="Aptos" w:cs="Aptos"/>
          <w:b/>
          <w:bCs/>
          <w:kern w:val="0"/>
          <w14:ligatures w14:val="none"/>
        </w:rPr>
      </w:pPr>
      <w:r>
        <w:rPr>
          <w:rFonts w:ascii="Aptos" w:eastAsia="Aptos" w:hAnsi="Aptos" w:cs="Aptos"/>
          <w:b/>
          <w:bCs/>
          <w:kern w:val="0"/>
          <w14:ligatures w14:val="none"/>
        </w:rPr>
        <w:t>August 14, 2024</w:t>
      </w:r>
    </w:p>
    <w:p w14:paraId="2F90B40B" w14:textId="77777777" w:rsidR="00C412C0" w:rsidRDefault="00C412C0" w:rsidP="00C51526">
      <w:pPr>
        <w:spacing w:after="0" w:line="240" w:lineRule="auto"/>
        <w:rPr>
          <w:rFonts w:ascii="Aptos" w:eastAsia="Aptos" w:hAnsi="Aptos" w:cs="Aptos"/>
          <w:b/>
          <w:bCs/>
          <w:kern w:val="0"/>
          <w14:ligatures w14:val="none"/>
        </w:rPr>
      </w:pPr>
    </w:p>
    <w:p w14:paraId="34801E21" w14:textId="365C6EAE" w:rsidR="00C412C0" w:rsidRPr="00C412C0" w:rsidRDefault="00C412C0" w:rsidP="00C51526">
      <w:pPr>
        <w:spacing w:after="0" w:line="240" w:lineRule="auto"/>
        <w:rPr>
          <w:rFonts w:ascii="Aptos" w:eastAsia="Aptos" w:hAnsi="Aptos" w:cs="Aptos"/>
          <w:kern w:val="0"/>
          <w14:ligatures w14:val="none"/>
        </w:rPr>
      </w:pPr>
      <w:r w:rsidRPr="00C412C0">
        <w:rPr>
          <w:rFonts w:ascii="Aptos" w:eastAsia="Aptos" w:hAnsi="Aptos" w:cs="Aptos"/>
          <w:kern w:val="0"/>
          <w14:ligatures w14:val="none"/>
        </w:rPr>
        <w:t xml:space="preserve">The following comments and questions </w:t>
      </w:r>
      <w:r>
        <w:rPr>
          <w:rFonts w:ascii="Aptos" w:eastAsia="Aptos" w:hAnsi="Aptos" w:cs="Aptos"/>
          <w:kern w:val="0"/>
          <w14:ligatures w14:val="none"/>
        </w:rPr>
        <w:t xml:space="preserve">apply to Ecology’s </w:t>
      </w:r>
      <w:r w:rsidRPr="00C412C0">
        <w:rPr>
          <w:rFonts w:ascii="Aptos" w:eastAsia="Aptos" w:hAnsi="Aptos" w:cs="Aptos"/>
          <w:kern w:val="0"/>
          <w14:ligatures w14:val="none"/>
        </w:rPr>
        <w:t xml:space="preserve">FCA Excel spreadsheet tool. </w:t>
      </w:r>
    </w:p>
    <w:p w14:paraId="440774C2" w14:textId="77777777" w:rsidR="00C412C0" w:rsidRDefault="00C412C0" w:rsidP="00C51526">
      <w:pPr>
        <w:spacing w:after="0" w:line="240" w:lineRule="auto"/>
        <w:rPr>
          <w:rFonts w:ascii="Aptos" w:eastAsia="Aptos" w:hAnsi="Aptos" w:cs="Aptos"/>
          <w:b/>
          <w:bCs/>
          <w:kern w:val="0"/>
          <w14:ligatures w14:val="none"/>
        </w:rPr>
      </w:pPr>
    </w:p>
    <w:p w14:paraId="2928D4DB" w14:textId="77777777" w:rsidR="00C412C0" w:rsidRDefault="00C412C0" w:rsidP="00C51526">
      <w:pPr>
        <w:spacing w:after="0" w:line="240" w:lineRule="auto"/>
        <w:rPr>
          <w:rFonts w:ascii="Aptos" w:eastAsia="Aptos" w:hAnsi="Aptos" w:cs="Aptos"/>
          <w:b/>
          <w:bCs/>
          <w:kern w:val="0"/>
          <w14:ligatures w14:val="none"/>
        </w:rPr>
      </w:pPr>
      <w:r>
        <w:rPr>
          <w:rFonts w:ascii="Aptos" w:eastAsia="Aptos" w:hAnsi="Aptos" w:cs="Aptos"/>
          <w:b/>
          <w:bCs/>
          <w:kern w:val="0"/>
          <w14:ligatures w14:val="none"/>
        </w:rPr>
        <w:t xml:space="preserve">General </w:t>
      </w:r>
    </w:p>
    <w:p w14:paraId="605A93BF" w14:textId="77777777" w:rsidR="00C412C0" w:rsidRDefault="00C412C0" w:rsidP="00C51526">
      <w:pPr>
        <w:spacing w:after="0" w:line="240" w:lineRule="auto"/>
        <w:rPr>
          <w:rFonts w:ascii="Aptos" w:eastAsia="Aptos" w:hAnsi="Aptos" w:cs="Aptos"/>
          <w:b/>
          <w:bCs/>
          <w:kern w:val="0"/>
          <w14:ligatures w14:val="none"/>
        </w:rPr>
      </w:pPr>
    </w:p>
    <w:p w14:paraId="373D0AFF" w14:textId="0939C7BD" w:rsidR="00C51526" w:rsidRDefault="00C412C0" w:rsidP="00C412C0">
      <w:pPr>
        <w:numPr>
          <w:ilvl w:val="0"/>
          <w:numId w:val="2"/>
        </w:numPr>
        <w:spacing w:after="120" w:line="240" w:lineRule="auto"/>
        <w:rPr>
          <w:rFonts w:ascii="Aptos" w:eastAsia="Times New Roman" w:hAnsi="Aptos" w:cs="Aptos"/>
          <w:kern w:val="0"/>
          <w14:ligatures w14:val="none"/>
        </w:rPr>
      </w:pPr>
      <w:r>
        <w:rPr>
          <w:rFonts w:ascii="Aptos" w:eastAsia="Times New Roman" w:hAnsi="Aptos" w:cs="Aptos"/>
          <w:kern w:val="0"/>
          <w14:ligatures w14:val="none"/>
        </w:rPr>
        <w:t>Please address h</w:t>
      </w:r>
      <w:r w:rsidR="00C51526" w:rsidRPr="00C51526">
        <w:rPr>
          <w:rFonts w:ascii="Aptos" w:eastAsia="Times New Roman" w:hAnsi="Aptos" w:cs="Aptos"/>
          <w:kern w:val="0"/>
          <w14:ligatures w14:val="none"/>
        </w:rPr>
        <w:t>ow do the proposed metrics and source data</w:t>
      </w:r>
      <w:r>
        <w:rPr>
          <w:rFonts w:ascii="Aptos" w:eastAsia="Times New Roman" w:hAnsi="Aptos" w:cs="Aptos"/>
          <w:kern w:val="0"/>
          <w14:ligatures w14:val="none"/>
        </w:rPr>
        <w:t xml:space="preserve"> accompanying the FCA tool</w:t>
      </w:r>
      <w:r w:rsidR="00C51526" w:rsidRPr="00C51526">
        <w:rPr>
          <w:rFonts w:ascii="Aptos" w:eastAsia="Times New Roman" w:hAnsi="Aptos" w:cs="Aptos"/>
          <w:kern w:val="0"/>
          <w14:ligatures w14:val="none"/>
        </w:rPr>
        <w:t xml:space="preserve"> account for the rapid increase in inflation and significant changes in socioeconomic criteria since 2020?</w:t>
      </w:r>
    </w:p>
    <w:p w14:paraId="6891E8F4" w14:textId="1CCE4BD0" w:rsidR="00A93B2A" w:rsidRPr="00A93B2A" w:rsidRDefault="00A93B2A" w:rsidP="00A93B2A">
      <w:pPr>
        <w:spacing w:after="120" w:line="240" w:lineRule="auto"/>
        <w:rPr>
          <w:rFonts w:ascii="Aptos" w:eastAsia="Times New Roman" w:hAnsi="Aptos" w:cs="Aptos"/>
          <w:b/>
          <w:bCs/>
          <w:kern w:val="0"/>
          <w14:ligatures w14:val="none"/>
        </w:rPr>
      </w:pPr>
      <w:r w:rsidRPr="00A93B2A">
        <w:rPr>
          <w:rFonts w:ascii="Aptos" w:eastAsia="Times New Roman" w:hAnsi="Aptos" w:cs="Aptos"/>
          <w:b/>
          <w:bCs/>
          <w:kern w:val="0"/>
          <w14:ligatures w14:val="none"/>
        </w:rPr>
        <w:t>FCA Tool Indices</w:t>
      </w:r>
    </w:p>
    <w:p w14:paraId="7432DCD2" w14:textId="65B4EA69" w:rsidR="00C51526" w:rsidRPr="004924F9" w:rsidRDefault="00C51526" w:rsidP="004924F9">
      <w:pPr>
        <w:pStyle w:val="ListParagraph"/>
        <w:numPr>
          <w:ilvl w:val="0"/>
          <w:numId w:val="4"/>
        </w:numPr>
        <w:spacing w:after="120" w:line="240" w:lineRule="auto"/>
        <w:rPr>
          <w:rFonts w:ascii="Aptos" w:eastAsia="Times New Roman" w:hAnsi="Aptos" w:cs="Aptos"/>
          <w:kern w:val="0"/>
          <w14:ligatures w14:val="none"/>
        </w:rPr>
      </w:pPr>
      <w:r w:rsidRPr="004924F9">
        <w:rPr>
          <w:rFonts w:ascii="Aptos" w:eastAsia="Times New Roman" w:hAnsi="Aptos" w:cs="Aptos"/>
          <w:kern w:val="0"/>
          <w14:ligatures w14:val="none"/>
        </w:rPr>
        <w:t>Residential Indicator (RI)</w:t>
      </w:r>
    </w:p>
    <w:p w14:paraId="4048C4F4" w14:textId="2EBCFD48" w:rsidR="001842C1" w:rsidRPr="001842C1" w:rsidRDefault="00C51526" w:rsidP="004924F9">
      <w:pPr>
        <w:numPr>
          <w:ilvl w:val="1"/>
          <w:numId w:val="4"/>
        </w:numPr>
        <w:spacing w:after="120" w:line="240" w:lineRule="auto"/>
        <w:rPr>
          <w:rFonts w:ascii="Aptos" w:eastAsia="Times New Roman" w:hAnsi="Aptos" w:cs="Aptos"/>
          <w:kern w:val="0"/>
          <w14:ligatures w14:val="none"/>
        </w:rPr>
      </w:pPr>
      <w:r w:rsidRPr="00C51526">
        <w:rPr>
          <w:rFonts w:ascii="Aptos" w:eastAsia="Times New Roman" w:hAnsi="Aptos" w:cs="Aptos"/>
          <w:kern w:val="0"/>
          <w14:ligatures w14:val="none"/>
        </w:rPr>
        <w:t>Water utility bills typically include drinking water, wastewater, and stormwater. The residential impacts of water utility costs are often not exclusive to just wastewater improvements. Emerging contaminants</w:t>
      </w:r>
      <w:r w:rsidR="00B6227D" w:rsidRPr="001842C1">
        <w:rPr>
          <w:rFonts w:ascii="Aptos" w:eastAsia="Times New Roman" w:hAnsi="Aptos" w:cs="Aptos"/>
          <w:kern w:val="0"/>
          <w14:ligatures w14:val="none"/>
        </w:rPr>
        <w:t xml:space="preserve"> of concern,</w:t>
      </w:r>
      <w:r w:rsidRPr="00C51526">
        <w:rPr>
          <w:rFonts w:ascii="Aptos" w:eastAsia="Times New Roman" w:hAnsi="Aptos" w:cs="Aptos"/>
          <w:kern w:val="0"/>
          <w14:ligatures w14:val="none"/>
        </w:rPr>
        <w:t xml:space="preserve"> such as PFAS and 6-PPD-q are prompting new or developing regulatory limits that could significantly increase required costs for drinking water and storm water infrastructure. Though a wastewater service may be “low impact” per FCA guidance, including other water services can quickly move communities into a “high impact” category as costs easily double when including drinking water and stormwater. Measuring the impacts of wastewater exclusive of drinking water and stormwater is not representative of a “one water” approach that explores the affordability of all water services within a community. </w:t>
      </w:r>
      <w:r w:rsidRPr="00C51526">
        <w:rPr>
          <w:rFonts w:ascii="Aptos" w:eastAsia="Times New Roman" w:hAnsi="Aptos" w:cs="Aptos"/>
          <w:kern w:val="0"/>
          <w14:ligatures w14:val="none"/>
        </w:rPr>
        <w:br/>
        <w:t xml:space="preserve">This “one water” theme is fundamentally represented when evaluating billing approaches, debt service requirements, bonds, and operations and maintenance expenses. Though a utility bill typically delineates costs between water service types, it does not send separate bills for each water service. Similarly, the proportional share of revenues, debts, and expenses is not always strictly compartmentalized between different water services. It is possible to quantify shares of CIP programs, revenue, debt service, etc. that are dedicated to wastewater, but often bond values and operational and administrative costs are not explicitly divided across water services in annual financial reporting. All water service costs should be included when evaluating the FCA guidance. As an example, the City of Everett’s independent current FCA results (not including projected) for water and sewer are “Medium Impact” but if you combine the services, as they do in their billing approach, the results indicate an overall “High Impact”. An increase in wastewater costs may be perceived as “low impact” per the current guidance, but it may be just enough of an increase in cost to tip the scales </w:t>
      </w:r>
      <w:r w:rsidRPr="00C51526">
        <w:rPr>
          <w:rFonts w:ascii="Aptos" w:eastAsia="Times New Roman" w:hAnsi="Aptos" w:cs="Aptos"/>
          <w:color w:val="000000" w:themeColor="text1"/>
          <w:kern w:val="0"/>
          <w14:ligatures w14:val="none"/>
        </w:rPr>
        <w:t xml:space="preserve">for a community with existing high drinking water costs. </w:t>
      </w:r>
      <w:r w:rsidR="006C17F2" w:rsidRPr="001842C1">
        <w:rPr>
          <w:rFonts w:ascii="Aptos" w:eastAsia="Times New Roman" w:hAnsi="Aptos" w:cs="Aptos"/>
          <w:color w:val="000000" w:themeColor="text1"/>
          <w:kern w:val="0"/>
          <w14:ligatures w14:val="none"/>
        </w:rPr>
        <w:t>The FCA t</w:t>
      </w:r>
      <w:r w:rsidRPr="00C51526">
        <w:rPr>
          <w:rFonts w:ascii="Aptos" w:eastAsia="Times New Roman" w:hAnsi="Aptos" w:cs="Aptos"/>
          <w:color w:val="000000" w:themeColor="text1"/>
          <w:kern w:val="0"/>
          <w14:ligatures w14:val="none"/>
        </w:rPr>
        <w:t xml:space="preserve">ool is not sensitive to </w:t>
      </w:r>
      <w:r w:rsidR="001842C1" w:rsidRPr="001842C1">
        <w:rPr>
          <w:rFonts w:ascii="Aptos" w:eastAsia="Times New Roman" w:hAnsi="Aptos" w:cs="Aptos"/>
          <w:color w:val="000000" w:themeColor="text1"/>
          <w:kern w:val="0"/>
          <w14:ligatures w14:val="none"/>
        </w:rPr>
        <w:t xml:space="preserve">the </w:t>
      </w:r>
      <w:r w:rsidRPr="00C51526">
        <w:rPr>
          <w:rFonts w:ascii="Aptos" w:eastAsia="Times New Roman" w:hAnsi="Aptos" w:cs="Aptos"/>
          <w:color w:val="000000" w:themeColor="text1"/>
          <w:kern w:val="0"/>
          <w14:ligatures w14:val="none"/>
        </w:rPr>
        <w:t xml:space="preserve">existing cost burden of </w:t>
      </w:r>
      <w:r w:rsidR="001842C1" w:rsidRPr="001842C1">
        <w:rPr>
          <w:rFonts w:ascii="Aptos" w:eastAsia="Times New Roman" w:hAnsi="Aptos" w:cs="Aptos"/>
          <w:color w:val="000000" w:themeColor="text1"/>
          <w:kern w:val="0"/>
          <w14:ligatures w14:val="none"/>
        </w:rPr>
        <w:t xml:space="preserve">a </w:t>
      </w:r>
      <w:r w:rsidRPr="00C51526">
        <w:rPr>
          <w:rFonts w:ascii="Aptos" w:eastAsia="Times New Roman" w:hAnsi="Aptos" w:cs="Aptos"/>
          <w:color w:val="000000" w:themeColor="text1"/>
          <w:kern w:val="0"/>
          <w14:ligatures w14:val="none"/>
        </w:rPr>
        <w:t>c</w:t>
      </w:r>
      <w:r w:rsidR="001842C1" w:rsidRPr="001842C1">
        <w:rPr>
          <w:rFonts w:ascii="Aptos" w:eastAsia="Times New Roman" w:hAnsi="Aptos" w:cs="Aptos"/>
          <w:color w:val="000000" w:themeColor="text1"/>
          <w:kern w:val="0"/>
          <w14:ligatures w14:val="none"/>
        </w:rPr>
        <w:t>ombined u</w:t>
      </w:r>
      <w:r w:rsidRPr="00C51526">
        <w:rPr>
          <w:rFonts w:ascii="Aptos" w:eastAsia="Times New Roman" w:hAnsi="Aptos" w:cs="Aptos"/>
          <w:color w:val="000000" w:themeColor="text1"/>
          <w:kern w:val="0"/>
          <w14:ligatures w14:val="none"/>
        </w:rPr>
        <w:t>tility bill</w:t>
      </w:r>
      <w:r w:rsidR="001842C1" w:rsidRPr="001842C1">
        <w:rPr>
          <w:rFonts w:ascii="Aptos" w:eastAsia="Times New Roman" w:hAnsi="Aptos" w:cs="Aptos"/>
          <w:color w:val="000000" w:themeColor="text1"/>
          <w:kern w:val="0"/>
          <w14:ligatures w14:val="none"/>
        </w:rPr>
        <w:t xml:space="preserve"> that includes wastewater, stormwater, and drinking water</w:t>
      </w:r>
      <w:r w:rsidRPr="00C51526">
        <w:rPr>
          <w:rFonts w:ascii="Aptos" w:eastAsia="Times New Roman" w:hAnsi="Aptos" w:cs="Aptos"/>
          <w:color w:val="000000" w:themeColor="text1"/>
          <w:kern w:val="0"/>
          <w14:ligatures w14:val="none"/>
        </w:rPr>
        <w:t>.</w:t>
      </w:r>
      <w:r w:rsidR="001842C1" w:rsidRPr="001842C1">
        <w:rPr>
          <w:rFonts w:ascii="Aptos" w:eastAsia="Times New Roman" w:hAnsi="Aptos" w:cs="Aptos"/>
          <w:color w:val="000000" w:themeColor="text1"/>
          <w:kern w:val="0"/>
          <w14:ligatures w14:val="none"/>
        </w:rPr>
        <w:t xml:space="preserve"> Nor is it sensitive to the same customer base that receives separate utility billings for wastewater and drinking water. </w:t>
      </w:r>
      <w:r w:rsidRPr="00C51526">
        <w:rPr>
          <w:rFonts w:ascii="Aptos" w:eastAsia="Times New Roman" w:hAnsi="Aptos" w:cs="Aptos"/>
          <w:color w:val="000000" w:themeColor="text1"/>
          <w:kern w:val="0"/>
          <w14:ligatures w14:val="none"/>
        </w:rPr>
        <w:t>In</w:t>
      </w:r>
      <w:r w:rsidR="001842C1" w:rsidRPr="001842C1">
        <w:rPr>
          <w:rFonts w:ascii="Aptos" w:eastAsia="Times New Roman" w:hAnsi="Aptos" w:cs="Aptos"/>
          <w:color w:val="000000" w:themeColor="text1"/>
          <w:kern w:val="0"/>
          <w14:ligatures w14:val="none"/>
        </w:rPr>
        <w:t xml:space="preserve"> some cases, the </w:t>
      </w:r>
      <w:r w:rsidRPr="00C51526">
        <w:rPr>
          <w:rFonts w:ascii="Aptos" w:eastAsia="Times New Roman" w:hAnsi="Aptos" w:cs="Aptos"/>
          <w:color w:val="000000" w:themeColor="text1"/>
          <w:kern w:val="0"/>
          <w14:ligatures w14:val="none"/>
        </w:rPr>
        <w:t>O&amp;M and debt service expenses are</w:t>
      </w:r>
      <w:r w:rsidR="001842C1" w:rsidRPr="001842C1">
        <w:rPr>
          <w:rFonts w:ascii="Aptos" w:eastAsia="Times New Roman" w:hAnsi="Aptos" w:cs="Aptos"/>
          <w:color w:val="000000" w:themeColor="text1"/>
          <w:kern w:val="0"/>
          <w14:ligatures w14:val="none"/>
        </w:rPr>
        <w:t xml:space="preserve"> combined for both drinking </w:t>
      </w:r>
      <w:r w:rsidRPr="00C51526">
        <w:rPr>
          <w:rFonts w:ascii="Aptos" w:eastAsia="Times New Roman" w:hAnsi="Aptos" w:cs="Aptos"/>
          <w:color w:val="000000" w:themeColor="text1"/>
          <w:kern w:val="0"/>
          <w14:ligatures w14:val="none"/>
        </w:rPr>
        <w:t>water and wastewater/stormwater</w:t>
      </w:r>
      <w:r w:rsidR="001842C1" w:rsidRPr="001842C1">
        <w:rPr>
          <w:rFonts w:ascii="Aptos" w:eastAsia="Times New Roman" w:hAnsi="Aptos" w:cs="Aptos"/>
          <w:color w:val="000000" w:themeColor="text1"/>
          <w:kern w:val="0"/>
          <w14:ligatures w14:val="none"/>
        </w:rPr>
        <w:t xml:space="preserve">. This suggests the FCA tool may only account for </w:t>
      </w:r>
      <w:r w:rsidRPr="00C51526">
        <w:rPr>
          <w:rFonts w:ascii="Aptos" w:eastAsia="Times New Roman" w:hAnsi="Aptos" w:cs="Aptos"/>
          <w:color w:val="000000" w:themeColor="text1"/>
          <w:kern w:val="0"/>
          <w14:ligatures w14:val="none"/>
        </w:rPr>
        <w:t>one half of the total water bill cost burden</w:t>
      </w:r>
      <w:r w:rsidR="001842C1" w:rsidRPr="001842C1">
        <w:rPr>
          <w:rFonts w:ascii="Aptos" w:eastAsia="Times New Roman" w:hAnsi="Aptos" w:cs="Aptos"/>
          <w:color w:val="000000" w:themeColor="text1"/>
          <w:kern w:val="0"/>
          <w14:ligatures w14:val="none"/>
        </w:rPr>
        <w:t xml:space="preserve"> to customers. This may under-estimate the </w:t>
      </w:r>
      <w:r w:rsidR="001842C1" w:rsidRPr="001842C1">
        <w:rPr>
          <w:rFonts w:ascii="Aptos" w:eastAsia="Times New Roman" w:hAnsi="Aptos" w:cs="Aptos"/>
          <w:color w:val="000000" w:themeColor="text1"/>
          <w:kern w:val="0"/>
          <w14:ligatures w14:val="none"/>
        </w:rPr>
        <w:lastRenderedPageBreak/>
        <w:t>impact of proposed projects, especially for over</w:t>
      </w:r>
      <w:r w:rsidR="000C5253">
        <w:rPr>
          <w:rFonts w:ascii="Aptos" w:eastAsia="Times New Roman" w:hAnsi="Aptos" w:cs="Aptos"/>
          <w:color w:val="000000" w:themeColor="text1"/>
          <w:kern w:val="0"/>
          <w14:ligatures w14:val="none"/>
        </w:rPr>
        <w:t>-</w:t>
      </w:r>
      <w:r w:rsidR="001842C1" w:rsidRPr="001842C1">
        <w:rPr>
          <w:rFonts w:ascii="Aptos" w:eastAsia="Times New Roman" w:hAnsi="Aptos" w:cs="Aptos"/>
          <w:color w:val="000000" w:themeColor="text1"/>
          <w:kern w:val="0"/>
          <w14:ligatures w14:val="none"/>
        </w:rPr>
        <w:t>burdened members of the community.</w:t>
      </w:r>
    </w:p>
    <w:p w14:paraId="67217352" w14:textId="564443A3" w:rsidR="00C51526" w:rsidRPr="00C51526" w:rsidRDefault="005B27AF" w:rsidP="004924F9">
      <w:pPr>
        <w:numPr>
          <w:ilvl w:val="1"/>
          <w:numId w:val="4"/>
        </w:numPr>
        <w:spacing w:after="120" w:line="240" w:lineRule="auto"/>
        <w:rPr>
          <w:rFonts w:ascii="Aptos" w:eastAsia="Times New Roman" w:hAnsi="Aptos" w:cs="Aptos"/>
          <w:kern w:val="0"/>
          <w14:ligatures w14:val="none"/>
        </w:rPr>
      </w:pPr>
      <w:r w:rsidRPr="005B27AF">
        <w:rPr>
          <w:rFonts w:ascii="Aptos" w:eastAsia="Times New Roman" w:hAnsi="Aptos" w:cs="Aptos"/>
          <w:kern w:val="0"/>
          <w14:ligatures w14:val="none"/>
        </w:rPr>
        <w:t>Please address</w:t>
      </w:r>
      <w:r>
        <w:rPr>
          <w:rFonts w:ascii="Aptos" w:eastAsia="Times New Roman" w:hAnsi="Aptos" w:cs="Aptos"/>
          <w:kern w:val="0"/>
          <w14:ligatures w14:val="none"/>
        </w:rPr>
        <w:t xml:space="preserve"> why </w:t>
      </w:r>
      <w:r w:rsidR="00C51526" w:rsidRPr="00C51526">
        <w:rPr>
          <w:rFonts w:ascii="Aptos" w:eastAsia="Times New Roman" w:hAnsi="Aptos" w:cs="Aptos"/>
          <w:kern w:val="0"/>
          <w14:ligatures w14:val="none"/>
        </w:rPr>
        <w:t xml:space="preserve">the </w:t>
      </w:r>
      <w:r>
        <w:rPr>
          <w:rFonts w:ascii="Aptos" w:eastAsia="Times New Roman" w:hAnsi="Aptos" w:cs="Aptos"/>
          <w:kern w:val="0"/>
          <w14:ligatures w14:val="none"/>
        </w:rPr>
        <w:t>Residential Indicator (</w:t>
      </w:r>
      <w:r w:rsidR="00C51526" w:rsidRPr="00C51526">
        <w:rPr>
          <w:rFonts w:ascii="Aptos" w:eastAsia="Times New Roman" w:hAnsi="Aptos" w:cs="Aptos"/>
          <w:kern w:val="0"/>
          <w14:ligatures w14:val="none"/>
        </w:rPr>
        <w:t>RI</w:t>
      </w:r>
      <w:r>
        <w:rPr>
          <w:rFonts w:ascii="Aptos" w:eastAsia="Times New Roman" w:hAnsi="Aptos" w:cs="Aptos"/>
          <w:kern w:val="0"/>
          <w14:ligatures w14:val="none"/>
        </w:rPr>
        <w:t>) does</w:t>
      </w:r>
      <w:r w:rsidR="00C51526" w:rsidRPr="00C51526">
        <w:rPr>
          <w:rFonts w:ascii="Aptos" w:eastAsia="Times New Roman" w:hAnsi="Aptos" w:cs="Aptos"/>
          <w:kern w:val="0"/>
          <w14:ligatures w14:val="none"/>
        </w:rPr>
        <w:t xml:space="preserve"> not consider current billing rates and projected rate changes on a high level? </w:t>
      </w:r>
      <w:r>
        <w:rPr>
          <w:rFonts w:ascii="Aptos" w:eastAsia="Times New Roman" w:hAnsi="Aptos" w:cs="Aptos"/>
          <w:kern w:val="0"/>
          <w14:ligatures w14:val="none"/>
        </w:rPr>
        <w:t xml:space="preserve">It appears that </w:t>
      </w:r>
      <w:r w:rsidR="00C51526" w:rsidRPr="00C51526">
        <w:rPr>
          <w:rFonts w:ascii="Aptos" w:eastAsia="Times New Roman" w:hAnsi="Aptos" w:cs="Aptos"/>
          <w:kern w:val="0"/>
          <w14:ligatures w14:val="none"/>
        </w:rPr>
        <w:t>there is a benchmark value for acceptable rate increase percentages that could serve as a reference for projected cost impact scoring.</w:t>
      </w:r>
    </w:p>
    <w:p w14:paraId="095203CF" w14:textId="77777777" w:rsidR="00C51526" w:rsidRPr="00C51526" w:rsidRDefault="00C51526" w:rsidP="00C51526">
      <w:pPr>
        <w:spacing w:after="120" w:line="240" w:lineRule="auto"/>
        <w:ind w:left="1440"/>
        <w:rPr>
          <w:rFonts w:ascii="Aptos" w:eastAsia="Aptos" w:hAnsi="Aptos" w:cs="Aptos"/>
          <w:kern w:val="0"/>
          <w14:ligatures w14:val="none"/>
        </w:rPr>
      </w:pPr>
    </w:p>
    <w:p w14:paraId="2A68C8B5" w14:textId="77777777" w:rsidR="00C51526" w:rsidRPr="00C51526" w:rsidRDefault="00C51526" w:rsidP="004924F9">
      <w:pPr>
        <w:numPr>
          <w:ilvl w:val="0"/>
          <w:numId w:val="4"/>
        </w:numPr>
        <w:spacing w:after="120" w:line="240" w:lineRule="auto"/>
        <w:rPr>
          <w:rFonts w:ascii="Aptos" w:eastAsia="Times New Roman" w:hAnsi="Aptos" w:cs="Aptos"/>
          <w:kern w:val="0"/>
          <w14:ligatures w14:val="none"/>
        </w:rPr>
      </w:pPr>
      <w:r w:rsidRPr="00C51526">
        <w:rPr>
          <w:rFonts w:ascii="Aptos" w:eastAsia="Times New Roman" w:hAnsi="Aptos" w:cs="Aptos"/>
          <w:kern w:val="0"/>
          <w14:ligatures w14:val="none"/>
        </w:rPr>
        <w:t>Financial Capability Indicator (FCI)</w:t>
      </w:r>
    </w:p>
    <w:p w14:paraId="46F0DCE0" w14:textId="353BED53" w:rsidR="00C51526" w:rsidRPr="00C51526" w:rsidRDefault="00C51526" w:rsidP="004924F9">
      <w:pPr>
        <w:numPr>
          <w:ilvl w:val="1"/>
          <w:numId w:val="4"/>
        </w:numPr>
        <w:spacing w:after="120" w:line="240" w:lineRule="auto"/>
        <w:rPr>
          <w:rFonts w:ascii="Aptos" w:eastAsia="Times New Roman" w:hAnsi="Aptos" w:cs="Aptos"/>
          <w:kern w:val="0"/>
          <w14:ligatures w14:val="none"/>
        </w:rPr>
      </w:pPr>
      <w:r w:rsidRPr="00C51526">
        <w:rPr>
          <w:rFonts w:ascii="Aptos" w:eastAsia="Times New Roman" w:hAnsi="Aptos" w:cs="Aptos"/>
          <w:kern w:val="0"/>
          <w14:ligatures w14:val="none"/>
        </w:rPr>
        <w:t xml:space="preserve">FCA guidance is </w:t>
      </w:r>
      <w:r w:rsidR="005B27AF">
        <w:rPr>
          <w:rFonts w:ascii="Aptos" w:eastAsia="Times New Roman" w:hAnsi="Aptos" w:cs="Aptos"/>
          <w:kern w:val="0"/>
          <w14:ligatures w14:val="none"/>
        </w:rPr>
        <w:t xml:space="preserve">intended </w:t>
      </w:r>
      <w:r w:rsidRPr="00C51526">
        <w:rPr>
          <w:rFonts w:ascii="Aptos" w:eastAsia="Times New Roman" w:hAnsi="Aptos" w:cs="Aptos"/>
          <w:kern w:val="0"/>
          <w14:ligatures w14:val="none"/>
        </w:rPr>
        <w:t xml:space="preserve">to capture impacts specific to wastewater, but bond values and ratings are typically associated with improvements made for all water services. </w:t>
      </w:r>
      <w:r w:rsidR="005B27AF">
        <w:rPr>
          <w:rFonts w:ascii="Aptos" w:eastAsia="Times New Roman" w:hAnsi="Aptos" w:cs="Aptos"/>
          <w:kern w:val="0"/>
          <w14:ligatures w14:val="none"/>
        </w:rPr>
        <w:t xml:space="preserve">A </w:t>
      </w:r>
      <w:r w:rsidRPr="00C51526">
        <w:rPr>
          <w:rFonts w:ascii="Aptos" w:eastAsia="Times New Roman" w:hAnsi="Aptos" w:cs="Aptos"/>
          <w:kern w:val="0"/>
          <w14:ligatures w14:val="none"/>
        </w:rPr>
        <w:t xml:space="preserve">“One water” approach should be taken to </w:t>
      </w:r>
      <w:r w:rsidR="005B27AF">
        <w:rPr>
          <w:rFonts w:ascii="Aptos" w:eastAsia="Times New Roman" w:hAnsi="Aptos" w:cs="Aptos"/>
          <w:kern w:val="0"/>
          <w14:ligatures w14:val="none"/>
        </w:rPr>
        <w:t>ensure that</w:t>
      </w:r>
      <w:r w:rsidR="00B6227D">
        <w:rPr>
          <w:rFonts w:ascii="Aptos" w:eastAsia="Times New Roman" w:hAnsi="Aptos" w:cs="Aptos"/>
          <w:kern w:val="0"/>
          <w14:ligatures w14:val="none"/>
        </w:rPr>
        <w:t xml:space="preserve"> the</w:t>
      </w:r>
      <w:r w:rsidRPr="00C51526">
        <w:rPr>
          <w:rFonts w:ascii="Aptos" w:eastAsia="Times New Roman" w:hAnsi="Aptos" w:cs="Aptos"/>
          <w:kern w:val="0"/>
          <w14:ligatures w14:val="none"/>
        </w:rPr>
        <w:t xml:space="preserve"> FCI is not misrepresenting “strength” in comparing overall water capability and exclusive wastewater capability. </w:t>
      </w:r>
      <w:r w:rsidRPr="00C51526">
        <w:rPr>
          <w:rFonts w:ascii="Aptos" w:eastAsia="Times New Roman" w:hAnsi="Aptos" w:cs="Aptos"/>
          <w:color w:val="000000" w:themeColor="text1"/>
          <w:kern w:val="0"/>
          <w14:ligatures w14:val="none"/>
        </w:rPr>
        <w:t>The</w:t>
      </w:r>
      <w:r w:rsidR="005B27AF" w:rsidRPr="00B6227D">
        <w:rPr>
          <w:rFonts w:ascii="Aptos" w:eastAsia="Times New Roman" w:hAnsi="Aptos" w:cs="Aptos"/>
          <w:color w:val="000000" w:themeColor="text1"/>
          <w:kern w:val="0"/>
          <w14:ligatures w14:val="none"/>
        </w:rPr>
        <w:t xml:space="preserve"> FCA</w:t>
      </w:r>
      <w:r w:rsidRPr="00C51526">
        <w:rPr>
          <w:rFonts w:ascii="Aptos" w:eastAsia="Times New Roman" w:hAnsi="Aptos" w:cs="Aptos"/>
          <w:color w:val="000000" w:themeColor="text1"/>
          <w:kern w:val="0"/>
          <w14:ligatures w14:val="none"/>
        </w:rPr>
        <w:t xml:space="preserve"> tool </w:t>
      </w:r>
      <w:r w:rsidR="005B27AF" w:rsidRPr="00B6227D">
        <w:rPr>
          <w:rFonts w:ascii="Aptos" w:eastAsia="Times New Roman" w:hAnsi="Aptos" w:cs="Aptos"/>
          <w:color w:val="000000" w:themeColor="text1"/>
          <w:kern w:val="0"/>
          <w14:ligatures w14:val="none"/>
        </w:rPr>
        <w:t xml:space="preserve">appears to </w:t>
      </w:r>
      <w:r w:rsidRPr="00C51526">
        <w:rPr>
          <w:rFonts w:ascii="Aptos" w:eastAsia="Times New Roman" w:hAnsi="Aptos" w:cs="Aptos"/>
          <w:color w:val="000000" w:themeColor="text1"/>
          <w:kern w:val="0"/>
          <w14:ligatures w14:val="none"/>
        </w:rPr>
        <w:t xml:space="preserve">overestimate a community’s strength because it takes the strength of bonds that fund </w:t>
      </w:r>
      <w:r w:rsidR="00B6227D">
        <w:rPr>
          <w:rFonts w:ascii="Aptos" w:eastAsia="Times New Roman" w:hAnsi="Aptos" w:cs="Aptos"/>
          <w:color w:val="000000" w:themeColor="text1"/>
          <w:kern w:val="0"/>
          <w14:ligatures w14:val="none"/>
        </w:rPr>
        <w:t xml:space="preserve">non-wastewater projects </w:t>
      </w:r>
      <w:r w:rsidRPr="00C51526">
        <w:rPr>
          <w:rFonts w:ascii="Aptos" w:eastAsia="Times New Roman" w:hAnsi="Aptos" w:cs="Aptos"/>
          <w:color w:val="000000" w:themeColor="text1"/>
          <w:kern w:val="0"/>
          <w14:ligatures w14:val="none"/>
        </w:rPr>
        <w:t>and applies that strength exclusively to wastewate</w:t>
      </w:r>
      <w:r w:rsidR="006C17F2">
        <w:rPr>
          <w:rFonts w:ascii="Aptos" w:eastAsia="Times New Roman" w:hAnsi="Aptos" w:cs="Aptos"/>
          <w:color w:val="000000" w:themeColor="text1"/>
          <w:kern w:val="0"/>
          <w14:ligatures w14:val="none"/>
        </w:rPr>
        <w:t>r</w:t>
      </w:r>
      <w:r w:rsidRPr="00C51526">
        <w:rPr>
          <w:rFonts w:ascii="Aptos" w:eastAsia="Times New Roman" w:hAnsi="Aptos" w:cs="Aptos"/>
          <w:color w:val="000000" w:themeColor="text1"/>
          <w:kern w:val="0"/>
          <w14:ligatures w14:val="none"/>
        </w:rPr>
        <w:t xml:space="preserve">. Comparison should be </w:t>
      </w:r>
      <w:r w:rsidR="005B27AF" w:rsidRPr="00B6227D">
        <w:rPr>
          <w:rFonts w:ascii="Aptos" w:eastAsia="Times New Roman" w:hAnsi="Aptos" w:cs="Aptos"/>
          <w:color w:val="000000" w:themeColor="text1"/>
          <w:kern w:val="0"/>
          <w14:ligatures w14:val="none"/>
        </w:rPr>
        <w:t xml:space="preserve">on </w:t>
      </w:r>
      <w:r w:rsidR="00B6227D" w:rsidRPr="00B6227D">
        <w:rPr>
          <w:rFonts w:ascii="Aptos" w:eastAsia="Times New Roman" w:hAnsi="Aptos" w:cs="Aptos"/>
          <w:color w:val="000000" w:themeColor="text1"/>
          <w:kern w:val="0"/>
          <w14:ligatures w14:val="none"/>
        </w:rPr>
        <w:t>a</w:t>
      </w:r>
      <w:r w:rsidR="005B27AF" w:rsidRPr="00B6227D">
        <w:rPr>
          <w:rFonts w:ascii="Aptos" w:eastAsia="Times New Roman" w:hAnsi="Aptos" w:cs="Aptos"/>
          <w:color w:val="000000" w:themeColor="text1"/>
          <w:kern w:val="0"/>
          <w14:ligatures w14:val="none"/>
        </w:rPr>
        <w:t xml:space="preserve"> par basis such that </w:t>
      </w:r>
      <w:r w:rsidRPr="00C51526">
        <w:rPr>
          <w:rFonts w:ascii="Aptos" w:eastAsia="Times New Roman" w:hAnsi="Aptos" w:cs="Aptos"/>
          <w:color w:val="000000" w:themeColor="text1"/>
          <w:kern w:val="0"/>
          <w14:ligatures w14:val="none"/>
        </w:rPr>
        <w:t xml:space="preserve">if bonds include all water </w:t>
      </w:r>
      <w:r w:rsidR="005B27AF" w:rsidRPr="00B6227D">
        <w:rPr>
          <w:rFonts w:ascii="Aptos" w:eastAsia="Times New Roman" w:hAnsi="Aptos" w:cs="Aptos"/>
          <w:color w:val="000000" w:themeColor="text1"/>
          <w:kern w:val="0"/>
          <w14:ligatures w14:val="none"/>
        </w:rPr>
        <w:t>costs</w:t>
      </w:r>
      <w:r w:rsidRPr="00C51526">
        <w:rPr>
          <w:rFonts w:ascii="Aptos" w:eastAsia="Times New Roman" w:hAnsi="Aptos" w:cs="Aptos"/>
          <w:color w:val="000000" w:themeColor="text1"/>
          <w:kern w:val="0"/>
          <w14:ligatures w14:val="none"/>
        </w:rPr>
        <w:t>, the residential indicator (RI) should include all water costs</w:t>
      </w:r>
      <w:r w:rsidR="005B27AF" w:rsidRPr="00B6227D">
        <w:rPr>
          <w:rFonts w:ascii="Aptos" w:eastAsia="Times New Roman" w:hAnsi="Aptos" w:cs="Aptos"/>
          <w:color w:val="000000" w:themeColor="text1"/>
          <w:kern w:val="0"/>
          <w14:ligatures w14:val="none"/>
        </w:rPr>
        <w:t>.</w:t>
      </w:r>
    </w:p>
    <w:p w14:paraId="072638A0" w14:textId="44CB3065" w:rsidR="00C51526" w:rsidRPr="00C51526" w:rsidRDefault="00C51526" w:rsidP="004924F9">
      <w:pPr>
        <w:numPr>
          <w:ilvl w:val="1"/>
          <w:numId w:val="4"/>
        </w:numPr>
        <w:spacing w:after="120" w:line="240" w:lineRule="auto"/>
        <w:rPr>
          <w:rFonts w:ascii="Aptos" w:eastAsia="Times New Roman" w:hAnsi="Aptos" w:cs="Aptos"/>
          <w:kern w:val="0"/>
          <w14:ligatures w14:val="none"/>
        </w:rPr>
      </w:pPr>
      <w:r w:rsidRPr="00C51526">
        <w:rPr>
          <w:rFonts w:ascii="Aptos" w:eastAsia="Times New Roman" w:hAnsi="Aptos" w:cs="Aptos"/>
          <w:kern w:val="0"/>
          <w14:ligatures w14:val="none"/>
        </w:rPr>
        <w:t xml:space="preserve">The sensitivity of </w:t>
      </w:r>
      <w:r w:rsidR="00B6227D">
        <w:rPr>
          <w:rFonts w:ascii="Aptos" w:eastAsia="Times New Roman" w:hAnsi="Aptos" w:cs="Aptos"/>
          <w:kern w:val="0"/>
          <w14:ligatures w14:val="none"/>
        </w:rPr>
        <w:t xml:space="preserve">the </w:t>
      </w:r>
      <w:r w:rsidRPr="00C51526">
        <w:rPr>
          <w:rFonts w:ascii="Aptos" w:eastAsia="Times New Roman" w:hAnsi="Aptos" w:cs="Aptos"/>
          <w:kern w:val="0"/>
          <w14:ligatures w14:val="none"/>
        </w:rPr>
        <w:t>FCI regard</w:t>
      </w:r>
      <w:r w:rsidR="00B6227D">
        <w:rPr>
          <w:rFonts w:ascii="Aptos" w:eastAsia="Times New Roman" w:hAnsi="Aptos" w:cs="Aptos"/>
          <w:kern w:val="0"/>
          <w14:ligatures w14:val="none"/>
        </w:rPr>
        <w:t xml:space="preserve">ing </w:t>
      </w:r>
      <w:r w:rsidRPr="00C51526">
        <w:rPr>
          <w:rFonts w:ascii="Aptos" w:eastAsia="Times New Roman" w:hAnsi="Aptos" w:cs="Aptos"/>
          <w:kern w:val="0"/>
          <w14:ligatures w14:val="none"/>
        </w:rPr>
        <w:t>the</w:t>
      </w:r>
      <w:r w:rsidRPr="00C51526">
        <w:rPr>
          <w:rFonts w:ascii="Aptos" w:eastAsia="Times New Roman" w:hAnsi="Aptos" w:cs="Aptos"/>
          <w:i/>
          <w:iCs/>
          <w:kern w:val="0"/>
          <w14:ligatures w14:val="none"/>
        </w:rPr>
        <w:t xml:space="preserve"> Property Tax Revenue Collection Rate (Line 803)</w:t>
      </w:r>
      <w:r w:rsidRPr="00C51526">
        <w:rPr>
          <w:rFonts w:ascii="Aptos" w:eastAsia="Times New Roman" w:hAnsi="Aptos" w:cs="Aptos"/>
          <w:kern w:val="0"/>
          <w14:ligatures w14:val="none"/>
        </w:rPr>
        <w:t xml:space="preserve"> seems disproportionate. What is the basis for the national, industry, etc. benchmarks if the rate is primarily scored based on a percent range of 94-100%? For example, changing the tax collection rate from 98.00% to 98.01% can shift an overall result from “Low Impact” to “Medium Impact”. EPA Guidance notes this metric as “</w:t>
      </w:r>
      <w:r w:rsidRPr="00C51526">
        <w:rPr>
          <w:rFonts w:ascii="Aptos" w:eastAsia="Times New Roman" w:hAnsi="Aptos" w:cs="Aptos"/>
          <w:i/>
          <w:iCs/>
          <w:kern w:val="0"/>
          <w14:ligatures w14:val="none"/>
        </w:rPr>
        <w:t>The property tax revenue collection rate is an indicator of the efficiency of the tax collection system and the acceptability of tax levels to residents</w:t>
      </w:r>
      <w:r w:rsidRPr="00C51526">
        <w:rPr>
          <w:rFonts w:ascii="Aptos" w:eastAsia="Times New Roman" w:hAnsi="Aptos" w:cs="Aptos"/>
          <w:kern w:val="0"/>
          <w14:ligatures w14:val="none"/>
        </w:rPr>
        <w:t xml:space="preserve">”. How does the efficiency of the tax collection system and acceptability of tax levels relate to increases in wastewater or other water costs? Is it </w:t>
      </w:r>
      <w:r w:rsidR="00B6227D">
        <w:rPr>
          <w:rFonts w:ascii="Aptos" w:eastAsia="Times New Roman" w:hAnsi="Aptos" w:cs="Aptos"/>
          <w:kern w:val="0"/>
          <w14:ligatures w14:val="none"/>
        </w:rPr>
        <w:t xml:space="preserve">intended </w:t>
      </w:r>
      <w:r w:rsidRPr="00C51526">
        <w:rPr>
          <w:rFonts w:ascii="Aptos" w:eastAsia="Times New Roman" w:hAnsi="Aptos" w:cs="Aptos"/>
          <w:kern w:val="0"/>
          <w14:ligatures w14:val="none"/>
        </w:rPr>
        <w:t xml:space="preserve">to </w:t>
      </w:r>
      <w:r w:rsidR="00B6227D">
        <w:rPr>
          <w:rFonts w:ascii="Aptos" w:eastAsia="Times New Roman" w:hAnsi="Aptos" w:cs="Aptos"/>
          <w:kern w:val="0"/>
          <w14:ligatures w14:val="none"/>
        </w:rPr>
        <w:t xml:space="preserve">be </w:t>
      </w:r>
      <w:r w:rsidRPr="00C51526">
        <w:rPr>
          <w:rFonts w:ascii="Aptos" w:eastAsia="Times New Roman" w:hAnsi="Aptos" w:cs="Aptos"/>
          <w:kern w:val="0"/>
          <w14:ligatures w14:val="none"/>
        </w:rPr>
        <w:t xml:space="preserve">representative of utility billing efficacy and rate increase acceptance? </w:t>
      </w:r>
      <w:r w:rsidR="00B6227D">
        <w:rPr>
          <w:rFonts w:ascii="Aptos" w:eastAsia="Times New Roman" w:hAnsi="Aptos" w:cs="Aptos"/>
          <w:kern w:val="0"/>
          <w14:ligatures w14:val="none"/>
        </w:rPr>
        <w:t xml:space="preserve">More </w:t>
      </w:r>
      <w:r w:rsidRPr="00C51526">
        <w:rPr>
          <w:rFonts w:ascii="Aptos" w:eastAsia="Times New Roman" w:hAnsi="Aptos" w:cs="Aptos"/>
          <w:kern w:val="0"/>
          <w14:ligatures w14:val="none"/>
        </w:rPr>
        <w:t>accurate billing-specific data</w:t>
      </w:r>
      <w:r w:rsidR="00B6227D">
        <w:rPr>
          <w:rFonts w:ascii="Aptos" w:eastAsia="Times New Roman" w:hAnsi="Aptos" w:cs="Aptos"/>
          <w:kern w:val="0"/>
          <w14:ligatures w14:val="none"/>
        </w:rPr>
        <w:t xml:space="preserve"> </w:t>
      </w:r>
      <w:r w:rsidR="00B6227D" w:rsidRPr="006C17F2">
        <w:rPr>
          <w:rFonts w:ascii="Aptos" w:eastAsia="Times New Roman" w:hAnsi="Aptos" w:cs="Aptos"/>
          <w:color w:val="000000" w:themeColor="text1"/>
          <w:kern w:val="0"/>
          <w14:ligatures w14:val="none"/>
        </w:rPr>
        <w:t>are</w:t>
      </w:r>
      <w:r w:rsidRPr="00C51526">
        <w:rPr>
          <w:rFonts w:ascii="Aptos" w:eastAsia="Times New Roman" w:hAnsi="Aptos" w:cs="Aptos"/>
          <w:color w:val="000000" w:themeColor="text1"/>
          <w:kern w:val="0"/>
          <w14:ligatures w14:val="none"/>
        </w:rPr>
        <w:t xml:space="preserve"> available that could better represent this indicator. This</w:t>
      </w:r>
      <w:r w:rsidR="00B6227D" w:rsidRPr="006C17F2">
        <w:rPr>
          <w:rFonts w:ascii="Aptos" w:eastAsia="Times New Roman" w:hAnsi="Aptos" w:cs="Aptos"/>
          <w:color w:val="000000" w:themeColor="text1"/>
          <w:kern w:val="0"/>
          <w14:ligatures w14:val="none"/>
        </w:rPr>
        <w:t xml:space="preserve"> appears to be a metric that is</w:t>
      </w:r>
      <w:r w:rsidRPr="00C51526">
        <w:rPr>
          <w:rFonts w:ascii="Aptos" w:eastAsia="Times New Roman" w:hAnsi="Aptos" w:cs="Aptos"/>
          <w:color w:val="000000" w:themeColor="text1"/>
          <w:kern w:val="0"/>
          <w14:ligatures w14:val="none"/>
        </w:rPr>
        <w:t xml:space="preserve"> insensitive </w:t>
      </w:r>
      <w:r w:rsidR="00B6227D" w:rsidRPr="006C17F2">
        <w:rPr>
          <w:rFonts w:ascii="Aptos" w:eastAsia="Times New Roman" w:hAnsi="Aptos" w:cs="Aptos"/>
          <w:color w:val="000000" w:themeColor="text1"/>
          <w:kern w:val="0"/>
          <w14:ligatures w14:val="none"/>
        </w:rPr>
        <w:t>with the</w:t>
      </w:r>
      <w:r w:rsidRPr="00C51526">
        <w:rPr>
          <w:rFonts w:ascii="Aptos" w:eastAsia="Times New Roman" w:hAnsi="Aptos" w:cs="Aptos"/>
          <w:color w:val="000000" w:themeColor="text1"/>
          <w:kern w:val="0"/>
          <w14:ligatures w14:val="none"/>
        </w:rPr>
        <w:t xml:space="preserve"> basis of scoring distributed over 6 out of 100 possible points and is misrepresentative of a rate payer</w:t>
      </w:r>
      <w:r w:rsidR="006C17F2" w:rsidRPr="006C17F2">
        <w:rPr>
          <w:rFonts w:ascii="Aptos" w:eastAsia="Times New Roman" w:hAnsi="Aptos" w:cs="Aptos"/>
          <w:color w:val="000000" w:themeColor="text1"/>
          <w:kern w:val="0"/>
          <w14:ligatures w14:val="none"/>
        </w:rPr>
        <w:t>’</w:t>
      </w:r>
      <w:r w:rsidRPr="00C51526">
        <w:rPr>
          <w:rFonts w:ascii="Aptos" w:eastAsia="Times New Roman" w:hAnsi="Aptos" w:cs="Aptos"/>
          <w:color w:val="000000" w:themeColor="text1"/>
          <w:kern w:val="0"/>
          <w14:ligatures w14:val="none"/>
        </w:rPr>
        <w:t>s acceptance of utility rate increases. Utility bill collection and rate increase data should be used</w:t>
      </w:r>
      <w:r w:rsidR="00B6227D" w:rsidRPr="006C17F2">
        <w:rPr>
          <w:rFonts w:ascii="Aptos" w:eastAsia="Times New Roman" w:hAnsi="Aptos" w:cs="Aptos"/>
          <w:color w:val="000000" w:themeColor="text1"/>
          <w:kern w:val="0"/>
          <w14:ligatures w14:val="none"/>
        </w:rPr>
        <w:t xml:space="preserve"> to provide more representative metrics for wastewater</w:t>
      </w:r>
      <w:r w:rsidRPr="00C51526">
        <w:rPr>
          <w:rFonts w:ascii="Aptos" w:eastAsia="Times New Roman" w:hAnsi="Aptos" w:cs="Aptos"/>
          <w:color w:val="000000" w:themeColor="text1"/>
          <w:kern w:val="0"/>
          <w14:ligatures w14:val="none"/>
        </w:rPr>
        <w:t>.</w:t>
      </w:r>
    </w:p>
    <w:p w14:paraId="6056F5DD" w14:textId="3958B41B" w:rsidR="00C51526" w:rsidRPr="00C51526" w:rsidRDefault="00C51526" w:rsidP="004924F9">
      <w:pPr>
        <w:numPr>
          <w:ilvl w:val="1"/>
          <w:numId w:val="4"/>
        </w:numPr>
        <w:spacing w:after="120" w:line="240" w:lineRule="auto"/>
        <w:rPr>
          <w:rFonts w:ascii="Aptos" w:eastAsia="Times New Roman" w:hAnsi="Aptos" w:cs="Aptos"/>
          <w:color w:val="000000" w:themeColor="text1"/>
          <w:kern w:val="0"/>
          <w14:ligatures w14:val="none"/>
        </w:rPr>
      </w:pPr>
      <w:r w:rsidRPr="00C51526">
        <w:rPr>
          <w:rFonts w:ascii="Aptos" w:eastAsia="Times New Roman" w:hAnsi="Aptos" w:cs="Aptos"/>
          <w:kern w:val="0"/>
          <w14:ligatures w14:val="none"/>
        </w:rPr>
        <w:t>EPA Guidance states that for the FCI</w:t>
      </w:r>
      <w:r w:rsidR="006C17F2">
        <w:rPr>
          <w:rFonts w:ascii="Aptos" w:eastAsia="Times New Roman" w:hAnsi="Aptos" w:cs="Aptos"/>
          <w:kern w:val="0"/>
          <w14:ligatures w14:val="none"/>
        </w:rPr>
        <w:t xml:space="preserve">, </w:t>
      </w:r>
      <w:r w:rsidRPr="00C51526">
        <w:rPr>
          <w:rFonts w:ascii="Aptos" w:eastAsia="Times New Roman" w:hAnsi="Aptos" w:cs="Aptos"/>
          <w:kern w:val="0"/>
          <w14:ligatures w14:val="none"/>
        </w:rPr>
        <w:t>various financial management indicators “</w:t>
      </w:r>
      <w:r w:rsidRPr="00C51526">
        <w:rPr>
          <w:rFonts w:ascii="Aptos" w:eastAsia="Times New Roman" w:hAnsi="Aptos" w:cs="Aptos"/>
          <w:i/>
          <w:iCs/>
          <w:kern w:val="0"/>
          <w14:ligatures w14:val="none"/>
        </w:rPr>
        <w:t>used to evaluate a permittee’s financial management ability are property tax revenue as a percent of full market value of real property and property tax revenue collection rate</w:t>
      </w:r>
      <w:r w:rsidRPr="00C51526">
        <w:rPr>
          <w:rFonts w:ascii="Aptos" w:eastAsia="Times New Roman" w:hAnsi="Aptos" w:cs="Aptos"/>
          <w:kern w:val="0"/>
          <w14:ligatures w14:val="none"/>
        </w:rPr>
        <w:t xml:space="preserve">”. Property tax collection rates </w:t>
      </w:r>
      <w:r w:rsidR="006C17F2">
        <w:rPr>
          <w:rFonts w:ascii="Aptos" w:eastAsia="Times New Roman" w:hAnsi="Aptos" w:cs="Aptos"/>
          <w:kern w:val="0"/>
          <w14:ligatures w14:val="none"/>
        </w:rPr>
        <w:t xml:space="preserve">are not </w:t>
      </w:r>
      <w:r w:rsidRPr="00C51526">
        <w:rPr>
          <w:rFonts w:ascii="Aptos" w:eastAsia="Times New Roman" w:hAnsi="Aptos" w:cs="Aptos"/>
          <w:kern w:val="0"/>
          <w14:ligatures w14:val="none"/>
        </w:rPr>
        <w:t>representative of</w:t>
      </w:r>
      <w:r w:rsidR="006C17F2">
        <w:rPr>
          <w:rFonts w:ascii="Aptos" w:eastAsia="Times New Roman" w:hAnsi="Aptos" w:cs="Aptos"/>
          <w:kern w:val="0"/>
          <w14:ligatures w14:val="none"/>
        </w:rPr>
        <w:t xml:space="preserve"> waste</w:t>
      </w:r>
      <w:r w:rsidRPr="00C51526">
        <w:rPr>
          <w:rFonts w:ascii="Aptos" w:eastAsia="Times New Roman" w:hAnsi="Aptos" w:cs="Aptos"/>
          <w:kern w:val="0"/>
          <w14:ligatures w14:val="none"/>
        </w:rPr>
        <w:t>water utility revenue collection rates. Property tax revenues are arguably more associated with populations not experiencing financial hardship. For example, homeowners paying property taxes as compared to burdened rate payers who</w:t>
      </w:r>
      <w:r w:rsidR="006C17F2">
        <w:rPr>
          <w:rFonts w:ascii="Aptos" w:eastAsia="Times New Roman" w:hAnsi="Aptos" w:cs="Aptos"/>
          <w:kern w:val="0"/>
          <w14:ligatures w14:val="none"/>
        </w:rPr>
        <w:t xml:space="preserve"> may be</w:t>
      </w:r>
      <w:r w:rsidRPr="00C51526">
        <w:rPr>
          <w:rFonts w:ascii="Aptos" w:eastAsia="Times New Roman" w:hAnsi="Aptos" w:cs="Aptos"/>
          <w:kern w:val="0"/>
          <w14:ligatures w14:val="none"/>
        </w:rPr>
        <w:t xml:space="preserve"> renting a home. </w:t>
      </w:r>
      <w:r w:rsidR="006C17F2">
        <w:rPr>
          <w:rFonts w:ascii="Aptos" w:eastAsia="Times New Roman" w:hAnsi="Aptos" w:cs="Aptos"/>
          <w:kern w:val="0"/>
          <w14:ligatures w14:val="none"/>
        </w:rPr>
        <w:t>B</w:t>
      </w:r>
      <w:r w:rsidRPr="00C51526">
        <w:rPr>
          <w:rFonts w:ascii="Aptos" w:eastAsia="Times New Roman" w:hAnsi="Aptos" w:cs="Aptos"/>
          <w:kern w:val="0"/>
          <w14:ligatures w14:val="none"/>
        </w:rPr>
        <w:t xml:space="preserve">etter information is available </w:t>
      </w:r>
      <w:r w:rsidR="006C17F2">
        <w:rPr>
          <w:rFonts w:ascii="Aptos" w:eastAsia="Times New Roman" w:hAnsi="Aptos" w:cs="Aptos"/>
          <w:kern w:val="0"/>
          <w14:ligatures w14:val="none"/>
        </w:rPr>
        <w:t xml:space="preserve">that is </w:t>
      </w:r>
      <w:r w:rsidRPr="00C51526">
        <w:rPr>
          <w:rFonts w:ascii="Aptos" w:eastAsia="Times New Roman" w:hAnsi="Aptos" w:cs="Aptos"/>
          <w:kern w:val="0"/>
          <w14:ligatures w14:val="none"/>
        </w:rPr>
        <w:t xml:space="preserve">more specific to a permittee to </w:t>
      </w:r>
      <w:r w:rsidRPr="00C51526">
        <w:rPr>
          <w:rFonts w:ascii="Aptos" w:eastAsia="Times New Roman" w:hAnsi="Aptos" w:cs="Aptos"/>
          <w:color w:val="000000" w:themeColor="text1"/>
          <w:kern w:val="0"/>
          <w14:ligatures w14:val="none"/>
        </w:rPr>
        <w:t>measure and represent utility bill collection rate</w:t>
      </w:r>
      <w:r w:rsidR="006C17F2" w:rsidRPr="006C17F2">
        <w:rPr>
          <w:rFonts w:ascii="Aptos" w:eastAsia="Times New Roman" w:hAnsi="Aptos" w:cs="Aptos"/>
          <w:color w:val="000000" w:themeColor="text1"/>
          <w:kern w:val="0"/>
          <w14:ligatures w14:val="none"/>
        </w:rPr>
        <w:t>s</w:t>
      </w:r>
      <w:r w:rsidRPr="00C51526">
        <w:rPr>
          <w:rFonts w:ascii="Aptos" w:eastAsia="Times New Roman" w:hAnsi="Aptos" w:cs="Aptos"/>
          <w:color w:val="000000" w:themeColor="text1"/>
          <w:kern w:val="0"/>
          <w14:ligatures w14:val="none"/>
        </w:rPr>
        <w:t xml:space="preserve">. The tool uses the capability of existing wealthy populations (who own property and are probably paying their utility bill consistently) to measure the strength of utility bill collection rates. This </w:t>
      </w:r>
      <w:r w:rsidR="006C17F2" w:rsidRPr="006C17F2">
        <w:rPr>
          <w:rFonts w:ascii="Aptos" w:eastAsia="Times New Roman" w:hAnsi="Aptos" w:cs="Aptos"/>
          <w:color w:val="000000" w:themeColor="text1"/>
          <w:kern w:val="0"/>
          <w14:ligatures w14:val="none"/>
        </w:rPr>
        <w:t xml:space="preserve">may be </w:t>
      </w:r>
      <w:r w:rsidRPr="00C51526">
        <w:rPr>
          <w:rFonts w:ascii="Aptos" w:eastAsia="Times New Roman" w:hAnsi="Aptos" w:cs="Aptos"/>
          <w:color w:val="000000" w:themeColor="text1"/>
          <w:kern w:val="0"/>
          <w14:ligatures w14:val="none"/>
        </w:rPr>
        <w:t xml:space="preserve">misrepresentative </w:t>
      </w:r>
      <w:r w:rsidR="006C17F2" w:rsidRPr="006C17F2">
        <w:rPr>
          <w:rFonts w:ascii="Aptos" w:eastAsia="Times New Roman" w:hAnsi="Aptos" w:cs="Aptos"/>
          <w:color w:val="000000" w:themeColor="text1"/>
          <w:kern w:val="0"/>
          <w14:ligatures w14:val="none"/>
        </w:rPr>
        <w:t xml:space="preserve">since </w:t>
      </w:r>
      <w:r w:rsidRPr="00C51526">
        <w:rPr>
          <w:rFonts w:ascii="Aptos" w:eastAsia="Times New Roman" w:hAnsi="Aptos" w:cs="Aptos"/>
          <w:color w:val="000000" w:themeColor="text1"/>
          <w:kern w:val="0"/>
          <w14:ligatures w14:val="none"/>
        </w:rPr>
        <w:t>delinquent rate payers</w:t>
      </w:r>
      <w:r w:rsidR="006C17F2" w:rsidRPr="006C17F2">
        <w:rPr>
          <w:rFonts w:ascii="Aptos" w:eastAsia="Times New Roman" w:hAnsi="Aptos" w:cs="Aptos"/>
          <w:color w:val="000000" w:themeColor="text1"/>
          <w:kern w:val="0"/>
          <w14:ligatures w14:val="none"/>
        </w:rPr>
        <w:t xml:space="preserve"> may not be real</w:t>
      </w:r>
      <w:r w:rsidRPr="00C51526">
        <w:rPr>
          <w:rFonts w:ascii="Aptos" w:eastAsia="Times New Roman" w:hAnsi="Aptos" w:cs="Aptos"/>
          <w:color w:val="000000" w:themeColor="text1"/>
          <w:kern w:val="0"/>
          <w14:ligatures w14:val="none"/>
        </w:rPr>
        <w:t xml:space="preserve"> property owners or permanent residents.</w:t>
      </w:r>
    </w:p>
    <w:p w14:paraId="032311C8" w14:textId="292ADBA2" w:rsidR="00C51526" w:rsidRPr="00C51526" w:rsidRDefault="00C51526" w:rsidP="004924F9">
      <w:pPr>
        <w:numPr>
          <w:ilvl w:val="1"/>
          <w:numId w:val="4"/>
        </w:numPr>
        <w:spacing w:after="120" w:line="240" w:lineRule="auto"/>
        <w:rPr>
          <w:rFonts w:ascii="Aptos" w:eastAsia="Times New Roman" w:hAnsi="Aptos" w:cs="Aptos"/>
          <w:kern w:val="0"/>
          <w14:ligatures w14:val="none"/>
        </w:rPr>
      </w:pPr>
      <w:r w:rsidRPr="00C51526">
        <w:rPr>
          <w:rFonts w:ascii="Aptos" w:eastAsia="Times New Roman" w:hAnsi="Aptos" w:cs="Aptos"/>
          <w:kern w:val="0"/>
          <w14:ligatures w14:val="none"/>
        </w:rPr>
        <w:lastRenderedPageBreak/>
        <w:t>EPA Guidance states that</w:t>
      </w:r>
      <w:r w:rsidR="006C17F2">
        <w:rPr>
          <w:rFonts w:ascii="Aptos" w:eastAsia="Times New Roman" w:hAnsi="Aptos" w:cs="Aptos"/>
          <w:kern w:val="0"/>
          <w14:ligatures w14:val="none"/>
        </w:rPr>
        <w:t xml:space="preserve"> </w:t>
      </w:r>
      <w:r w:rsidRPr="00C51526">
        <w:rPr>
          <w:rFonts w:ascii="Aptos" w:eastAsia="Times New Roman" w:hAnsi="Aptos" w:cs="Aptos"/>
          <w:kern w:val="0"/>
          <w14:ligatures w14:val="none"/>
        </w:rPr>
        <w:t>“</w:t>
      </w:r>
      <w:r w:rsidRPr="00C51526">
        <w:rPr>
          <w:rFonts w:ascii="Aptos" w:eastAsia="Times New Roman" w:hAnsi="Aptos" w:cs="Aptos"/>
          <w:i/>
          <w:iCs/>
          <w:kern w:val="0"/>
          <w14:ligatures w14:val="none"/>
        </w:rPr>
        <w:t>Property Tax Revenues as a Percent of Full Market Property Value indicator can be referred to as the “property tax burden” since it indicates the funding capacity available to support debt based on the wealth of the community</w:t>
      </w:r>
      <w:r w:rsidRPr="00C51526">
        <w:rPr>
          <w:rFonts w:ascii="Aptos" w:eastAsia="Times New Roman" w:hAnsi="Aptos" w:cs="Aptos"/>
          <w:kern w:val="0"/>
          <w14:ligatures w14:val="none"/>
        </w:rPr>
        <w:t>”. The “</w:t>
      </w:r>
      <w:r w:rsidRPr="00C51526">
        <w:rPr>
          <w:rFonts w:ascii="Aptos" w:eastAsia="Times New Roman" w:hAnsi="Aptos" w:cs="Aptos"/>
          <w:i/>
          <w:iCs/>
          <w:kern w:val="0"/>
          <w14:ligatures w14:val="none"/>
        </w:rPr>
        <w:t>wealth of the community</w:t>
      </w:r>
      <w:r w:rsidRPr="00C51526">
        <w:rPr>
          <w:rFonts w:ascii="Aptos" w:eastAsia="Times New Roman" w:hAnsi="Aptos" w:cs="Aptos"/>
          <w:kern w:val="0"/>
          <w14:ligatures w14:val="none"/>
        </w:rPr>
        <w:t>” and “</w:t>
      </w:r>
      <w:r w:rsidRPr="00C51526">
        <w:rPr>
          <w:rFonts w:ascii="Aptos" w:eastAsia="Times New Roman" w:hAnsi="Aptos" w:cs="Aptos"/>
          <w:i/>
          <w:iCs/>
          <w:kern w:val="0"/>
          <w14:ligatures w14:val="none"/>
        </w:rPr>
        <w:t>funding capacity available to support debt</w:t>
      </w:r>
      <w:r w:rsidRPr="00C51526">
        <w:rPr>
          <w:rFonts w:ascii="Aptos" w:eastAsia="Times New Roman" w:hAnsi="Aptos" w:cs="Aptos"/>
          <w:kern w:val="0"/>
          <w14:ligatures w14:val="none"/>
        </w:rPr>
        <w:t>” in this case</w:t>
      </w:r>
      <w:r w:rsidR="006C17F2">
        <w:rPr>
          <w:rFonts w:ascii="Aptos" w:eastAsia="Times New Roman" w:hAnsi="Aptos" w:cs="Aptos"/>
          <w:kern w:val="0"/>
          <w14:ligatures w14:val="none"/>
        </w:rPr>
        <w:t xml:space="preserve"> appears to be </w:t>
      </w:r>
      <w:r w:rsidRPr="00C51526">
        <w:rPr>
          <w:rFonts w:ascii="Aptos" w:eastAsia="Times New Roman" w:hAnsi="Aptos" w:cs="Aptos"/>
          <w:kern w:val="0"/>
          <w14:ligatures w14:val="none"/>
        </w:rPr>
        <w:t>misrepresentative of the real wealth of the community since it is exclusively measuring the financial capabilities of individuals who are, for example, wealthy enough to own a home and pay the associated property tax. Additionally, the perceived “</w:t>
      </w:r>
      <w:r w:rsidRPr="00C51526">
        <w:rPr>
          <w:rFonts w:ascii="Aptos" w:eastAsia="Times New Roman" w:hAnsi="Aptos" w:cs="Aptos"/>
          <w:i/>
          <w:iCs/>
          <w:kern w:val="0"/>
          <w14:ligatures w14:val="none"/>
        </w:rPr>
        <w:t>funding capacity available to support debt</w:t>
      </w:r>
      <w:r w:rsidRPr="00C51526">
        <w:rPr>
          <w:rFonts w:ascii="Aptos" w:eastAsia="Times New Roman" w:hAnsi="Aptos" w:cs="Aptos"/>
          <w:kern w:val="0"/>
          <w14:ligatures w14:val="none"/>
        </w:rPr>
        <w:t xml:space="preserve">” assumes property tax revenues relative to full market property value, which can be highly volatile, is representative of funding capacity dynamics for infrastructure improvements that typically do not use property taxes as a funding source. It </w:t>
      </w:r>
      <w:r w:rsidR="006C17F2">
        <w:rPr>
          <w:rFonts w:ascii="Aptos" w:eastAsia="Times New Roman" w:hAnsi="Aptos" w:cs="Aptos"/>
          <w:kern w:val="0"/>
          <w14:ligatures w14:val="none"/>
        </w:rPr>
        <w:t xml:space="preserve">appears </w:t>
      </w:r>
      <w:r w:rsidRPr="00C51526">
        <w:rPr>
          <w:rFonts w:ascii="Aptos" w:eastAsia="Times New Roman" w:hAnsi="Aptos" w:cs="Aptos"/>
          <w:kern w:val="0"/>
          <w14:ligatures w14:val="none"/>
        </w:rPr>
        <w:t xml:space="preserve">inaccurate to use financial performance indicators of a separate </w:t>
      </w:r>
      <w:r w:rsidR="006C17F2">
        <w:rPr>
          <w:rFonts w:ascii="Aptos" w:eastAsia="Times New Roman" w:hAnsi="Aptos" w:cs="Aptos"/>
          <w:kern w:val="0"/>
          <w14:ligatures w14:val="none"/>
        </w:rPr>
        <w:t xml:space="preserve">revenue source </w:t>
      </w:r>
      <w:r w:rsidRPr="00C51526">
        <w:rPr>
          <w:rFonts w:ascii="Aptos" w:eastAsia="Times New Roman" w:hAnsi="Aptos" w:cs="Aptos"/>
          <w:kern w:val="0"/>
          <w14:ligatures w14:val="none"/>
        </w:rPr>
        <w:t>that do</w:t>
      </w:r>
      <w:r w:rsidR="006C17F2">
        <w:rPr>
          <w:rFonts w:ascii="Aptos" w:eastAsia="Times New Roman" w:hAnsi="Aptos" w:cs="Aptos"/>
          <w:kern w:val="0"/>
          <w14:ligatures w14:val="none"/>
        </w:rPr>
        <w:t xml:space="preserve">esn’t </w:t>
      </w:r>
      <w:r w:rsidRPr="00C51526">
        <w:rPr>
          <w:rFonts w:ascii="Aptos" w:eastAsia="Times New Roman" w:hAnsi="Aptos" w:cs="Aptos"/>
          <w:kern w:val="0"/>
          <w14:ligatures w14:val="none"/>
        </w:rPr>
        <w:t xml:space="preserve">fund </w:t>
      </w:r>
      <w:r w:rsidR="006C17F2">
        <w:rPr>
          <w:rFonts w:ascii="Aptos" w:eastAsia="Times New Roman" w:hAnsi="Aptos" w:cs="Aptos"/>
          <w:kern w:val="0"/>
          <w14:ligatures w14:val="none"/>
        </w:rPr>
        <w:t>wastew</w:t>
      </w:r>
      <w:r w:rsidRPr="00C51526">
        <w:rPr>
          <w:rFonts w:ascii="Aptos" w:eastAsia="Times New Roman" w:hAnsi="Aptos" w:cs="Aptos"/>
          <w:kern w:val="0"/>
          <w14:ligatures w14:val="none"/>
        </w:rPr>
        <w:t xml:space="preserve">ater services to represent </w:t>
      </w:r>
      <w:r w:rsidR="006C17F2">
        <w:rPr>
          <w:rFonts w:ascii="Aptos" w:eastAsia="Times New Roman" w:hAnsi="Aptos" w:cs="Aptos"/>
          <w:kern w:val="0"/>
          <w14:ligatures w14:val="none"/>
        </w:rPr>
        <w:t>waste</w:t>
      </w:r>
      <w:r w:rsidRPr="00C51526">
        <w:rPr>
          <w:rFonts w:ascii="Aptos" w:eastAsia="Times New Roman" w:hAnsi="Aptos" w:cs="Aptos"/>
          <w:kern w:val="0"/>
          <w14:ligatures w14:val="none"/>
        </w:rPr>
        <w:t xml:space="preserve">water </w:t>
      </w:r>
      <w:r w:rsidR="006C17F2">
        <w:rPr>
          <w:rFonts w:ascii="Aptos" w:eastAsia="Times New Roman" w:hAnsi="Aptos" w:cs="Aptos"/>
          <w:kern w:val="0"/>
          <w14:ligatures w14:val="none"/>
        </w:rPr>
        <w:t xml:space="preserve">utility </w:t>
      </w:r>
      <w:r w:rsidRPr="00C51526">
        <w:rPr>
          <w:rFonts w:ascii="Aptos" w:eastAsia="Times New Roman" w:hAnsi="Aptos" w:cs="Aptos"/>
          <w:kern w:val="0"/>
          <w14:ligatures w14:val="none"/>
        </w:rPr>
        <w:t xml:space="preserve">financial </w:t>
      </w:r>
      <w:r w:rsidRPr="00C51526">
        <w:rPr>
          <w:rFonts w:ascii="Aptos" w:eastAsia="Times New Roman" w:hAnsi="Aptos" w:cs="Aptos"/>
          <w:color w:val="000000" w:themeColor="text1"/>
          <w:kern w:val="0"/>
          <w14:ligatures w14:val="none"/>
        </w:rPr>
        <w:t xml:space="preserve">capabilities. The tool inaccurately assumes property taxes are universally available as a funding source for utilities. It also misrepresents the true debt support availability of a community by evaluating the exclusive population of </w:t>
      </w:r>
      <w:r w:rsidR="006C17F2" w:rsidRPr="006C17F2">
        <w:rPr>
          <w:rFonts w:ascii="Aptos" w:eastAsia="Times New Roman" w:hAnsi="Aptos" w:cs="Aptos"/>
          <w:color w:val="000000" w:themeColor="text1"/>
          <w:kern w:val="0"/>
          <w14:ligatures w14:val="none"/>
        </w:rPr>
        <w:t xml:space="preserve">wealthy </w:t>
      </w:r>
      <w:r w:rsidRPr="00C51526">
        <w:rPr>
          <w:rFonts w:ascii="Aptos" w:eastAsia="Times New Roman" w:hAnsi="Aptos" w:cs="Aptos"/>
          <w:color w:val="000000" w:themeColor="text1"/>
          <w:kern w:val="0"/>
          <w14:ligatures w14:val="none"/>
        </w:rPr>
        <w:t xml:space="preserve">property owners and </w:t>
      </w:r>
      <w:r w:rsidR="008A54B4" w:rsidRPr="00C51526">
        <w:rPr>
          <w:rFonts w:ascii="Aptos" w:eastAsia="Times New Roman" w:hAnsi="Aptos" w:cs="Aptos"/>
          <w:color w:val="000000" w:themeColor="text1"/>
          <w:kern w:val="0"/>
          <w14:ligatures w14:val="none"/>
        </w:rPr>
        <w:t>taxpayers</w:t>
      </w:r>
      <w:r w:rsidRPr="00C51526">
        <w:rPr>
          <w:rFonts w:ascii="Aptos" w:eastAsia="Times New Roman" w:hAnsi="Aptos" w:cs="Aptos"/>
          <w:color w:val="000000" w:themeColor="text1"/>
          <w:kern w:val="0"/>
          <w14:ligatures w14:val="none"/>
        </w:rPr>
        <w:t>.</w:t>
      </w:r>
    </w:p>
    <w:p w14:paraId="736DC7BF" w14:textId="158E83DD" w:rsidR="00C51526" w:rsidRPr="00C51526" w:rsidRDefault="00C51526" w:rsidP="004924F9">
      <w:pPr>
        <w:numPr>
          <w:ilvl w:val="1"/>
          <w:numId w:val="4"/>
        </w:numPr>
        <w:spacing w:after="240" w:line="240" w:lineRule="auto"/>
        <w:rPr>
          <w:rFonts w:ascii="Aptos" w:eastAsia="Times New Roman" w:hAnsi="Aptos" w:cs="Aptos"/>
          <w:color w:val="000000"/>
          <w:kern w:val="0"/>
          <w14:ligatures w14:val="none"/>
        </w:rPr>
      </w:pPr>
      <w:r w:rsidRPr="00C51526">
        <w:rPr>
          <w:rFonts w:ascii="Aptos" w:eastAsia="Times New Roman" w:hAnsi="Aptos" w:cs="Aptos"/>
          <w:kern w:val="0"/>
          <w14:ligatures w14:val="none"/>
        </w:rPr>
        <w:t xml:space="preserve">Generally, the FCI </w:t>
      </w:r>
      <w:r w:rsidR="006C17F2">
        <w:rPr>
          <w:rFonts w:ascii="Aptos" w:eastAsia="Times New Roman" w:hAnsi="Aptos" w:cs="Aptos"/>
          <w:kern w:val="0"/>
          <w14:ligatures w14:val="none"/>
        </w:rPr>
        <w:t xml:space="preserve">tool appears </w:t>
      </w:r>
      <w:r w:rsidRPr="00C51526">
        <w:rPr>
          <w:rFonts w:ascii="Aptos" w:eastAsia="Times New Roman" w:hAnsi="Aptos" w:cs="Aptos"/>
          <w:kern w:val="0"/>
          <w14:ligatures w14:val="none"/>
        </w:rPr>
        <w:t xml:space="preserve">to use metrics and measures that are not specific to funding and debt dynamics associated with </w:t>
      </w:r>
      <w:r w:rsidR="006C17F2">
        <w:rPr>
          <w:rFonts w:ascii="Aptos" w:eastAsia="Times New Roman" w:hAnsi="Aptos" w:cs="Aptos"/>
          <w:kern w:val="0"/>
          <w14:ligatures w14:val="none"/>
        </w:rPr>
        <w:t>waste</w:t>
      </w:r>
      <w:r w:rsidRPr="00C51526">
        <w:rPr>
          <w:rFonts w:ascii="Aptos" w:eastAsia="Times New Roman" w:hAnsi="Aptos" w:cs="Aptos"/>
          <w:kern w:val="0"/>
          <w14:ligatures w14:val="none"/>
        </w:rPr>
        <w:t>water infrastructure improvements. It</w:t>
      </w:r>
      <w:r w:rsidR="006C17F2">
        <w:rPr>
          <w:rFonts w:ascii="Aptos" w:eastAsia="Times New Roman" w:hAnsi="Aptos" w:cs="Aptos"/>
          <w:kern w:val="0"/>
          <w14:ligatures w14:val="none"/>
        </w:rPr>
        <w:t xml:space="preserve"> appears that </w:t>
      </w:r>
      <w:r w:rsidRPr="00C51526">
        <w:rPr>
          <w:rFonts w:ascii="Aptos" w:eastAsia="Times New Roman" w:hAnsi="Aptos" w:cs="Aptos"/>
          <w:kern w:val="0"/>
          <w14:ligatures w14:val="none"/>
        </w:rPr>
        <w:t>enough</w:t>
      </w:r>
      <w:r w:rsidR="006C17F2">
        <w:rPr>
          <w:rFonts w:ascii="Aptos" w:eastAsia="Times New Roman" w:hAnsi="Aptos" w:cs="Aptos"/>
          <w:kern w:val="0"/>
          <w14:ligatures w14:val="none"/>
        </w:rPr>
        <w:t xml:space="preserve"> wastewater specific data is readily </w:t>
      </w:r>
      <w:r w:rsidRPr="00C51526">
        <w:rPr>
          <w:rFonts w:ascii="Aptos" w:eastAsia="Times New Roman" w:hAnsi="Aptos" w:cs="Aptos"/>
          <w:kern w:val="0"/>
          <w14:ligatures w14:val="none"/>
        </w:rPr>
        <w:t xml:space="preserve">available </w:t>
      </w:r>
      <w:r w:rsidR="006C17F2">
        <w:rPr>
          <w:rFonts w:ascii="Aptos" w:eastAsia="Times New Roman" w:hAnsi="Aptos" w:cs="Aptos"/>
          <w:kern w:val="0"/>
          <w14:ligatures w14:val="none"/>
        </w:rPr>
        <w:t>for wastewater s</w:t>
      </w:r>
      <w:r w:rsidRPr="00C51526">
        <w:rPr>
          <w:rFonts w:ascii="Aptos" w:eastAsia="Times New Roman" w:hAnsi="Aptos" w:cs="Aptos"/>
          <w:kern w:val="0"/>
          <w14:ligatures w14:val="none"/>
        </w:rPr>
        <w:t xml:space="preserve">pecific </w:t>
      </w:r>
      <w:r w:rsidR="006C17F2">
        <w:rPr>
          <w:rFonts w:ascii="Aptos" w:eastAsia="Times New Roman" w:hAnsi="Aptos" w:cs="Aptos"/>
          <w:kern w:val="0"/>
          <w14:ligatures w14:val="none"/>
        </w:rPr>
        <w:t>use in th</w:t>
      </w:r>
      <w:r w:rsidRPr="00C51526">
        <w:rPr>
          <w:rFonts w:ascii="Aptos" w:eastAsia="Times New Roman" w:hAnsi="Aptos" w:cs="Aptos"/>
          <w:kern w:val="0"/>
          <w14:ligatures w14:val="none"/>
        </w:rPr>
        <w:t xml:space="preserve">e FCI to evaluate a </w:t>
      </w:r>
      <w:r w:rsidR="006C17F2">
        <w:rPr>
          <w:rFonts w:ascii="Aptos" w:eastAsia="Times New Roman" w:hAnsi="Aptos" w:cs="Aptos"/>
          <w:kern w:val="0"/>
          <w14:ligatures w14:val="none"/>
        </w:rPr>
        <w:t>wastew</w:t>
      </w:r>
      <w:r w:rsidRPr="00C51526">
        <w:rPr>
          <w:rFonts w:ascii="Aptos" w:eastAsia="Times New Roman" w:hAnsi="Aptos" w:cs="Aptos"/>
          <w:kern w:val="0"/>
          <w14:ligatures w14:val="none"/>
        </w:rPr>
        <w:t>ater utility’s specific billing rate collection success, debt support performance, etc.</w:t>
      </w:r>
    </w:p>
    <w:p w14:paraId="635E9396" w14:textId="77777777" w:rsidR="000E0720" w:rsidRDefault="000E0720"/>
    <w:sectPr w:rsidR="000E0720">
      <w:headerReference w:type="even"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BE48" w14:textId="77777777" w:rsidR="00EB3F80" w:rsidRDefault="00EB3F80" w:rsidP="006C17F2">
      <w:pPr>
        <w:spacing w:after="0" w:line="240" w:lineRule="auto"/>
      </w:pPr>
      <w:r>
        <w:separator/>
      </w:r>
    </w:p>
  </w:endnote>
  <w:endnote w:type="continuationSeparator" w:id="0">
    <w:p w14:paraId="67F995C5" w14:textId="77777777" w:rsidR="00EB3F80" w:rsidRDefault="00EB3F80" w:rsidP="006C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3DD7" w14:textId="3AE8BFE6" w:rsidR="008A54B4" w:rsidRDefault="008A54B4">
    <w:pPr>
      <w:pStyle w:val="Footer"/>
    </w:pPr>
    <w:r>
      <w:rPr>
        <w:noProof/>
      </w:rPr>
      <mc:AlternateContent>
        <mc:Choice Requires="wps">
          <w:drawing>
            <wp:anchor distT="0" distB="0" distL="0" distR="0" simplePos="0" relativeHeight="251662336" behindDoc="0" locked="0" layoutInCell="1" allowOverlap="1" wp14:anchorId="0E16BB37" wp14:editId="32E2E4E3">
              <wp:simplePos x="635" y="635"/>
              <wp:positionH relativeFrom="page">
                <wp:align>center</wp:align>
              </wp:positionH>
              <wp:positionV relativeFrom="page">
                <wp:align>bottom</wp:align>
              </wp:positionV>
              <wp:extent cx="443865" cy="443865"/>
              <wp:effectExtent l="0" t="0" r="15875" b="0"/>
              <wp:wrapNone/>
              <wp:docPr id="5" name="Text Box 5" descr="Category 2: For official use only / disclosure permissible by la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ED2C06" w14:textId="55BEC6CF" w:rsidR="008A54B4" w:rsidRPr="008A54B4" w:rsidRDefault="008A54B4" w:rsidP="008A54B4">
                          <w:pPr>
                            <w:spacing w:after="0"/>
                            <w:rPr>
                              <w:rFonts w:ascii="Calibri" w:eastAsia="Calibri" w:hAnsi="Calibri" w:cs="Calibri"/>
                              <w:noProof/>
                              <w:color w:val="000000"/>
                              <w:sz w:val="18"/>
                              <w:szCs w:val="18"/>
                            </w:rPr>
                          </w:pPr>
                          <w:r w:rsidRPr="008A54B4">
                            <w:rPr>
                              <w:rFonts w:ascii="Calibri" w:eastAsia="Calibri" w:hAnsi="Calibri" w:cs="Calibri"/>
                              <w:noProof/>
                              <w:color w:val="000000"/>
                              <w:sz w:val="18"/>
                              <w:szCs w:val="18"/>
                            </w:rPr>
                            <w:t>Category 2: For official use only / disclosure permissible by law.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16BB37" id="_x0000_t202" coordsize="21600,21600" o:spt="202" path="m,l,21600r21600,l21600,xe">
              <v:stroke joinstyle="miter"/>
              <v:path gradientshapeok="t" o:connecttype="rect"/>
            </v:shapetype>
            <v:shape id="Text Box 5" o:spid="_x0000_s1027" type="#_x0000_t202" alt="Category 2: For official use only / disclosure permissible by law."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0ED2C06" w14:textId="55BEC6CF" w:rsidR="008A54B4" w:rsidRPr="008A54B4" w:rsidRDefault="008A54B4" w:rsidP="008A54B4">
                    <w:pPr>
                      <w:spacing w:after="0"/>
                      <w:rPr>
                        <w:rFonts w:ascii="Calibri" w:eastAsia="Calibri" w:hAnsi="Calibri" w:cs="Calibri"/>
                        <w:noProof/>
                        <w:color w:val="000000"/>
                        <w:sz w:val="18"/>
                        <w:szCs w:val="18"/>
                      </w:rPr>
                    </w:pPr>
                    <w:r w:rsidRPr="008A54B4">
                      <w:rPr>
                        <w:rFonts w:ascii="Calibri" w:eastAsia="Calibri" w:hAnsi="Calibri" w:cs="Calibri"/>
                        <w:noProof/>
                        <w:color w:val="000000"/>
                        <w:sz w:val="18"/>
                        <w:szCs w:val="18"/>
                      </w:rPr>
                      <w:t>Category 2: For official use only / disclosure permissible by law.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08D1" w14:textId="43B6A3A4" w:rsidR="006C17F2" w:rsidRDefault="00CA41DB">
    <w:pPr>
      <w:pStyle w:val="Footer"/>
      <w:jc w:val="center"/>
    </w:pPr>
    <w:sdt>
      <w:sdtPr>
        <w:id w:val="-210415700"/>
        <w:docPartObj>
          <w:docPartGallery w:val="Page Numbers (Bottom of Page)"/>
          <w:docPartUnique/>
        </w:docPartObj>
      </w:sdtPr>
      <w:sdtEndPr>
        <w:rPr>
          <w:noProof/>
        </w:rPr>
      </w:sdtEndPr>
      <w:sdtContent>
        <w:r w:rsidR="006C17F2">
          <w:fldChar w:fldCharType="begin"/>
        </w:r>
        <w:r w:rsidR="006C17F2">
          <w:instrText xml:space="preserve"> PAGE   \* MERGEFORMAT </w:instrText>
        </w:r>
        <w:r w:rsidR="006C17F2">
          <w:fldChar w:fldCharType="separate"/>
        </w:r>
        <w:r w:rsidR="006C17F2">
          <w:rPr>
            <w:noProof/>
          </w:rPr>
          <w:t>2</w:t>
        </w:r>
        <w:r w:rsidR="006C17F2">
          <w:rPr>
            <w:noProof/>
          </w:rPr>
          <w:fldChar w:fldCharType="end"/>
        </w:r>
      </w:sdtContent>
    </w:sdt>
  </w:p>
  <w:p w14:paraId="34DC83B9" w14:textId="77777777" w:rsidR="006C17F2" w:rsidRDefault="006C1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7CC3" w14:textId="1523551D" w:rsidR="008A54B4" w:rsidRDefault="008A54B4">
    <w:pPr>
      <w:pStyle w:val="Footer"/>
    </w:pPr>
    <w:r>
      <w:rPr>
        <w:noProof/>
      </w:rPr>
      <mc:AlternateContent>
        <mc:Choice Requires="wps">
          <w:drawing>
            <wp:anchor distT="0" distB="0" distL="0" distR="0" simplePos="0" relativeHeight="251661312" behindDoc="0" locked="0" layoutInCell="1" allowOverlap="1" wp14:anchorId="0784E586" wp14:editId="2DDB9574">
              <wp:simplePos x="635" y="635"/>
              <wp:positionH relativeFrom="page">
                <wp:align>center</wp:align>
              </wp:positionH>
              <wp:positionV relativeFrom="page">
                <wp:align>bottom</wp:align>
              </wp:positionV>
              <wp:extent cx="443865" cy="443865"/>
              <wp:effectExtent l="0" t="0" r="15875" b="0"/>
              <wp:wrapNone/>
              <wp:docPr id="4" name="Text Box 4" descr="Category 2: For official use only / disclosure permissible by la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9E063" w14:textId="1241E240" w:rsidR="008A54B4" w:rsidRPr="008A54B4" w:rsidRDefault="008A54B4" w:rsidP="008A54B4">
                          <w:pPr>
                            <w:spacing w:after="0"/>
                            <w:rPr>
                              <w:rFonts w:ascii="Calibri" w:eastAsia="Calibri" w:hAnsi="Calibri" w:cs="Calibri"/>
                              <w:noProof/>
                              <w:color w:val="000000"/>
                              <w:sz w:val="18"/>
                              <w:szCs w:val="18"/>
                            </w:rPr>
                          </w:pPr>
                          <w:r w:rsidRPr="008A54B4">
                            <w:rPr>
                              <w:rFonts w:ascii="Calibri" w:eastAsia="Calibri" w:hAnsi="Calibri" w:cs="Calibri"/>
                              <w:noProof/>
                              <w:color w:val="000000"/>
                              <w:sz w:val="18"/>
                              <w:szCs w:val="18"/>
                            </w:rPr>
                            <w:t>Category 2: For official use only / disclosure permissible by law.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84E586" id="_x0000_t202" coordsize="21600,21600" o:spt="202" path="m,l,21600r21600,l21600,xe">
              <v:stroke joinstyle="miter"/>
              <v:path gradientshapeok="t" o:connecttype="rect"/>
            </v:shapetype>
            <v:shape id="Text Box 4" o:spid="_x0000_s1029" type="#_x0000_t202" alt="Category 2: For official use only / disclosure permissible by law."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899E063" w14:textId="1241E240" w:rsidR="008A54B4" w:rsidRPr="008A54B4" w:rsidRDefault="008A54B4" w:rsidP="008A54B4">
                    <w:pPr>
                      <w:spacing w:after="0"/>
                      <w:rPr>
                        <w:rFonts w:ascii="Calibri" w:eastAsia="Calibri" w:hAnsi="Calibri" w:cs="Calibri"/>
                        <w:noProof/>
                        <w:color w:val="000000"/>
                        <w:sz w:val="18"/>
                        <w:szCs w:val="18"/>
                      </w:rPr>
                    </w:pPr>
                    <w:r w:rsidRPr="008A54B4">
                      <w:rPr>
                        <w:rFonts w:ascii="Calibri" w:eastAsia="Calibri" w:hAnsi="Calibri" w:cs="Calibri"/>
                        <w:noProof/>
                        <w:color w:val="000000"/>
                        <w:sz w:val="18"/>
                        <w:szCs w:val="18"/>
                      </w:rPr>
                      <w:t>Category 2: For official use only / disclosure permissible by law.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E409" w14:textId="77777777" w:rsidR="00EB3F80" w:rsidRDefault="00EB3F80" w:rsidP="006C17F2">
      <w:pPr>
        <w:spacing w:after="0" w:line="240" w:lineRule="auto"/>
      </w:pPr>
      <w:r>
        <w:separator/>
      </w:r>
    </w:p>
  </w:footnote>
  <w:footnote w:type="continuationSeparator" w:id="0">
    <w:p w14:paraId="0341CE04" w14:textId="77777777" w:rsidR="00EB3F80" w:rsidRDefault="00EB3F80" w:rsidP="006C1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AE8E" w14:textId="7B865EC4" w:rsidR="008A54B4" w:rsidRDefault="008A54B4">
    <w:pPr>
      <w:pStyle w:val="Header"/>
    </w:pPr>
    <w:r>
      <w:rPr>
        <w:noProof/>
      </w:rPr>
      <mc:AlternateContent>
        <mc:Choice Requires="wps">
          <w:drawing>
            <wp:anchor distT="0" distB="0" distL="0" distR="0" simplePos="0" relativeHeight="251659264" behindDoc="0" locked="0" layoutInCell="1" allowOverlap="1" wp14:anchorId="6CEE8FD1" wp14:editId="29CF8D19">
              <wp:simplePos x="635" y="635"/>
              <wp:positionH relativeFrom="page">
                <wp:align>center</wp:align>
              </wp:positionH>
              <wp:positionV relativeFrom="page">
                <wp:align>top</wp:align>
              </wp:positionV>
              <wp:extent cx="443865" cy="443865"/>
              <wp:effectExtent l="0" t="0" r="3810" b="1905"/>
              <wp:wrapNone/>
              <wp:docPr id="2" name="Text Box 2" descr="Category 2: Sensitive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65678" w14:textId="35F00B31" w:rsidR="008A54B4" w:rsidRPr="008A54B4" w:rsidRDefault="008A54B4" w:rsidP="008A54B4">
                          <w:pPr>
                            <w:spacing w:after="0"/>
                            <w:rPr>
                              <w:rFonts w:ascii="Calibri" w:eastAsia="Calibri" w:hAnsi="Calibri" w:cs="Calibri"/>
                              <w:noProof/>
                              <w:color w:val="000000"/>
                              <w:sz w:val="18"/>
                              <w:szCs w:val="18"/>
                            </w:rPr>
                          </w:pPr>
                          <w:r w:rsidRPr="008A54B4">
                            <w:rPr>
                              <w:rFonts w:ascii="Calibri" w:eastAsia="Calibri" w:hAnsi="Calibri" w:cs="Calibri"/>
                              <w:noProof/>
                              <w:color w:val="000000"/>
                              <w:sz w:val="18"/>
                              <w:szCs w:val="18"/>
                            </w:rPr>
                            <w:t>Category 2: Sensitive information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EE8FD1" id="_x0000_t202" coordsize="21600,21600" o:spt="202" path="m,l,21600r21600,l21600,xe">
              <v:stroke joinstyle="miter"/>
              <v:path gradientshapeok="t" o:connecttype="rect"/>
            </v:shapetype>
            <v:shape id="Text Box 2" o:spid="_x0000_s1026" type="#_x0000_t202" alt="Category 2: Sensitive information"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AC65678" w14:textId="35F00B31" w:rsidR="008A54B4" w:rsidRPr="008A54B4" w:rsidRDefault="008A54B4" w:rsidP="008A54B4">
                    <w:pPr>
                      <w:spacing w:after="0"/>
                      <w:rPr>
                        <w:rFonts w:ascii="Calibri" w:eastAsia="Calibri" w:hAnsi="Calibri" w:cs="Calibri"/>
                        <w:noProof/>
                        <w:color w:val="000000"/>
                        <w:sz w:val="18"/>
                        <w:szCs w:val="18"/>
                      </w:rPr>
                    </w:pPr>
                    <w:r w:rsidRPr="008A54B4">
                      <w:rPr>
                        <w:rFonts w:ascii="Calibri" w:eastAsia="Calibri" w:hAnsi="Calibri" w:cs="Calibri"/>
                        <w:noProof/>
                        <w:color w:val="000000"/>
                        <w:sz w:val="18"/>
                        <w:szCs w:val="18"/>
                      </w:rPr>
                      <w:t>Category 2: Sensitive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ED0A" w14:textId="45D2BE6F" w:rsidR="008A54B4" w:rsidRDefault="008A54B4">
    <w:pPr>
      <w:pStyle w:val="Header"/>
    </w:pPr>
    <w:r>
      <w:rPr>
        <w:noProof/>
      </w:rPr>
      <mc:AlternateContent>
        <mc:Choice Requires="wps">
          <w:drawing>
            <wp:anchor distT="0" distB="0" distL="0" distR="0" simplePos="0" relativeHeight="251658240" behindDoc="0" locked="0" layoutInCell="1" allowOverlap="1" wp14:anchorId="40E08815" wp14:editId="01A23B5D">
              <wp:simplePos x="635" y="635"/>
              <wp:positionH relativeFrom="page">
                <wp:align>center</wp:align>
              </wp:positionH>
              <wp:positionV relativeFrom="page">
                <wp:align>top</wp:align>
              </wp:positionV>
              <wp:extent cx="443865" cy="443865"/>
              <wp:effectExtent l="0" t="0" r="3810" b="1905"/>
              <wp:wrapNone/>
              <wp:docPr id="1" name="Text Box 1" descr="Category 2: Sensitive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B5671" w14:textId="41DFFAC0" w:rsidR="008A54B4" w:rsidRPr="008A54B4" w:rsidRDefault="008A54B4" w:rsidP="008A54B4">
                          <w:pPr>
                            <w:spacing w:after="0"/>
                            <w:rPr>
                              <w:rFonts w:ascii="Calibri" w:eastAsia="Calibri" w:hAnsi="Calibri" w:cs="Calibri"/>
                              <w:noProof/>
                              <w:color w:val="000000"/>
                              <w:sz w:val="18"/>
                              <w:szCs w:val="18"/>
                            </w:rPr>
                          </w:pPr>
                          <w:r w:rsidRPr="008A54B4">
                            <w:rPr>
                              <w:rFonts w:ascii="Calibri" w:eastAsia="Calibri" w:hAnsi="Calibri" w:cs="Calibri"/>
                              <w:noProof/>
                              <w:color w:val="000000"/>
                              <w:sz w:val="18"/>
                              <w:szCs w:val="18"/>
                            </w:rPr>
                            <w:t>Category 2: Sensitive information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E08815" id="_x0000_t202" coordsize="21600,21600" o:spt="202" path="m,l,21600r21600,l21600,xe">
              <v:stroke joinstyle="miter"/>
              <v:path gradientshapeok="t" o:connecttype="rect"/>
            </v:shapetype>
            <v:shape id="Text Box 1" o:spid="_x0000_s1028" type="#_x0000_t202" alt="Category 2: Sensitive information"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56B5671" w14:textId="41DFFAC0" w:rsidR="008A54B4" w:rsidRPr="008A54B4" w:rsidRDefault="008A54B4" w:rsidP="008A54B4">
                    <w:pPr>
                      <w:spacing w:after="0"/>
                      <w:rPr>
                        <w:rFonts w:ascii="Calibri" w:eastAsia="Calibri" w:hAnsi="Calibri" w:cs="Calibri"/>
                        <w:noProof/>
                        <w:color w:val="000000"/>
                        <w:sz w:val="18"/>
                        <w:szCs w:val="18"/>
                      </w:rPr>
                    </w:pPr>
                    <w:r w:rsidRPr="008A54B4">
                      <w:rPr>
                        <w:rFonts w:ascii="Calibri" w:eastAsia="Calibri" w:hAnsi="Calibri" w:cs="Calibri"/>
                        <w:noProof/>
                        <w:color w:val="000000"/>
                        <w:sz w:val="18"/>
                        <w:szCs w:val="18"/>
                      </w:rPr>
                      <w:t>Category 2: Sensitive information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864DD"/>
    <w:multiLevelType w:val="hybridMultilevel"/>
    <w:tmpl w:val="A740ECAA"/>
    <w:lvl w:ilvl="0" w:tplc="AD1698F6">
      <w:start w:val="3"/>
      <w:numFmt w:val="bullet"/>
      <w:lvlText w:val="-"/>
      <w:lvlJc w:val="left"/>
      <w:pPr>
        <w:ind w:left="768" w:hanging="360"/>
      </w:pPr>
      <w:rPr>
        <w:rFonts w:ascii="Aptos" w:eastAsia="Aptos" w:hAnsi="Aptos" w:cs="Times New Roman"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 w15:restartNumberingAfterBreak="0">
    <w:nsid w:val="42602EC3"/>
    <w:multiLevelType w:val="hybridMultilevel"/>
    <w:tmpl w:val="2DD01416"/>
    <w:lvl w:ilvl="0" w:tplc="F3BE4A04">
      <w:start w:val="1"/>
      <w:numFmt w:val="decimal"/>
      <w:lvlText w:val="%1."/>
      <w:lvlJc w:val="left"/>
      <w:pPr>
        <w:ind w:left="720" w:hanging="360"/>
      </w:pPr>
      <w:rPr>
        <w:rFonts w:ascii="Aptos" w:eastAsia="Times New Roman" w:hAnsi="Aptos" w:cs="Apto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CE110D1"/>
    <w:multiLevelType w:val="hybridMultilevel"/>
    <w:tmpl w:val="BA144200"/>
    <w:lvl w:ilvl="0" w:tplc="2D8EF39C">
      <w:start w:val="1"/>
      <w:numFmt w:val="decimal"/>
      <w:lvlText w:val="%1."/>
      <w:lvlJc w:val="left"/>
      <w:pPr>
        <w:ind w:left="720" w:hanging="360"/>
      </w:pPr>
      <w:rPr>
        <w:rFonts w:ascii="Aptos" w:eastAsia="Times New Roman" w:hAnsi="Aptos" w:cs="Apto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257732">
    <w:abstractNumId w:val="0"/>
  </w:num>
  <w:num w:numId="2" w16cid:durableId="1655646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7922470">
    <w:abstractNumId w:val="1"/>
  </w:num>
  <w:num w:numId="4" w16cid:durableId="798691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26"/>
    <w:rsid w:val="000C5253"/>
    <w:rsid w:val="000E0720"/>
    <w:rsid w:val="001842C1"/>
    <w:rsid w:val="00280C2B"/>
    <w:rsid w:val="004924F9"/>
    <w:rsid w:val="005A08AF"/>
    <w:rsid w:val="005B27AF"/>
    <w:rsid w:val="005E6F6B"/>
    <w:rsid w:val="006C17F2"/>
    <w:rsid w:val="008A54B4"/>
    <w:rsid w:val="008B4877"/>
    <w:rsid w:val="00A808FE"/>
    <w:rsid w:val="00A93B2A"/>
    <w:rsid w:val="00B6227D"/>
    <w:rsid w:val="00C412C0"/>
    <w:rsid w:val="00C51526"/>
    <w:rsid w:val="00CA41DB"/>
    <w:rsid w:val="00EB2036"/>
    <w:rsid w:val="00EB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302ED"/>
  <w15:chartTrackingRefBased/>
  <w15:docId w15:val="{8C9E865A-FC31-4996-BB12-3FE6FC0C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5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15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5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15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15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1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5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15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5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15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15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1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526"/>
    <w:rPr>
      <w:rFonts w:eastAsiaTheme="majorEastAsia" w:cstheme="majorBidi"/>
      <w:color w:val="272727" w:themeColor="text1" w:themeTint="D8"/>
    </w:rPr>
  </w:style>
  <w:style w:type="paragraph" w:styleId="Title">
    <w:name w:val="Title"/>
    <w:basedOn w:val="Normal"/>
    <w:next w:val="Normal"/>
    <w:link w:val="TitleChar"/>
    <w:uiPriority w:val="10"/>
    <w:qFormat/>
    <w:rsid w:val="00C51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526"/>
    <w:pPr>
      <w:spacing w:before="160"/>
      <w:jc w:val="center"/>
    </w:pPr>
    <w:rPr>
      <w:i/>
      <w:iCs/>
      <w:color w:val="404040" w:themeColor="text1" w:themeTint="BF"/>
    </w:rPr>
  </w:style>
  <w:style w:type="character" w:customStyle="1" w:styleId="QuoteChar">
    <w:name w:val="Quote Char"/>
    <w:basedOn w:val="DefaultParagraphFont"/>
    <w:link w:val="Quote"/>
    <w:uiPriority w:val="29"/>
    <w:rsid w:val="00C51526"/>
    <w:rPr>
      <w:i/>
      <w:iCs/>
      <w:color w:val="404040" w:themeColor="text1" w:themeTint="BF"/>
    </w:rPr>
  </w:style>
  <w:style w:type="paragraph" w:styleId="ListParagraph">
    <w:name w:val="List Paragraph"/>
    <w:basedOn w:val="Normal"/>
    <w:uiPriority w:val="34"/>
    <w:qFormat/>
    <w:rsid w:val="00C51526"/>
    <w:pPr>
      <w:ind w:left="720"/>
      <w:contextualSpacing/>
    </w:pPr>
  </w:style>
  <w:style w:type="character" w:styleId="IntenseEmphasis">
    <w:name w:val="Intense Emphasis"/>
    <w:basedOn w:val="DefaultParagraphFont"/>
    <w:uiPriority w:val="21"/>
    <w:qFormat/>
    <w:rsid w:val="00C51526"/>
    <w:rPr>
      <w:i/>
      <w:iCs/>
      <w:color w:val="2F5496" w:themeColor="accent1" w:themeShade="BF"/>
    </w:rPr>
  </w:style>
  <w:style w:type="paragraph" w:styleId="IntenseQuote">
    <w:name w:val="Intense Quote"/>
    <w:basedOn w:val="Normal"/>
    <w:next w:val="Normal"/>
    <w:link w:val="IntenseQuoteChar"/>
    <w:uiPriority w:val="30"/>
    <w:qFormat/>
    <w:rsid w:val="00C51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1526"/>
    <w:rPr>
      <w:i/>
      <w:iCs/>
      <w:color w:val="2F5496" w:themeColor="accent1" w:themeShade="BF"/>
    </w:rPr>
  </w:style>
  <w:style w:type="character" w:styleId="IntenseReference">
    <w:name w:val="Intense Reference"/>
    <w:basedOn w:val="DefaultParagraphFont"/>
    <w:uiPriority w:val="32"/>
    <w:qFormat/>
    <w:rsid w:val="00C51526"/>
    <w:rPr>
      <w:b/>
      <w:bCs/>
      <w:smallCaps/>
      <w:color w:val="2F5496" w:themeColor="accent1" w:themeShade="BF"/>
      <w:spacing w:val="5"/>
    </w:rPr>
  </w:style>
  <w:style w:type="paragraph" w:styleId="Header">
    <w:name w:val="header"/>
    <w:basedOn w:val="Normal"/>
    <w:link w:val="HeaderChar"/>
    <w:uiPriority w:val="99"/>
    <w:unhideWhenUsed/>
    <w:rsid w:val="006C1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7F2"/>
  </w:style>
  <w:style w:type="paragraph" w:styleId="Footer">
    <w:name w:val="footer"/>
    <w:basedOn w:val="Normal"/>
    <w:link w:val="FooterChar"/>
    <w:uiPriority w:val="99"/>
    <w:unhideWhenUsed/>
    <w:rsid w:val="006C1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3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0d0c91-087b-4b7d-adc5-946d66e061e9}" enabled="1" method="Standard" siteId="{7ac422a9-fc2d-41b8-9bff-064aaf2eb0c4}"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6850</Characters>
  <Application>Microsoft Office Word</Application>
  <DocSecurity>0</DocSecurity>
  <Lines>103</Lines>
  <Paragraphs>31</Paragraphs>
  <ScaleCrop>false</ScaleCrop>
  <HeadingPairs>
    <vt:vector size="2" baseType="variant">
      <vt:variant>
        <vt:lpstr>Title</vt:lpstr>
      </vt:variant>
      <vt:variant>
        <vt:i4>1</vt:i4>
      </vt:variant>
    </vt:vector>
  </HeadingPairs>
  <TitlesOfParts>
    <vt:vector size="1" baseType="lpstr">
      <vt:lpstr/>
    </vt:vector>
  </TitlesOfParts>
  <Company>HDR, Inc.</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Dave</dc:creator>
  <cp:keywords/>
  <dc:description/>
  <cp:lastModifiedBy>Sierra Magnuson</cp:lastModifiedBy>
  <cp:revision>3</cp:revision>
  <dcterms:created xsi:type="dcterms:W3CDTF">2024-08-14T21:27:00Z</dcterms:created>
  <dcterms:modified xsi:type="dcterms:W3CDTF">2024-08-14T21:27:00Z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0ee07-aa2b-47c7-bd4c-7cc545b5d455_Enabled">
    <vt:lpwstr>true</vt:lpwstr>
  </property>
  <property fmtid="{D5CDD505-2E9C-101B-9397-08002B2CF9AE}" pid="3" name="MSIP_Label_b530ee07-aa2b-47c7-bd4c-7cc545b5d455_SetDate">
    <vt:lpwstr>2024-08-14T18:08:58Z</vt:lpwstr>
  </property>
  <property fmtid="{D5CDD505-2E9C-101B-9397-08002B2CF9AE}" pid="4" name="MSIP_Label_b530ee07-aa2b-47c7-bd4c-7cc545b5d455_Method">
    <vt:lpwstr>Standard</vt:lpwstr>
  </property>
  <property fmtid="{D5CDD505-2E9C-101B-9397-08002B2CF9AE}" pid="5" name="MSIP_Label_b530ee07-aa2b-47c7-bd4c-7cc545b5d455_Name">
    <vt:lpwstr>HDR General Label</vt:lpwstr>
  </property>
  <property fmtid="{D5CDD505-2E9C-101B-9397-08002B2CF9AE}" pid="6" name="MSIP_Label_b530ee07-aa2b-47c7-bd4c-7cc545b5d455_SiteId">
    <vt:lpwstr>3667e201-cbdc-48b3-9b42-5d2d3f16e2a9</vt:lpwstr>
  </property>
  <property fmtid="{D5CDD505-2E9C-101B-9397-08002B2CF9AE}" pid="7" name="MSIP_Label_b530ee07-aa2b-47c7-bd4c-7cc545b5d455_ActionId">
    <vt:lpwstr>766faf76-e103-49db-aca3-200b63970563</vt:lpwstr>
  </property>
  <property fmtid="{D5CDD505-2E9C-101B-9397-08002B2CF9AE}" pid="8" name="MSIP_Label_b530ee07-aa2b-47c7-bd4c-7cc545b5d455_ContentBits">
    <vt:lpwstr>0</vt:lpwstr>
  </property>
  <property fmtid="{D5CDD505-2E9C-101B-9397-08002B2CF9AE}" pid="9" name="ClassificationContentMarkingHeaderShapeIds">
    <vt:lpwstr>1,2,3</vt:lpwstr>
  </property>
  <property fmtid="{D5CDD505-2E9C-101B-9397-08002B2CF9AE}" pid="10" name="ClassificationContentMarkingHeaderFontProps">
    <vt:lpwstr>#000000,9,Calibri</vt:lpwstr>
  </property>
  <property fmtid="{D5CDD505-2E9C-101B-9397-08002B2CF9AE}" pid="11" name="ClassificationContentMarkingHeaderText">
    <vt:lpwstr>Category 2: Sensitive information</vt:lpwstr>
  </property>
  <property fmtid="{D5CDD505-2E9C-101B-9397-08002B2CF9AE}" pid="12" name="ClassificationContentMarkingFooterShapeIds">
    <vt:lpwstr>4,5,6</vt:lpwstr>
  </property>
  <property fmtid="{D5CDD505-2E9C-101B-9397-08002B2CF9AE}" pid="13" name="ClassificationContentMarkingFooterFontProps">
    <vt:lpwstr>#000000,9,Calibri</vt:lpwstr>
  </property>
  <property fmtid="{D5CDD505-2E9C-101B-9397-08002B2CF9AE}" pid="14" name="ClassificationContentMarkingFooterText">
    <vt:lpwstr>Category 2: For official use only / disclosure permissible by law.</vt:lpwstr>
  </property>
</Properties>
</file>