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9C786" w14:textId="77777777" w:rsidR="009C06FC" w:rsidRDefault="009C06FC" w:rsidP="00EF4F67">
      <w:pPr>
        <w:tabs>
          <w:tab w:val="left" w:pos="930"/>
        </w:tabs>
      </w:pPr>
    </w:p>
    <w:p w14:paraId="33A0AFE1" w14:textId="7712459A" w:rsidR="002453F0" w:rsidRDefault="009C06FC" w:rsidP="009C06FC">
      <w:pPr>
        <w:tabs>
          <w:tab w:val="left" w:pos="930"/>
        </w:tabs>
        <w:spacing w:after="0" w:line="276" w:lineRule="auto"/>
      </w:pPr>
      <w:r>
        <w:t>September 26, 2025</w:t>
      </w:r>
      <w:r w:rsidR="00EF4F67">
        <w:tab/>
      </w:r>
    </w:p>
    <w:p w14:paraId="798405C1" w14:textId="77777777" w:rsidR="00DE22B1" w:rsidRDefault="00DE22B1" w:rsidP="009C06FC">
      <w:pPr>
        <w:tabs>
          <w:tab w:val="left" w:pos="930"/>
        </w:tabs>
        <w:spacing w:after="0" w:line="276" w:lineRule="auto"/>
      </w:pPr>
    </w:p>
    <w:p w14:paraId="147EAA7C" w14:textId="7453C16B" w:rsidR="00651874" w:rsidRDefault="00607756" w:rsidP="00395363">
      <w:pPr>
        <w:tabs>
          <w:tab w:val="left" w:pos="930"/>
        </w:tabs>
        <w:spacing w:after="0" w:line="276" w:lineRule="auto"/>
      </w:pPr>
      <w:r>
        <w:t xml:space="preserve">James </w:t>
      </w:r>
      <w:r w:rsidR="00E77825">
        <w:t>Kardouni</w:t>
      </w:r>
    </w:p>
    <w:p w14:paraId="2D8ABEB0" w14:textId="70F9EAA6" w:rsidR="00E77825" w:rsidRDefault="00E77825" w:rsidP="009C06FC">
      <w:pPr>
        <w:tabs>
          <w:tab w:val="left" w:pos="930"/>
        </w:tabs>
        <w:spacing w:after="0" w:line="276" w:lineRule="auto"/>
      </w:pPr>
      <w:r>
        <w:t>Water Quality Program, Environmental Assessment Program</w:t>
      </w:r>
    </w:p>
    <w:p w14:paraId="0CAD56A3" w14:textId="3EC23B48" w:rsidR="00651874" w:rsidRDefault="00E77825" w:rsidP="009C06FC">
      <w:pPr>
        <w:tabs>
          <w:tab w:val="left" w:pos="930"/>
        </w:tabs>
        <w:spacing w:after="0" w:line="276" w:lineRule="auto"/>
      </w:pPr>
      <w:r>
        <w:t>Washington Department of Ecology</w:t>
      </w:r>
    </w:p>
    <w:p w14:paraId="409A1207" w14:textId="2D9B7146" w:rsidR="00E77825" w:rsidRDefault="00E77825" w:rsidP="009C06FC">
      <w:pPr>
        <w:tabs>
          <w:tab w:val="left" w:pos="930"/>
        </w:tabs>
        <w:spacing w:after="0" w:line="276" w:lineRule="auto"/>
      </w:pPr>
      <w:r>
        <w:t>Olympia, WA</w:t>
      </w:r>
      <w:r w:rsidR="00EA17B0">
        <w:t xml:space="preserve"> 98504-7600</w:t>
      </w:r>
    </w:p>
    <w:p w14:paraId="128A0C00" w14:textId="77777777" w:rsidR="00651874" w:rsidRDefault="00651874" w:rsidP="009C06FC">
      <w:pPr>
        <w:tabs>
          <w:tab w:val="left" w:pos="930"/>
        </w:tabs>
        <w:spacing w:after="0" w:line="276" w:lineRule="auto"/>
      </w:pPr>
    </w:p>
    <w:p w14:paraId="5C69C56A" w14:textId="32DF54CC" w:rsidR="00EA17B0" w:rsidRDefault="00EA17B0" w:rsidP="009C06FC">
      <w:pPr>
        <w:tabs>
          <w:tab w:val="left" w:pos="930"/>
        </w:tabs>
        <w:spacing w:after="0" w:line="276" w:lineRule="auto"/>
      </w:pPr>
      <w:r>
        <w:t>RE: Drayton TMDL</w:t>
      </w:r>
      <w:r w:rsidR="009C06FC">
        <w:t xml:space="preserve"> </w:t>
      </w:r>
      <w:r w:rsidR="00607A74">
        <w:t>Publication 25-10-060, August 2025</w:t>
      </w:r>
    </w:p>
    <w:p w14:paraId="6F183FEF" w14:textId="77777777" w:rsidR="00EA17B0" w:rsidRDefault="00EA17B0" w:rsidP="009C06FC">
      <w:pPr>
        <w:tabs>
          <w:tab w:val="left" w:pos="930"/>
        </w:tabs>
        <w:spacing w:after="0" w:line="276" w:lineRule="auto"/>
      </w:pPr>
    </w:p>
    <w:p w14:paraId="3EE3C91D" w14:textId="2E5A6329" w:rsidR="00651874" w:rsidRDefault="00EA17B0" w:rsidP="009C06FC">
      <w:pPr>
        <w:tabs>
          <w:tab w:val="left" w:pos="930"/>
        </w:tabs>
        <w:spacing w:after="0" w:line="276" w:lineRule="auto"/>
      </w:pPr>
      <w:r>
        <w:t>Mr. Kardouni,</w:t>
      </w:r>
    </w:p>
    <w:p w14:paraId="564BD757" w14:textId="77777777" w:rsidR="009C06FC" w:rsidRDefault="009C06FC" w:rsidP="009C06FC">
      <w:pPr>
        <w:tabs>
          <w:tab w:val="left" w:pos="930"/>
        </w:tabs>
        <w:spacing w:after="0" w:line="276" w:lineRule="auto"/>
      </w:pPr>
    </w:p>
    <w:p w14:paraId="4A2FF6A1" w14:textId="0451BD03" w:rsidR="00144F8E" w:rsidRDefault="00DE22B1" w:rsidP="00EF4F67">
      <w:pPr>
        <w:tabs>
          <w:tab w:val="left" w:pos="930"/>
        </w:tabs>
      </w:pPr>
      <w:r>
        <w:t xml:space="preserve">Thank you for the opportunity to review and comment on the draft </w:t>
      </w:r>
      <w:r w:rsidRPr="00607A74">
        <w:rPr>
          <w:u w:val="single"/>
        </w:rPr>
        <w:t xml:space="preserve">Drayton Harbor </w:t>
      </w:r>
      <w:r w:rsidR="00607A74">
        <w:rPr>
          <w:u w:val="single"/>
        </w:rPr>
        <w:t>F</w:t>
      </w:r>
      <w:r w:rsidRPr="00607A74">
        <w:rPr>
          <w:u w:val="single"/>
        </w:rPr>
        <w:t xml:space="preserve">ecal </w:t>
      </w:r>
      <w:r w:rsidR="00607A74">
        <w:rPr>
          <w:u w:val="single"/>
        </w:rPr>
        <w:t>B</w:t>
      </w:r>
      <w:r w:rsidRPr="00607A74">
        <w:rPr>
          <w:u w:val="single"/>
        </w:rPr>
        <w:t>acteria TMDL</w:t>
      </w:r>
      <w:r w:rsidR="00C6150F" w:rsidRPr="00607A74">
        <w:rPr>
          <w:u w:val="single"/>
        </w:rPr>
        <w:t xml:space="preserve"> Technical Study and Water Quality Improvement Plan</w:t>
      </w:r>
      <w:r w:rsidR="00C6150F">
        <w:t xml:space="preserve"> (Publication 25-10-060)</w:t>
      </w:r>
      <w:r>
        <w:t xml:space="preserve">. </w:t>
      </w:r>
      <w:r w:rsidR="001B01D5">
        <w:t>Ensuring</w:t>
      </w:r>
      <w:r>
        <w:t xml:space="preserve"> clean </w:t>
      </w:r>
      <w:r w:rsidR="004D3550">
        <w:t xml:space="preserve">water </w:t>
      </w:r>
      <w:r w:rsidR="001B01D5">
        <w:t>enters</w:t>
      </w:r>
      <w:r w:rsidR="004D3550">
        <w:t xml:space="preserve"> Drayton Harbor is critical to protect</w:t>
      </w:r>
      <w:r w:rsidR="001B01D5">
        <w:t>ing</w:t>
      </w:r>
      <w:r w:rsidR="004D3550">
        <w:t xml:space="preserve"> the interests of </w:t>
      </w:r>
      <w:r w:rsidR="002346BC">
        <w:t xml:space="preserve">commercial </w:t>
      </w:r>
      <w:r w:rsidR="004D3550">
        <w:t>shellfish farmers</w:t>
      </w:r>
      <w:r w:rsidR="001B01D5">
        <w:t>,</w:t>
      </w:r>
      <w:r w:rsidR="002346BC">
        <w:t xml:space="preserve"> Tribal and recreational harvesters</w:t>
      </w:r>
      <w:r w:rsidR="001B01D5">
        <w:t>,</w:t>
      </w:r>
      <w:r w:rsidR="00E0395C">
        <w:t xml:space="preserve"> the health of shellfish users</w:t>
      </w:r>
      <w:r w:rsidR="001B01D5">
        <w:t>, and recreators alike</w:t>
      </w:r>
      <w:r w:rsidR="00E0395C">
        <w:t xml:space="preserve">. </w:t>
      </w:r>
      <w:r w:rsidR="00160EA9" w:rsidRPr="00607756">
        <w:t xml:space="preserve">The attached comments provide some </w:t>
      </w:r>
      <w:r w:rsidR="007521DA" w:rsidRPr="00607756">
        <w:t xml:space="preserve">general feedback along with </w:t>
      </w:r>
      <w:r w:rsidR="00160EA9" w:rsidRPr="00607756">
        <w:t xml:space="preserve">specific comments </w:t>
      </w:r>
      <w:r w:rsidR="007456A4" w:rsidRPr="00607756">
        <w:t>and suggested corrections to the document</w:t>
      </w:r>
      <w:r w:rsidR="002F169F">
        <w:t xml:space="preserve"> in support of a </w:t>
      </w:r>
      <w:r w:rsidR="0040035B">
        <w:t xml:space="preserve">robust and equitable </w:t>
      </w:r>
      <w:r w:rsidR="00791C35">
        <w:t>water quality improvement plan.</w:t>
      </w:r>
      <w:r w:rsidR="007456A4" w:rsidRPr="00607756">
        <w:t xml:space="preserve"> </w:t>
      </w:r>
    </w:p>
    <w:p w14:paraId="59D04A66" w14:textId="2D623314" w:rsidR="00144F8E" w:rsidRDefault="00144F8E" w:rsidP="00EF4F67">
      <w:pPr>
        <w:tabs>
          <w:tab w:val="left" w:pos="930"/>
        </w:tabs>
      </w:pPr>
      <w:r>
        <w:t xml:space="preserve">In summary, </w:t>
      </w:r>
      <w:r w:rsidR="009E4AB8">
        <w:t xml:space="preserve">WSDA’s </w:t>
      </w:r>
      <w:r w:rsidR="00A50796">
        <w:t>comments</w:t>
      </w:r>
      <w:r w:rsidR="009E4AB8">
        <w:t xml:space="preserve"> center around whether</w:t>
      </w:r>
      <w:r>
        <w:t xml:space="preserve"> </w:t>
      </w:r>
      <w:r>
        <w:t xml:space="preserve">the implementation measures listed in the document align with the level of improvement needed to meet the large reductions identified in the TMDL. </w:t>
      </w:r>
      <w:r w:rsidR="00A50796">
        <w:t>A</w:t>
      </w:r>
      <w:r>
        <w:t xml:space="preserve">side from the extensive list of recommendations for livestock agriculture, the implementation section </w:t>
      </w:r>
      <w:r w:rsidR="00271866">
        <w:t xml:space="preserve">seems to lack </w:t>
      </w:r>
      <w:r w:rsidR="003D0565">
        <w:t>specific, measurable</w:t>
      </w:r>
      <w:r w:rsidR="00E945AD">
        <w:t xml:space="preserve"> and achievable metrics relating</w:t>
      </w:r>
      <w:r w:rsidR="00C630C7">
        <w:t xml:space="preserve"> </w:t>
      </w:r>
      <w:r w:rsidR="001173D1">
        <w:t>to</w:t>
      </w:r>
      <w:r w:rsidR="00271866">
        <w:t xml:space="preserve"> sources of </w:t>
      </w:r>
      <w:r w:rsidR="001173D1">
        <w:t xml:space="preserve">fecal bacteria </w:t>
      </w:r>
      <w:r w:rsidR="00271866">
        <w:t>pollutants</w:t>
      </w:r>
      <w:r w:rsidR="001173D1">
        <w:t>. Instead</w:t>
      </w:r>
      <w:r w:rsidR="00271866">
        <w:t xml:space="preserve">, </w:t>
      </w:r>
      <w:r w:rsidR="001173D1">
        <w:t>it</w:t>
      </w:r>
      <w:r w:rsidR="00271866">
        <w:t xml:space="preserve"> </w:t>
      </w:r>
      <w:r w:rsidR="001173D1">
        <w:t xml:space="preserve">largely </w:t>
      </w:r>
      <w:r>
        <w:t xml:space="preserve">appears to rest on </w:t>
      </w:r>
      <w:r w:rsidR="001173D1">
        <w:t xml:space="preserve">continuing </w:t>
      </w:r>
      <w:r>
        <w:t xml:space="preserve">the existing Whatcom Clean Water Program that has </w:t>
      </w:r>
      <w:r w:rsidR="00C630C7">
        <w:t xml:space="preserve">already </w:t>
      </w:r>
      <w:r>
        <w:t xml:space="preserve">been working on this issue for </w:t>
      </w:r>
      <w:r w:rsidR="00C630C7">
        <w:t xml:space="preserve">a decade to get to the </w:t>
      </w:r>
      <w:proofErr w:type="gramStart"/>
      <w:r w:rsidR="00C630C7">
        <w:t>current status</w:t>
      </w:r>
      <w:proofErr w:type="gramEnd"/>
      <w:r w:rsidR="00C630C7">
        <w:t xml:space="preserve"> of bacteria quality in the watershed</w:t>
      </w:r>
      <w:r>
        <w:t>.</w:t>
      </w:r>
      <w:r w:rsidR="00C27F42">
        <w:t xml:space="preserve"> </w:t>
      </w:r>
    </w:p>
    <w:p w14:paraId="3719346F" w14:textId="16635624" w:rsidR="00547AC9" w:rsidRDefault="007470FA" w:rsidP="00EF4F67">
      <w:pPr>
        <w:tabs>
          <w:tab w:val="left" w:pos="930"/>
        </w:tabs>
      </w:pPr>
      <w:r>
        <w:t>Watershed clean</w:t>
      </w:r>
      <w:r w:rsidR="00C527B0">
        <w:t>-</w:t>
      </w:r>
      <w:r>
        <w:t xml:space="preserve">up requires a holistic approach. </w:t>
      </w:r>
      <w:r w:rsidR="005A649D" w:rsidRPr="00607756">
        <w:t xml:space="preserve">Although </w:t>
      </w:r>
      <w:r w:rsidR="009014B3">
        <w:t>our</w:t>
      </w:r>
      <w:r w:rsidR="00EA17B0">
        <w:t xml:space="preserve"> </w:t>
      </w:r>
      <w:r w:rsidR="005A649D" w:rsidRPr="00607756">
        <w:t xml:space="preserve">legal authority </w:t>
      </w:r>
      <w:r w:rsidR="005371F9" w:rsidRPr="00607756">
        <w:t>is limited to the three licensed dairies and their land application fields</w:t>
      </w:r>
      <w:r w:rsidR="00FA68E8" w:rsidRPr="00607756">
        <w:t>, or a</w:t>
      </w:r>
      <w:r w:rsidR="005371F9" w:rsidRPr="00607756">
        <w:t xml:space="preserve">bout three percent </w:t>
      </w:r>
      <w:r w:rsidR="00FA68E8" w:rsidRPr="00607756">
        <w:t>of the watershed’s land</w:t>
      </w:r>
      <w:r w:rsidR="00853A10" w:rsidRPr="00607756">
        <w:t xml:space="preserve"> </w:t>
      </w:r>
      <w:r w:rsidR="005371F9" w:rsidRPr="00607756">
        <w:t>area</w:t>
      </w:r>
      <w:r w:rsidR="00FA68E8" w:rsidRPr="00607756">
        <w:t xml:space="preserve">, we look forward to working with Ecology and partners on </w:t>
      </w:r>
      <w:r w:rsidR="00A50796">
        <w:t xml:space="preserve">basin-wide </w:t>
      </w:r>
      <w:r w:rsidR="00FA68E8" w:rsidRPr="00607756">
        <w:t>water quality improvement</w:t>
      </w:r>
      <w:r w:rsidR="00547AC9" w:rsidRPr="00607756">
        <w:t>s to ensure the protection of downstream users.</w:t>
      </w:r>
    </w:p>
    <w:p w14:paraId="7B964882" w14:textId="21194AED" w:rsidR="00547AC9" w:rsidRPr="00607756" w:rsidRDefault="00547AC9" w:rsidP="00EF4F67">
      <w:pPr>
        <w:tabs>
          <w:tab w:val="left" w:pos="930"/>
        </w:tabs>
      </w:pPr>
      <w:r w:rsidRPr="00607756">
        <w:t xml:space="preserve">If the Nutrient </w:t>
      </w:r>
      <w:r w:rsidR="008156C9" w:rsidRPr="00607756">
        <w:t>Management</w:t>
      </w:r>
      <w:r w:rsidRPr="00607756">
        <w:t xml:space="preserve"> Technical Services program</w:t>
      </w:r>
      <w:r w:rsidR="008156C9" w:rsidRPr="00607756">
        <w:t>,</w:t>
      </w:r>
      <w:r w:rsidRPr="00607756">
        <w:t xml:space="preserve"> or </w:t>
      </w:r>
      <w:r w:rsidR="008156C9" w:rsidRPr="00607756">
        <w:t xml:space="preserve">WSDA generally, can be of further assistance, please </w:t>
      </w:r>
      <w:r w:rsidR="00017B64" w:rsidRPr="00607756">
        <w:t>do not hesitate to contact me or our regional inspector, Amanda Hendrix.</w:t>
      </w:r>
      <w:r w:rsidR="008156C9" w:rsidRPr="00607756">
        <w:t xml:space="preserve"> </w:t>
      </w:r>
    </w:p>
    <w:p w14:paraId="640EB837" w14:textId="599BA4F6" w:rsidR="00651874" w:rsidRPr="00607756" w:rsidRDefault="00017B64" w:rsidP="00C1040A">
      <w:pPr>
        <w:tabs>
          <w:tab w:val="left" w:pos="930"/>
        </w:tabs>
        <w:spacing w:after="0" w:line="240" w:lineRule="auto"/>
      </w:pPr>
      <w:r w:rsidRPr="00607756">
        <w:t>Sincerely,</w:t>
      </w:r>
    </w:p>
    <w:p w14:paraId="7D033D02" w14:textId="45DE517C" w:rsidR="00017B64" w:rsidRPr="00607756" w:rsidRDefault="00C1040A" w:rsidP="00EF4F67">
      <w:pPr>
        <w:tabs>
          <w:tab w:val="left" w:pos="930"/>
        </w:tabs>
      </w:pPr>
      <w:r>
        <w:rPr>
          <w:noProof/>
        </w:rPr>
        <w:drawing>
          <wp:inline distT="0" distB="0" distL="0" distR="0" wp14:anchorId="7CE8CE05" wp14:editId="5B7D34A7">
            <wp:extent cx="2218690" cy="581025"/>
            <wp:effectExtent l="0" t="0" r="0" b="9525"/>
            <wp:docPr id="1113489863" name="Picture 2"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489863" name="Picture 2" descr="A picture containing text&#10;&#10;AI-generated content may be incorrect."/>
                    <pic:cNvPicPr/>
                  </pic:nvPicPr>
                  <pic:blipFill rotWithShape="1">
                    <a:blip r:embed="rId10" cstate="print">
                      <a:extLst>
                        <a:ext uri="{BEBA8EAE-BF5A-486C-A8C5-ECC9F3942E4B}">
                          <a14:imgProps xmlns:a14="http://schemas.microsoft.com/office/drawing/2010/main">
                            <a14:imgLayer r:embed="rId11">
                              <a14:imgEffect>
                                <a14:sharpenSoften amount="50000"/>
                              </a14:imgEffect>
                              <a14:imgEffect>
                                <a14:brightnessContrast bright="33000"/>
                              </a14:imgEffect>
                            </a14:imgLayer>
                          </a14:imgProps>
                        </a:ext>
                        <a:ext uri="{28A0092B-C50C-407E-A947-70E740481C1C}">
                          <a14:useLocalDpi xmlns:a14="http://schemas.microsoft.com/office/drawing/2010/main" val="0"/>
                        </a:ext>
                      </a:extLst>
                    </a:blip>
                    <a:srcRect b="15273"/>
                    <a:stretch>
                      <a:fillRect/>
                    </a:stretch>
                  </pic:blipFill>
                  <pic:spPr bwMode="auto">
                    <a:xfrm>
                      <a:off x="0" y="0"/>
                      <a:ext cx="2220577" cy="581519"/>
                    </a:xfrm>
                    <a:prstGeom prst="rect">
                      <a:avLst/>
                    </a:prstGeom>
                    <a:ln>
                      <a:noFill/>
                    </a:ln>
                    <a:extLst>
                      <a:ext uri="{53640926-AAD7-44D8-BBD7-CCE9431645EC}">
                        <a14:shadowObscured xmlns:a14="http://schemas.microsoft.com/office/drawing/2010/main"/>
                      </a:ext>
                    </a:extLst>
                  </pic:spPr>
                </pic:pic>
              </a:graphicData>
            </a:graphic>
          </wp:inline>
        </w:drawing>
      </w:r>
    </w:p>
    <w:p w14:paraId="1EDAE7CC" w14:textId="44F29B22" w:rsidR="00017B64" w:rsidRPr="00607756" w:rsidRDefault="00017B64" w:rsidP="00C1040A">
      <w:pPr>
        <w:tabs>
          <w:tab w:val="left" w:pos="930"/>
        </w:tabs>
        <w:spacing w:after="0" w:line="240" w:lineRule="auto"/>
      </w:pPr>
      <w:r w:rsidRPr="00607756">
        <w:t>Michael Isensee</w:t>
      </w:r>
    </w:p>
    <w:p w14:paraId="4D6BC5FF" w14:textId="05AA6914" w:rsidR="00651874" w:rsidRPr="00607756" w:rsidRDefault="00607756" w:rsidP="00C1040A">
      <w:pPr>
        <w:tabs>
          <w:tab w:val="left" w:pos="930"/>
        </w:tabs>
        <w:spacing w:after="0" w:line="240" w:lineRule="auto"/>
      </w:pPr>
      <w:r w:rsidRPr="00607756">
        <w:t>Operations and Compliance Supervisor</w:t>
      </w:r>
    </w:p>
    <w:p w14:paraId="5D020C8C" w14:textId="6FB8DA40" w:rsidR="00607756" w:rsidRPr="00607756" w:rsidRDefault="00607756" w:rsidP="00C1040A">
      <w:pPr>
        <w:tabs>
          <w:tab w:val="left" w:pos="930"/>
        </w:tabs>
        <w:spacing w:after="0" w:line="240" w:lineRule="auto"/>
      </w:pPr>
      <w:r w:rsidRPr="00607756">
        <w:t>360-961-7412</w:t>
      </w:r>
    </w:p>
    <w:p w14:paraId="3E240B4B" w14:textId="285ED25B" w:rsidR="002E432C" w:rsidRPr="002A1ADC" w:rsidRDefault="00607756" w:rsidP="00204160">
      <w:pPr>
        <w:rPr>
          <w:b/>
          <w:bCs/>
        </w:rPr>
      </w:pPr>
      <w:r>
        <w:rPr>
          <w:b/>
          <w:bCs/>
        </w:rPr>
        <w:br w:type="page"/>
      </w:r>
      <w:r w:rsidR="00354F69">
        <w:rPr>
          <w:b/>
          <w:bCs/>
        </w:rPr>
        <w:lastRenderedPageBreak/>
        <w:t>Implementation Plan -</w:t>
      </w:r>
      <w:r w:rsidR="00F80483">
        <w:rPr>
          <w:b/>
          <w:bCs/>
        </w:rPr>
        <w:t xml:space="preserve"> </w:t>
      </w:r>
      <w:r w:rsidR="002E432C" w:rsidRPr="002A1ADC">
        <w:rPr>
          <w:b/>
          <w:bCs/>
        </w:rPr>
        <w:t>Agriculture</w:t>
      </w:r>
    </w:p>
    <w:p w14:paraId="2567D177" w14:textId="47F4F963" w:rsidR="00116E81" w:rsidRDefault="0066674B" w:rsidP="0066674B">
      <w:pPr>
        <w:tabs>
          <w:tab w:val="left" w:pos="930"/>
        </w:tabs>
      </w:pPr>
      <w:r w:rsidRPr="0066674B">
        <w:t xml:space="preserve">The level of detail and thought that went into the </w:t>
      </w:r>
      <w:r w:rsidRPr="0066674B">
        <w:t>agriculture</w:t>
      </w:r>
      <w:r w:rsidRPr="0066674B">
        <w:t xml:space="preserve"> section</w:t>
      </w:r>
      <w:r w:rsidR="002629BE">
        <w:t>, pages 81-88,</w:t>
      </w:r>
      <w:r w:rsidRPr="0066674B">
        <w:t xml:space="preserve"> is appreciated.</w:t>
      </w:r>
      <w:r w:rsidR="002629BE">
        <w:t xml:space="preserve"> The</w:t>
      </w:r>
      <w:r w:rsidR="00734F72">
        <w:t xml:space="preserve"> document provides</w:t>
      </w:r>
      <w:r w:rsidR="002629BE">
        <w:t xml:space="preserve"> dozens of recommended practices for livestock operators. </w:t>
      </w:r>
    </w:p>
    <w:p w14:paraId="056AF968" w14:textId="47B576C7" w:rsidR="0066674B" w:rsidRDefault="002629BE" w:rsidP="0066674B">
      <w:pPr>
        <w:tabs>
          <w:tab w:val="left" w:pos="930"/>
        </w:tabs>
      </w:pPr>
      <w:r>
        <w:t>Most notabl</w:t>
      </w:r>
      <w:r w:rsidR="00734F72">
        <w:t>e of the recommendations</w:t>
      </w:r>
      <w:r>
        <w:t xml:space="preserve"> is a recommendation to move </w:t>
      </w:r>
      <w:r w:rsidR="00190A6B">
        <w:t xml:space="preserve">farming </w:t>
      </w:r>
      <w:r w:rsidR="00116E81">
        <w:t xml:space="preserve">practices </w:t>
      </w:r>
      <w:r w:rsidR="00190A6B">
        <w:t xml:space="preserve">away from all streams, preferable </w:t>
      </w:r>
      <w:proofErr w:type="gramStart"/>
      <w:r w:rsidR="00190A6B">
        <w:t>a distance of 215</w:t>
      </w:r>
      <w:proofErr w:type="gramEnd"/>
      <w:r w:rsidR="00190A6B">
        <w:t xml:space="preserve"> feet</w:t>
      </w:r>
      <w:r w:rsidR="00020B2C">
        <w:t xml:space="preserve"> on either side of a waterway</w:t>
      </w:r>
      <w:r w:rsidR="00117324">
        <w:t>, manage th</w:t>
      </w:r>
      <w:r w:rsidR="008646AF">
        <w:t>e</w:t>
      </w:r>
      <w:r w:rsidR="00117324">
        <w:t xml:space="preserve"> riparian habitat in perpetuity, and forego the economic return that the purchase price of the property was </w:t>
      </w:r>
      <w:r w:rsidR="00BA4955">
        <w:t xml:space="preserve">based upon. </w:t>
      </w:r>
      <w:r w:rsidR="005E46BF">
        <w:t xml:space="preserve">While some landowners may be willing to sell the state </w:t>
      </w:r>
      <w:r w:rsidR="007245A7">
        <w:t xml:space="preserve">the landward property </w:t>
      </w:r>
      <w:r w:rsidR="008646AF">
        <w:t>adjoining</w:t>
      </w:r>
      <w:r w:rsidR="007245A7">
        <w:t xml:space="preserve"> waterways</w:t>
      </w:r>
      <w:r w:rsidR="00105D14">
        <w:t xml:space="preserve">, </w:t>
      </w:r>
      <w:r w:rsidR="00734F72">
        <w:t>those</w:t>
      </w:r>
      <w:r w:rsidR="0002633A">
        <w:t xml:space="preserve"> who c</w:t>
      </w:r>
      <w:r w:rsidR="00734F72">
        <w:t>ould</w:t>
      </w:r>
      <w:r w:rsidR="0002633A">
        <w:t xml:space="preserve"> afford to revert </w:t>
      </w:r>
      <w:r w:rsidR="00B4628E">
        <w:t>3</w:t>
      </w:r>
      <w:r w:rsidR="00FE7BCC">
        <w:t xml:space="preserve"> acres out of every 40 into a non</w:t>
      </w:r>
      <w:r w:rsidR="008E67BA">
        <w:t>agricultural</w:t>
      </w:r>
      <w:r w:rsidR="00FE7BCC">
        <w:t xml:space="preserve"> use for </w:t>
      </w:r>
      <w:r w:rsidR="008D29C8">
        <w:t>public benefit.</w:t>
      </w:r>
      <w:r w:rsidR="00E1551A">
        <w:rPr>
          <w:rStyle w:val="FootnoteReference"/>
        </w:rPr>
        <w:footnoteReference w:id="2"/>
      </w:r>
      <w:r w:rsidR="008D29C8">
        <w:t xml:space="preserve"> </w:t>
      </w:r>
      <w:r w:rsidR="00A37C5E">
        <w:t xml:space="preserve">While losing productive acreage to a use that provides no economic value to the farm would be the most substantial impact, </w:t>
      </w:r>
      <w:r w:rsidR="0064149A">
        <w:t xml:space="preserve">reverting productive farmland to non-agricultural use </w:t>
      </w:r>
      <w:r w:rsidR="00181DD3">
        <w:t xml:space="preserve">would also increase the </w:t>
      </w:r>
      <w:r w:rsidR="00EC070A">
        <w:t xml:space="preserve">operating </w:t>
      </w:r>
      <w:r w:rsidR="00181DD3">
        <w:t>costs of</w:t>
      </w:r>
      <w:r w:rsidR="00EC070A">
        <w:t xml:space="preserve"> managing th</w:t>
      </w:r>
      <w:r w:rsidR="0064149A">
        <w:t>e</w:t>
      </w:r>
      <w:r w:rsidR="00EC070A">
        <w:t xml:space="preserve"> land </w:t>
      </w:r>
      <w:r w:rsidR="0064149A">
        <w:t xml:space="preserve">with </w:t>
      </w:r>
      <w:r w:rsidR="00EC070A">
        <w:t xml:space="preserve">impacts </w:t>
      </w:r>
      <w:r w:rsidR="0064149A">
        <w:t>including</w:t>
      </w:r>
      <w:r w:rsidR="00EC070A">
        <w:t xml:space="preserve"> shad</w:t>
      </w:r>
      <w:r w:rsidR="001D7B37">
        <w:t>ing of remaining acreage</w:t>
      </w:r>
      <w:r w:rsidR="006E0B1B">
        <w:t xml:space="preserve"> or</w:t>
      </w:r>
      <w:r w:rsidR="00EC070A">
        <w:t xml:space="preserve"> debris from falling vegetation</w:t>
      </w:r>
      <w:r w:rsidR="001D7B37">
        <w:t xml:space="preserve"> impacting cropland and infrastructure</w:t>
      </w:r>
      <w:r w:rsidR="006E0B1B">
        <w:t>.</w:t>
      </w:r>
    </w:p>
    <w:p w14:paraId="380E014F" w14:textId="3BE80F2F" w:rsidR="00F0057A" w:rsidRDefault="00F0057A" w:rsidP="00F0057A">
      <w:pPr>
        <w:tabs>
          <w:tab w:val="left" w:pos="930"/>
        </w:tabs>
      </w:pPr>
      <w:r>
        <w:t xml:space="preserve">It appears that most recommendations in the </w:t>
      </w:r>
      <w:proofErr w:type="gramStart"/>
      <w:r w:rsidRPr="006B02B1">
        <w:rPr>
          <w:i/>
          <w:iCs/>
        </w:rPr>
        <w:t>Agriculture</w:t>
      </w:r>
      <w:proofErr w:type="gramEnd"/>
      <w:r>
        <w:t xml:space="preserve"> chapter apply to sites with livestock. In the construction of the chapter, it is unclear if the conversion of farmland to riparian forests applies solely to livestock operations and, if so, if it applies only to a certain size and scale of operation or is intended to apply to any site that keeps livestock</w:t>
      </w:r>
      <w:r>
        <w:t xml:space="preserve"> regardless of zoning or regardless of the size </w:t>
      </w:r>
      <w:r w:rsidR="00806AE2">
        <w:t xml:space="preserve">and scale </w:t>
      </w:r>
      <w:r>
        <w:t xml:space="preserve">of the </w:t>
      </w:r>
      <w:r w:rsidR="00806AE2">
        <w:t>farm</w:t>
      </w:r>
      <w:r>
        <w:t xml:space="preserve">. </w:t>
      </w:r>
      <w:r w:rsidR="00806AE2">
        <w:t>Clarifying the circumstances where these recommendations are to apply would add clarity to the document.</w:t>
      </w:r>
    </w:p>
    <w:p w14:paraId="44E08C2B" w14:textId="5FAFD4F1" w:rsidR="00806AE2" w:rsidRPr="00F80483" w:rsidRDefault="00F80483" w:rsidP="0066674B">
      <w:pPr>
        <w:tabs>
          <w:tab w:val="left" w:pos="930"/>
        </w:tabs>
        <w:rPr>
          <w:b/>
          <w:bCs/>
        </w:rPr>
      </w:pPr>
      <w:r w:rsidRPr="00F80483">
        <w:rPr>
          <w:b/>
          <w:bCs/>
        </w:rPr>
        <w:t>Implementation Plan – Other Sources</w:t>
      </w:r>
    </w:p>
    <w:p w14:paraId="04234AF3" w14:textId="3800334D" w:rsidR="0084726F" w:rsidRDefault="0041157E" w:rsidP="0066674B">
      <w:pPr>
        <w:tabs>
          <w:tab w:val="left" w:pos="930"/>
        </w:tabs>
      </w:pPr>
      <w:r>
        <w:t>Ther remain</w:t>
      </w:r>
      <w:r w:rsidR="00397354">
        <w:t>der</w:t>
      </w:r>
      <w:r>
        <w:t xml:space="preserve"> of the nonpoint section appears scant by comparison to the agriculture section</w:t>
      </w:r>
      <w:r w:rsidR="0084726F">
        <w:t xml:space="preserve">. It is unclear how the implementation plan intends to usher in reductions of ninety percent or more </w:t>
      </w:r>
      <w:r w:rsidR="00120848">
        <w:t>without a more robust implementation plan</w:t>
      </w:r>
      <w:r w:rsidR="0065226D">
        <w:t>.</w:t>
      </w:r>
    </w:p>
    <w:p w14:paraId="4B80F410" w14:textId="4BD0AC03" w:rsidR="00B35201" w:rsidRDefault="0065226D" w:rsidP="0066674B">
      <w:pPr>
        <w:tabs>
          <w:tab w:val="left" w:pos="930"/>
        </w:tabs>
      </w:pPr>
      <w:r>
        <w:t>For instance, the riparian forested buffers proposed for agriculture are not similarly proposed across the remaining land uses in the watershed. T</w:t>
      </w:r>
      <w:r w:rsidR="00FA522E">
        <w:t xml:space="preserve">he benefits </w:t>
      </w:r>
      <w:r>
        <w:t xml:space="preserve">of </w:t>
      </w:r>
      <w:r w:rsidR="00FA522E">
        <w:t>such a practice to water quality would be equal</w:t>
      </w:r>
      <w:r w:rsidR="006E0B1B">
        <w:t>, or perhaps even g</w:t>
      </w:r>
      <w:r w:rsidR="00FA522E">
        <w:t>reater</w:t>
      </w:r>
      <w:r>
        <w:t>,</w:t>
      </w:r>
      <w:r w:rsidR="00FA522E">
        <w:t xml:space="preserve"> </w:t>
      </w:r>
      <w:r w:rsidR="00B82268">
        <w:t>on residential, commercial or recreational site</w:t>
      </w:r>
      <w:r w:rsidR="006E0B1B">
        <w:t>s</w:t>
      </w:r>
      <w:r w:rsidR="00A538F5">
        <w:t>.</w:t>
      </w:r>
      <w:r w:rsidR="00B35201">
        <w:t xml:space="preserve"> </w:t>
      </w:r>
      <w:r w:rsidR="00A538F5">
        <w:t>Within the implementation plan, t</w:t>
      </w:r>
      <w:r w:rsidR="009E01AC">
        <w:t xml:space="preserve">here </w:t>
      </w:r>
      <w:r w:rsidR="00A538F5">
        <w:t xml:space="preserve">does not appear to be recommendations for </w:t>
      </w:r>
      <w:r w:rsidR="009E01AC">
        <w:t xml:space="preserve">vegetative or other </w:t>
      </w:r>
      <w:r w:rsidR="00A93EE7">
        <w:t xml:space="preserve">BMPs intended to prevent the discharge of bacteria-laden stormwater from any </w:t>
      </w:r>
      <w:r w:rsidR="00A538F5">
        <w:t xml:space="preserve">of the myriad </w:t>
      </w:r>
      <w:r w:rsidR="00A93EE7">
        <w:t>nonpoint sources other than</w:t>
      </w:r>
      <w:r w:rsidR="000B3D89">
        <w:t xml:space="preserve"> </w:t>
      </w:r>
      <w:r w:rsidR="008756CF">
        <w:t>agriculture/</w:t>
      </w:r>
      <w:r w:rsidR="00A93EE7">
        <w:t>livestock</w:t>
      </w:r>
      <w:r w:rsidR="008756CF">
        <w:t>.</w:t>
      </w:r>
      <w:r w:rsidR="00A538F5">
        <w:t xml:space="preserve"> </w:t>
      </w:r>
      <w:r w:rsidR="007F7DF1">
        <w:t xml:space="preserve">With the documented need to reduce bacteria levels by over ninety percent in </w:t>
      </w:r>
      <w:proofErr w:type="gramStart"/>
      <w:r w:rsidR="007F7DF1">
        <w:t>a number of</w:t>
      </w:r>
      <w:proofErr w:type="gramEnd"/>
      <w:r w:rsidR="007F7DF1">
        <w:t xml:space="preserve"> areas, including areas with no livestock operations, it is unclear </w:t>
      </w:r>
      <w:r w:rsidR="006B2FD7">
        <w:t>how the implementation plan intends to do this without extending the types of recommendations being made for livestock operations.</w:t>
      </w:r>
      <w:r w:rsidR="007F7DF1">
        <w:t xml:space="preserve"> </w:t>
      </w:r>
    </w:p>
    <w:p w14:paraId="5689C37B" w14:textId="73F25230" w:rsidR="002E432C" w:rsidRPr="002E432C" w:rsidRDefault="002E432C" w:rsidP="00EF4F67">
      <w:pPr>
        <w:tabs>
          <w:tab w:val="left" w:pos="930"/>
        </w:tabs>
        <w:rPr>
          <w:b/>
          <w:bCs/>
        </w:rPr>
      </w:pPr>
      <w:r w:rsidRPr="002E432C">
        <w:rPr>
          <w:b/>
          <w:bCs/>
        </w:rPr>
        <w:t>WLA</w:t>
      </w:r>
    </w:p>
    <w:p w14:paraId="2AADF4DE" w14:textId="0BABD257" w:rsidR="00C17CCF" w:rsidRDefault="008D4B9E" w:rsidP="00B444CC">
      <w:pPr>
        <w:tabs>
          <w:tab w:val="left" w:pos="930"/>
        </w:tabs>
      </w:pPr>
      <w:r>
        <w:t xml:space="preserve">For </w:t>
      </w:r>
      <w:r w:rsidR="00884A4D">
        <w:t>NPDES permits that have waste load allocations (WLA) well below water quality criteria</w:t>
      </w:r>
      <w:r w:rsidR="001D7008">
        <w:t xml:space="preserve"> (</w:t>
      </w:r>
      <w:r w:rsidR="00F95444">
        <w:t>e.g.</w:t>
      </w:r>
      <w:r w:rsidR="00BB0637">
        <w:t xml:space="preserve"> for MS4 permits, Table 9, page 50,</w:t>
      </w:r>
      <w:r w:rsidR="00E456AE">
        <w:t xml:space="preserve"> with</w:t>
      </w:r>
      <w:r w:rsidR="00BB0637">
        <w:t xml:space="preserve"> </w:t>
      </w:r>
      <w:r w:rsidR="001D7008">
        <w:t>rang</w:t>
      </w:r>
      <w:r w:rsidR="00BB0637">
        <w:t>e</w:t>
      </w:r>
      <w:r w:rsidR="00E456AE">
        <w:t xml:space="preserve">s between </w:t>
      </w:r>
      <w:r w:rsidR="001D7008">
        <w:t>4-57 CFU</w:t>
      </w:r>
      <w:r w:rsidR="00F95444">
        <w:t>/100mL</w:t>
      </w:r>
      <w:r w:rsidR="00BB0637">
        <w:t>)</w:t>
      </w:r>
      <w:r w:rsidR="00884A4D">
        <w:t xml:space="preserve">, </w:t>
      </w:r>
      <w:r w:rsidR="001D7008">
        <w:t xml:space="preserve">what is the actual obligation when samples indicate levels above these WLAs? </w:t>
      </w:r>
      <w:r w:rsidR="00B444CC">
        <w:t xml:space="preserve">There are </w:t>
      </w:r>
      <w:r w:rsidR="00930A99">
        <w:t>actions listed on pages 49</w:t>
      </w:r>
      <w:r w:rsidR="001947A5">
        <w:t xml:space="preserve"> and 51</w:t>
      </w:r>
      <w:r w:rsidR="00930A99">
        <w:t xml:space="preserve"> </w:t>
      </w:r>
      <w:proofErr w:type="gramStart"/>
      <w:r w:rsidR="00A52087">
        <w:t>specific</w:t>
      </w:r>
      <w:proofErr w:type="gramEnd"/>
      <w:r w:rsidR="00A52087">
        <w:t xml:space="preserve"> to </w:t>
      </w:r>
      <w:r w:rsidR="00A52087">
        <w:lastRenderedPageBreak/>
        <w:t>stormwater from government lands including right of ways (ROW)</w:t>
      </w:r>
      <w:r w:rsidR="006A07D7">
        <w:t xml:space="preserve">, but it is not clear if or how these result in reduced fecal bacteria inputs </w:t>
      </w:r>
      <w:r w:rsidR="00E8223A">
        <w:t>when many samples are likely to result in concentrations above the WLA.</w:t>
      </w:r>
    </w:p>
    <w:p w14:paraId="0CD8E1F7" w14:textId="77777777" w:rsidR="00D47888" w:rsidRDefault="00E8223A" w:rsidP="00EB4B45">
      <w:pPr>
        <w:tabs>
          <w:tab w:val="left" w:pos="930"/>
        </w:tabs>
      </w:pPr>
      <w:r>
        <w:t>For individual stormwater permits, it appears the</w:t>
      </w:r>
      <w:r w:rsidR="008E250A">
        <w:t xml:space="preserve"> permittee</w:t>
      </w:r>
      <w:r>
        <w:t xml:space="preserve"> </w:t>
      </w:r>
      <w:r w:rsidR="00990839">
        <w:t xml:space="preserve">may need to sample for fecal bacteria when requested </w:t>
      </w:r>
      <w:r w:rsidR="00EB4B45" w:rsidRPr="008E250A">
        <w:t>(“</w:t>
      </w:r>
      <w:r w:rsidR="00EB4B45" w:rsidRPr="008E250A">
        <w:t>When a receiving water body does not meet the WQS, stormwater samples shall be collected at the nearby permitted facility upon request</w:t>
      </w:r>
      <w:r w:rsidR="008E250A" w:rsidRPr="008E250A">
        <w:t>…”</w:t>
      </w:r>
      <w:r w:rsidR="00EB4B45" w:rsidRPr="008E250A">
        <w:t xml:space="preserve"> p. 54)</w:t>
      </w:r>
      <w:r w:rsidR="00F755E1" w:rsidRPr="008E250A">
        <w:t>.</w:t>
      </w:r>
      <w:r w:rsidR="00F755E1">
        <w:t xml:space="preserve"> What is the system for such a request to be made? Has Ecology created internal processes to use Whatcom County data to alert permit managers to </w:t>
      </w:r>
      <w:proofErr w:type="gramStart"/>
      <w:r w:rsidR="00F755E1">
        <w:t>elevated</w:t>
      </w:r>
      <w:proofErr w:type="gramEnd"/>
      <w:r w:rsidR="00F755E1">
        <w:t xml:space="preserve"> bacteria in receiving waters</w:t>
      </w:r>
      <w:r w:rsidR="00D13182">
        <w:t xml:space="preserve"> so that field inspectors make such a request</w:t>
      </w:r>
      <w:r w:rsidR="008E250A">
        <w:t xml:space="preserve"> and use the resulting data to find and correct </w:t>
      </w:r>
      <w:r w:rsidR="00D47888">
        <w:t>bacterial pollution sources?</w:t>
      </w:r>
      <w:r w:rsidR="00D13182">
        <w:t xml:space="preserve"> A</w:t>
      </w:r>
      <w:r w:rsidR="00EB4B45">
        <w:t xml:space="preserve">re </w:t>
      </w:r>
      <w:r w:rsidR="00D13182">
        <w:t>permitted facility inspectors</w:t>
      </w:r>
      <w:r w:rsidR="00D82118">
        <w:t xml:space="preserve"> equipped to identify and work with permittees to correct the types of diffuse bacteria sources that are going to generate </w:t>
      </w:r>
      <w:r w:rsidR="004556B9">
        <w:t xml:space="preserve">bacteria levels of </w:t>
      </w:r>
      <w:r w:rsidR="000E61E0">
        <w:t>very low levels of fecal bacteria</w:t>
      </w:r>
      <w:r w:rsidR="004556B9">
        <w:t xml:space="preserve">? </w:t>
      </w:r>
    </w:p>
    <w:p w14:paraId="0BB71FB3" w14:textId="21F2645E" w:rsidR="00EB4B45" w:rsidRDefault="00C51A7A" w:rsidP="00EB4B45">
      <w:pPr>
        <w:tabs>
          <w:tab w:val="left" w:pos="930"/>
        </w:tabs>
      </w:pPr>
      <w:r>
        <w:t>With each gram of dog waste contain</w:t>
      </w:r>
      <w:r w:rsidR="002C4E36">
        <w:t>ing 23 million fecal coliform bacteria</w:t>
      </w:r>
      <w:r w:rsidR="008A73DF">
        <w:t xml:space="preserve"> and</w:t>
      </w:r>
      <w:r w:rsidR="002C4E36">
        <w:t xml:space="preserve"> </w:t>
      </w:r>
      <w:r w:rsidR="006141BF">
        <w:t>with many birds transmitting fecal ba</w:t>
      </w:r>
      <w:r w:rsidR="005706C5">
        <w:t>c</w:t>
      </w:r>
      <w:r w:rsidR="006141BF">
        <w:t>teria in their droppings onto roofs and impervious surfaces,</w:t>
      </w:r>
      <w:r w:rsidR="005706C5">
        <w:t xml:space="preserve"> </w:t>
      </w:r>
      <w:r w:rsidR="006141BF">
        <w:t>th</w:t>
      </w:r>
      <w:r w:rsidR="005706C5">
        <w:t>e</w:t>
      </w:r>
      <w:r w:rsidR="006141BF">
        <w:t xml:space="preserve"> </w:t>
      </w:r>
      <w:r w:rsidR="000E61E0">
        <w:t>WLA</w:t>
      </w:r>
      <w:r w:rsidR="008206CD">
        <w:t xml:space="preserve"> fecal</w:t>
      </w:r>
      <w:r w:rsidR="005706C5">
        <w:t xml:space="preserve"> counts seem essentially impossible to attain.</w:t>
      </w:r>
      <w:r w:rsidR="008206CD">
        <w:t xml:space="preserve"> Simultaneously, it is unclear if there is a </w:t>
      </w:r>
      <w:r w:rsidR="00AC5ECD">
        <w:t xml:space="preserve">reasonable expectation that permittees will </w:t>
      </w:r>
      <w:proofErr w:type="gramStart"/>
      <w:r w:rsidR="00AC5ECD">
        <w:t>actually be</w:t>
      </w:r>
      <w:proofErr w:type="gramEnd"/>
      <w:r w:rsidR="00AC5ECD">
        <w:t xml:space="preserve"> required to </w:t>
      </w:r>
      <w:proofErr w:type="gramStart"/>
      <w:r w:rsidR="00AC5ECD">
        <w:t>sample for</w:t>
      </w:r>
      <w:proofErr w:type="gramEnd"/>
      <w:r w:rsidR="00AC5ECD">
        <w:t xml:space="preserve"> fecal bacteria during the types of flushing events at their facilities that may in fact generate large loads into the watershed during critical periods</w:t>
      </w:r>
      <w:r w:rsidR="00002222">
        <w:t>.</w:t>
      </w:r>
      <w:r w:rsidR="00AC5ECD">
        <w:t xml:space="preserve"> </w:t>
      </w:r>
    </w:p>
    <w:p w14:paraId="418A4905" w14:textId="6E97AF27" w:rsidR="00B444CC" w:rsidRDefault="00B444CC" w:rsidP="00B444CC">
      <w:pPr>
        <w:tabs>
          <w:tab w:val="left" w:pos="930"/>
        </w:tabs>
      </w:pPr>
      <w:r>
        <w:t>City and County MS4 permits are required to maintain pet waste stations at permitee owned or operated lands with domestic animal or horse use (p. 49). Does this include the abundant ROW bisecting the MS4 areas, or in what instances?  Does “maintain” mean providing pet waste bags, an effective disposal option, and routine pickup of disposed of bags?</w:t>
      </w:r>
    </w:p>
    <w:p w14:paraId="20428C6B" w14:textId="273319C5" w:rsidR="00EC4329" w:rsidRDefault="00EC4329" w:rsidP="00B444CC">
      <w:pPr>
        <w:tabs>
          <w:tab w:val="left" w:pos="930"/>
        </w:tabs>
      </w:pPr>
      <w:r>
        <w:t xml:space="preserve">Is there a </w:t>
      </w:r>
      <w:r w:rsidR="000F0AA3">
        <w:t>WLA</w:t>
      </w:r>
      <w:r>
        <w:t xml:space="preserve"> for the Port of Bellingham’s stormwater NPDES permit?</w:t>
      </w:r>
      <w:r w:rsidR="002E432C">
        <w:t xml:space="preserve"> I do not see </w:t>
      </w:r>
      <w:r w:rsidR="000B3D89">
        <w:t>it reference</w:t>
      </w:r>
      <w:r w:rsidR="00002222">
        <w:t>d</w:t>
      </w:r>
      <w:r w:rsidR="000B3D89">
        <w:t xml:space="preserve"> </w:t>
      </w:r>
      <w:r w:rsidR="002E432C">
        <w:t>in th</w:t>
      </w:r>
      <w:r w:rsidR="000B3D89">
        <w:t>e</w:t>
      </w:r>
      <w:r w:rsidR="002E432C">
        <w:t xml:space="preserve"> TMDL.</w:t>
      </w:r>
    </w:p>
    <w:p w14:paraId="1DE6CBE2" w14:textId="722FF02C" w:rsidR="00CC16B1" w:rsidRDefault="007A0DB7" w:rsidP="00B444CC">
      <w:pPr>
        <w:tabs>
          <w:tab w:val="left" w:pos="930"/>
        </w:tabs>
      </w:pPr>
      <w:r>
        <w:t xml:space="preserve">This is perhaps outside the scope of the TMDL, but the persistent presence of elevated fecal bacteria at the mouth of Drayton Harbor cannot easily be ascribed to a source within the harbor. Since the WWTP conveyance line </w:t>
      </w:r>
      <w:r w:rsidR="000E100E">
        <w:t xml:space="preserve">as shown in Figure 11 </w:t>
      </w:r>
      <w:r w:rsidR="00C431A7">
        <w:t>coincides with this</w:t>
      </w:r>
      <w:r w:rsidR="000E100E">
        <w:t xml:space="preserve"> area of regularly elevated marine fecal bacteria</w:t>
      </w:r>
      <w:r w:rsidR="00C431A7">
        <w:t xml:space="preserve">, a concerted ongoing effort to ensure this conveyance line is </w:t>
      </w:r>
      <w:r w:rsidR="00366E96">
        <w:t xml:space="preserve">fully functional and does not leak would be beneficial to all the agencies, organizations, businesses, and individuals who are </w:t>
      </w:r>
      <w:r w:rsidR="000B78E6">
        <w:t xml:space="preserve">attempting to locate, identify, and correct sources throughout the remainder of the watershed. </w:t>
      </w:r>
      <w:r w:rsidR="00C431A7">
        <w:t xml:space="preserve"> </w:t>
      </w:r>
      <w:r w:rsidR="00155BAD">
        <w:t xml:space="preserve">Washington Department of Health Station 15 in this area has an estimated 90 </w:t>
      </w:r>
      <w:proofErr w:type="gramStart"/>
      <w:r w:rsidR="00155BAD">
        <w:t>percentile</w:t>
      </w:r>
      <w:proofErr w:type="gramEnd"/>
      <w:r w:rsidR="00155BAD">
        <w:t xml:space="preserve"> of </w:t>
      </w:r>
      <w:r w:rsidR="00532CF6">
        <w:t>126.2 while stations closer to the mouth of the two major freshwater</w:t>
      </w:r>
      <w:r w:rsidR="00FE1929">
        <w:t xml:space="preserve"> </w:t>
      </w:r>
      <w:r w:rsidR="00532CF6">
        <w:t xml:space="preserve">tributaries have values of 20.8 for Station 379 (near the mouth of California Creek) and </w:t>
      </w:r>
      <w:r w:rsidR="00FE1929">
        <w:t xml:space="preserve">19.2 for Station 378 (near the mouth of Dakota Creek).  </w:t>
      </w:r>
      <w:r w:rsidR="005C6CFC">
        <w:t>The</w:t>
      </w:r>
      <w:r w:rsidR="00FE1929">
        <w:t xml:space="preserve"> implementation plan </w:t>
      </w:r>
      <w:r w:rsidR="00B15BF3">
        <w:t>should specifically identify actions that could address the</w:t>
      </w:r>
      <w:r w:rsidR="00FA5054">
        <w:t xml:space="preserve"> potential </w:t>
      </w:r>
      <w:r w:rsidR="0002213F">
        <w:t xml:space="preserve">sources </w:t>
      </w:r>
      <w:r w:rsidR="00FA5054">
        <w:t xml:space="preserve">specific to </w:t>
      </w:r>
      <w:r w:rsidR="00076B6C">
        <w:t>Station 15</w:t>
      </w:r>
      <w:r w:rsidR="00B15BF3">
        <w:t xml:space="preserve"> and should</w:t>
      </w:r>
      <w:r w:rsidR="00FA5054">
        <w:t xml:space="preserve"> includ</w:t>
      </w:r>
      <w:r w:rsidR="00B15BF3">
        <w:t>e</w:t>
      </w:r>
      <w:r w:rsidR="00FA5054">
        <w:t xml:space="preserve"> </w:t>
      </w:r>
      <w:r w:rsidR="005C6CFC">
        <w:t xml:space="preserve">work to confirm the </w:t>
      </w:r>
      <w:r w:rsidR="00B15BF3">
        <w:t xml:space="preserve">integrity of </w:t>
      </w:r>
      <w:r w:rsidR="005C6CFC">
        <w:t>WWTP conveyance</w:t>
      </w:r>
      <w:r w:rsidR="00B15BF3">
        <w:t>.</w:t>
      </w:r>
      <w:r w:rsidR="005C6CFC">
        <w:t xml:space="preserve"> </w:t>
      </w:r>
      <w:r w:rsidR="00076B6C">
        <w:t xml:space="preserve"> </w:t>
      </w:r>
    </w:p>
    <w:p w14:paraId="1D9ECA65" w14:textId="0CCD38E4" w:rsidR="00B07246" w:rsidRDefault="00E536A2" w:rsidP="00B444CC">
      <w:pPr>
        <w:tabs>
          <w:tab w:val="left" w:pos="930"/>
        </w:tabs>
        <w:rPr>
          <w:b/>
          <w:bCs/>
          <w:u w:val="single"/>
        </w:rPr>
      </w:pPr>
      <w:r w:rsidRPr="00FF1BAE">
        <w:rPr>
          <w:b/>
          <w:bCs/>
          <w:u w:val="single"/>
        </w:rPr>
        <w:t>GENERAL COMMENTS</w:t>
      </w:r>
    </w:p>
    <w:p w14:paraId="5DF4838B" w14:textId="1E190213" w:rsidR="003D7546" w:rsidRPr="00FF1BAE" w:rsidRDefault="003D7546" w:rsidP="00B444CC">
      <w:pPr>
        <w:tabs>
          <w:tab w:val="left" w:pos="930"/>
        </w:tabs>
        <w:rPr>
          <w:b/>
          <w:bCs/>
          <w:u w:val="single"/>
        </w:rPr>
      </w:pPr>
      <w:r>
        <w:rPr>
          <w:b/>
          <w:bCs/>
          <w:u w:val="single"/>
        </w:rPr>
        <w:t xml:space="preserve">Below are some </w:t>
      </w:r>
      <w:r w:rsidR="00E363C4">
        <w:rPr>
          <w:b/>
          <w:bCs/>
          <w:u w:val="single"/>
        </w:rPr>
        <w:t xml:space="preserve">errors or </w:t>
      </w:r>
      <w:proofErr w:type="gramStart"/>
      <w:r w:rsidR="00E363C4">
        <w:rPr>
          <w:b/>
          <w:bCs/>
          <w:u w:val="single"/>
        </w:rPr>
        <w:t>noted</w:t>
      </w:r>
      <w:proofErr w:type="gramEnd"/>
      <w:r w:rsidR="00E363C4">
        <w:rPr>
          <w:b/>
          <w:bCs/>
          <w:u w:val="single"/>
        </w:rPr>
        <w:t xml:space="preserve"> in the document.</w:t>
      </w:r>
    </w:p>
    <w:p w14:paraId="47BCFDCF" w14:textId="63D3F37E" w:rsidR="00E536A2" w:rsidRDefault="00E536A2" w:rsidP="003D7546">
      <w:pPr>
        <w:pStyle w:val="ListParagraph"/>
        <w:numPr>
          <w:ilvl w:val="0"/>
          <w:numId w:val="1"/>
        </w:numPr>
        <w:tabs>
          <w:tab w:val="left" w:pos="930"/>
        </w:tabs>
      </w:pPr>
      <w:r>
        <w:t xml:space="preserve">Figure 1 appears to have an error in the figure description. </w:t>
      </w:r>
    </w:p>
    <w:p w14:paraId="542FBED1" w14:textId="2943825F" w:rsidR="00E536A2" w:rsidRDefault="0011780D" w:rsidP="003D7546">
      <w:pPr>
        <w:pStyle w:val="ListParagraph"/>
        <w:numPr>
          <w:ilvl w:val="0"/>
          <w:numId w:val="1"/>
        </w:numPr>
        <w:tabs>
          <w:tab w:val="left" w:pos="930"/>
        </w:tabs>
      </w:pPr>
      <w:r>
        <w:t xml:space="preserve">On Figures 1 and subsequent, </w:t>
      </w:r>
      <w:r w:rsidR="00E536A2">
        <w:t xml:space="preserve">The Urban Area </w:t>
      </w:r>
      <w:r w:rsidR="00905A03">
        <w:t>delineation</w:t>
      </w:r>
      <w:r w:rsidR="00C33ADE">
        <w:t xml:space="preserve">, </w:t>
      </w:r>
      <w:r w:rsidR="00905A03">
        <w:t>overlying the</w:t>
      </w:r>
      <w:r w:rsidR="00C33ADE">
        <w:t xml:space="preserve"> green hue used for the areas outside the Drayton TMDL study area, creates a challenging map </w:t>
      </w:r>
      <w:r w:rsidR="00D75AB3">
        <w:t xml:space="preserve">to read for anyone with color blindness, as the urban areas become </w:t>
      </w:r>
      <w:r w:rsidR="006F4A87">
        <w:t xml:space="preserve">a color not found in the </w:t>
      </w:r>
      <w:r>
        <w:t>L</w:t>
      </w:r>
      <w:r w:rsidR="00905A03">
        <w:t>e</w:t>
      </w:r>
      <w:r>
        <w:t>gend</w:t>
      </w:r>
      <w:r w:rsidR="00905A03">
        <w:t xml:space="preserve"> </w:t>
      </w:r>
      <w:r w:rsidR="000A0563">
        <w:t xml:space="preserve">and that looks essentially the same color as Marine Water found on Figure 2 </w:t>
      </w:r>
    </w:p>
    <w:p w14:paraId="2F9B9322" w14:textId="603613C3" w:rsidR="000A0563" w:rsidRDefault="000A0563" w:rsidP="003D7546">
      <w:pPr>
        <w:pStyle w:val="ListParagraph"/>
        <w:numPr>
          <w:ilvl w:val="0"/>
          <w:numId w:val="1"/>
        </w:numPr>
        <w:tabs>
          <w:tab w:val="left" w:pos="930"/>
        </w:tabs>
      </w:pPr>
      <w:r>
        <w:lastRenderedPageBreak/>
        <w:t xml:space="preserve">The boundary of the Drayton TMDL does not align with </w:t>
      </w:r>
      <w:r w:rsidR="00490473">
        <w:t>some sample locations, i.e. CA14C, CA14cTrib and CA14aa.</w:t>
      </w:r>
      <w:r w:rsidR="00E8681D">
        <w:t xml:space="preserve"> What is the definitive determination about whether a property is subject to this TMDL?</w:t>
      </w:r>
    </w:p>
    <w:p w14:paraId="26308145" w14:textId="77777777" w:rsidR="00804964" w:rsidRDefault="00537303" w:rsidP="003D7546">
      <w:pPr>
        <w:pStyle w:val="ListParagraph"/>
        <w:numPr>
          <w:ilvl w:val="0"/>
          <w:numId w:val="1"/>
        </w:numPr>
        <w:tabs>
          <w:tab w:val="left" w:pos="930"/>
        </w:tabs>
      </w:pPr>
      <w:r>
        <w:t>It was not clear to me what t</w:t>
      </w:r>
      <w:r w:rsidR="00634DFB">
        <w:t xml:space="preserve">he </w:t>
      </w:r>
      <w:r w:rsidR="009E3730">
        <w:t xml:space="preserve">repeated presence of the </w:t>
      </w:r>
      <w:r>
        <w:t>“</w:t>
      </w:r>
      <w:r w:rsidR="009E3730">
        <w:t>Marine</w:t>
      </w:r>
      <w:r>
        <w:t>”</w:t>
      </w:r>
      <w:r w:rsidR="009E3730">
        <w:t xml:space="preserve"> polygons </w:t>
      </w:r>
      <w:r w:rsidR="00E363C4">
        <w:t xml:space="preserve">representing 303d listings </w:t>
      </w:r>
      <w:r w:rsidR="009E3730">
        <w:t>throughout the document</w:t>
      </w:r>
      <w:r w:rsidR="00E363C4">
        <w:t>’s figures</w:t>
      </w:r>
      <w:r w:rsidR="009E3730">
        <w:t xml:space="preserve"> </w:t>
      </w:r>
      <w:r w:rsidR="00E363C4">
        <w:t>are intended to convey</w:t>
      </w:r>
      <w:r w:rsidR="00896085">
        <w:t xml:space="preserve"> </w:t>
      </w:r>
      <w:r w:rsidR="00804964">
        <w:t>on the maps. I was also not clear what</w:t>
      </w:r>
      <w:r w:rsidR="00896085">
        <w:t xml:space="preserve"> data they are based upon</w:t>
      </w:r>
      <w:r w:rsidR="00804964">
        <w:t xml:space="preserve">. </w:t>
      </w:r>
      <w:proofErr w:type="gramStart"/>
      <w:r w:rsidR="00804964">
        <w:t>In particular, they</w:t>
      </w:r>
      <w:proofErr w:type="gramEnd"/>
      <w:r w:rsidR="00804964">
        <w:t xml:space="preserve"> are </w:t>
      </w:r>
      <w:proofErr w:type="gramStart"/>
      <w:r w:rsidR="00804964">
        <w:t>confusing</w:t>
      </w:r>
      <w:proofErr w:type="gramEnd"/>
      <w:r w:rsidR="00804964">
        <w:t xml:space="preserve"> </w:t>
      </w:r>
      <w:proofErr w:type="gramStart"/>
      <w:r w:rsidR="00E16B63">
        <w:t>on</w:t>
      </w:r>
      <w:proofErr w:type="gramEnd"/>
      <w:r w:rsidR="00E16B63">
        <w:t xml:space="preserve"> </w:t>
      </w:r>
      <w:r w:rsidR="00896085">
        <w:t>the figures</w:t>
      </w:r>
      <w:r w:rsidR="00E16B63">
        <w:t xml:space="preserve"> </w:t>
      </w:r>
      <w:r w:rsidR="00896085">
        <w:t>labeled as</w:t>
      </w:r>
      <w:r w:rsidR="00E16B63">
        <w:t xml:space="preserve"> show</w:t>
      </w:r>
      <w:r w:rsidR="00896085">
        <w:t>ing</w:t>
      </w:r>
      <w:r w:rsidR="00E16B63">
        <w:t xml:space="preserve"> target reductions (Figures </w:t>
      </w:r>
      <w:r w:rsidR="00C759A8">
        <w:t>3-</w:t>
      </w:r>
      <w:r w:rsidR="0063013F">
        <w:t>6</w:t>
      </w:r>
      <w:r w:rsidR="00C759A8">
        <w:t>).</w:t>
      </w:r>
      <w:r w:rsidR="00896085">
        <w:t xml:space="preserve"> </w:t>
      </w:r>
      <w:r w:rsidR="0080084A">
        <w:t>T</w:t>
      </w:r>
      <w:r w:rsidR="00C759A8">
        <w:t xml:space="preserve">hese </w:t>
      </w:r>
      <w:r w:rsidR="0080084A">
        <w:t xml:space="preserve">figures </w:t>
      </w:r>
      <w:r w:rsidR="00F57BFB">
        <w:t>are labeled as sh</w:t>
      </w:r>
      <w:r w:rsidR="00C759A8">
        <w:t>ow</w:t>
      </w:r>
      <w:r w:rsidR="00F57BFB">
        <w:t>ing</w:t>
      </w:r>
      <w:r w:rsidR="00C759A8">
        <w:t xml:space="preserve"> </w:t>
      </w:r>
      <w:r w:rsidR="00F57BFB">
        <w:t xml:space="preserve">the </w:t>
      </w:r>
      <w:r w:rsidR="00C759A8">
        <w:t xml:space="preserve">percent reduction necessary to obtain </w:t>
      </w:r>
      <w:r w:rsidR="00A63E8F">
        <w:t>TMDL ta</w:t>
      </w:r>
      <w:r w:rsidR="00F26C7E">
        <w:t>r</w:t>
      </w:r>
      <w:r w:rsidR="00A63E8F">
        <w:t>gets based upon the mathematical models used</w:t>
      </w:r>
      <w:r w:rsidR="00F57BFB">
        <w:t xml:space="preserve"> in the TMDL</w:t>
      </w:r>
      <w:r w:rsidR="00A63E8F">
        <w:t>, but the marine polygons consistently stay the same color</w:t>
      </w:r>
      <w:r w:rsidR="0080084A">
        <w:t xml:space="preserve"> and</w:t>
      </w:r>
      <w:r w:rsidR="00A63E8F">
        <w:t xml:space="preserve"> have no reduction targets</w:t>
      </w:r>
      <w:r w:rsidR="0080084A">
        <w:t xml:space="preserve">. </w:t>
      </w:r>
    </w:p>
    <w:p w14:paraId="48E8D74D" w14:textId="6B0BC303" w:rsidR="00634DFB" w:rsidRDefault="00804964" w:rsidP="00161650">
      <w:pPr>
        <w:pStyle w:val="ListParagraph"/>
        <w:tabs>
          <w:tab w:val="left" w:pos="930"/>
        </w:tabs>
      </w:pPr>
      <w:r>
        <w:t xml:space="preserve">Adding clarifying language as early as Figure </w:t>
      </w:r>
      <w:proofErr w:type="gramStart"/>
      <w:r>
        <w:t>1 which</w:t>
      </w:r>
      <w:proofErr w:type="gramEnd"/>
      <w:r>
        <w:t xml:space="preserve"> includes </w:t>
      </w:r>
      <w:proofErr w:type="gramStart"/>
      <w:r>
        <w:t>these</w:t>
      </w:r>
      <w:proofErr w:type="gramEnd"/>
      <w:r>
        <w:t xml:space="preserve"> would be helpful,</w:t>
      </w:r>
      <w:r w:rsidR="0098677D">
        <w:t xml:space="preserve"> </w:t>
      </w:r>
      <w:r>
        <w:t xml:space="preserve">particularly if it </w:t>
      </w:r>
      <w:r w:rsidR="003F5179">
        <w:t>links readers to the underlying data. I may have missed it within the overall document</w:t>
      </w:r>
      <w:r w:rsidR="0098677D">
        <w:t xml:space="preserve"> as I did not review the appendices, but a</w:t>
      </w:r>
      <w:r w:rsidR="00074859">
        <w:t xml:space="preserve"> clear explanation of </w:t>
      </w:r>
      <w:r w:rsidR="00AE5AC6">
        <w:t>the marine polygons</w:t>
      </w:r>
      <w:r w:rsidR="004A4148">
        <w:t xml:space="preserve"> and their </w:t>
      </w:r>
      <w:r w:rsidR="000F0AA3">
        <w:t>delineation</w:t>
      </w:r>
      <w:r w:rsidR="004A4148">
        <w:t xml:space="preserve"> a</w:t>
      </w:r>
      <w:r w:rsidR="0098677D">
        <w:t xml:space="preserve">s well as their </w:t>
      </w:r>
      <w:r w:rsidR="004A4148">
        <w:t>relationship to State Health Department commercial shellfish ar</w:t>
      </w:r>
      <w:r w:rsidR="001F2603">
        <w:t>e</w:t>
      </w:r>
      <w:r w:rsidR="004A4148">
        <w:t>a monitorin</w:t>
      </w:r>
      <w:r w:rsidR="0098677D">
        <w:t>g data</w:t>
      </w:r>
      <w:r w:rsidR="00AE5AC6">
        <w:t xml:space="preserve">, their relationship to the </w:t>
      </w:r>
      <w:r w:rsidR="00AA2BFD">
        <w:t>freshwater assessment units</w:t>
      </w:r>
      <w:r w:rsidR="00C43250">
        <w:t xml:space="preserve">, </w:t>
      </w:r>
      <w:r w:rsidR="001F2603">
        <w:t xml:space="preserve">and the reductions necessary to attain </w:t>
      </w:r>
      <w:r w:rsidR="000F0AA3">
        <w:t>a Category 1 assessment status</w:t>
      </w:r>
      <w:r w:rsidR="0098677D">
        <w:t>, would help contextualize them within the document</w:t>
      </w:r>
      <w:r w:rsidR="000F0AA3">
        <w:t>.</w:t>
      </w:r>
    </w:p>
    <w:p w14:paraId="3AB1C098" w14:textId="74581BDA" w:rsidR="00F26C7E" w:rsidRDefault="00760E22" w:rsidP="003D7546">
      <w:pPr>
        <w:pStyle w:val="ListParagraph"/>
        <w:numPr>
          <w:ilvl w:val="0"/>
          <w:numId w:val="1"/>
        </w:numPr>
        <w:tabs>
          <w:tab w:val="left" w:pos="930"/>
        </w:tabs>
      </w:pPr>
      <w:r>
        <w:t>Page 60 has a typo: “…w</w:t>
      </w:r>
      <w:r w:rsidRPr="00760E22">
        <w:t>here each organization that makes up the WCWP operates within the</w:t>
      </w:r>
      <w:r w:rsidRPr="003D7546">
        <w:rPr>
          <w:color w:val="EE0000"/>
          <w:highlight w:val="yellow"/>
        </w:rPr>
        <w:t>ir</w:t>
      </w:r>
      <w:r w:rsidRPr="00760E22">
        <w:t xml:space="preserve"> respective authority and expertise.</w:t>
      </w:r>
      <w:r>
        <w:t>”</w:t>
      </w:r>
    </w:p>
    <w:p w14:paraId="5269E048" w14:textId="2FF54235" w:rsidR="00F26C7E" w:rsidRDefault="00B823F4" w:rsidP="003D7546">
      <w:pPr>
        <w:pStyle w:val="ListParagraph"/>
        <w:numPr>
          <w:ilvl w:val="0"/>
          <w:numId w:val="1"/>
        </w:numPr>
        <w:tabs>
          <w:tab w:val="left" w:pos="930"/>
        </w:tabs>
      </w:pPr>
      <w:r>
        <w:t>In Nonpoint Source of</w:t>
      </w:r>
      <w:r w:rsidR="00F1081E">
        <w:t xml:space="preserve"> </w:t>
      </w:r>
      <w:r>
        <w:t>Pollution, p</w:t>
      </w:r>
      <w:r w:rsidR="00537303">
        <w:t>age</w:t>
      </w:r>
      <w:r>
        <w:t xml:space="preserve"> 80, </w:t>
      </w:r>
      <w:r w:rsidR="00F1081E">
        <w:t xml:space="preserve">“Urban and Suburban” human development is listed as potential sources. With most of the </w:t>
      </w:r>
      <w:r w:rsidR="00720659">
        <w:t xml:space="preserve">development in the watershed outside of MS4 areas being rural, this does not appear to be an accurate label. </w:t>
      </w:r>
      <w:r w:rsidR="00BA76E3">
        <w:t>Perhaps “Residential and Commercial”?</w:t>
      </w:r>
    </w:p>
    <w:p w14:paraId="4ED04701" w14:textId="6834B236" w:rsidR="00BA76E3" w:rsidRPr="00F82D8A" w:rsidRDefault="00FF1BAE" w:rsidP="003D7546">
      <w:pPr>
        <w:pStyle w:val="ListParagraph"/>
        <w:numPr>
          <w:ilvl w:val="0"/>
          <w:numId w:val="1"/>
        </w:numPr>
        <w:tabs>
          <w:tab w:val="left" w:pos="930"/>
        </w:tabs>
      </w:pPr>
      <w:r w:rsidRPr="00F82D8A">
        <w:t xml:space="preserve">In </w:t>
      </w:r>
      <w:r w:rsidRPr="00F82D8A">
        <w:t>Ecology’s Clean Water Guidance for Agriculture</w:t>
      </w:r>
      <w:r w:rsidRPr="00F82D8A">
        <w:t xml:space="preserve">, page 87: </w:t>
      </w:r>
      <w:r w:rsidR="00F82D8A" w:rsidRPr="00F82D8A">
        <w:t>Add a space to “</w:t>
      </w:r>
      <w:r w:rsidR="00F82D8A" w:rsidRPr="00F82D8A">
        <w:t xml:space="preserve">By transparently sharing this information and research, landowners are empowered to take action to protect water quality, be </w:t>
      </w:r>
      <w:r w:rsidR="00F82D8A" w:rsidRPr="003D7546">
        <w:rPr>
          <w:highlight w:val="yellow"/>
        </w:rPr>
        <w:t>in</w:t>
      </w:r>
      <w:r w:rsidR="00D802ED">
        <w:rPr>
          <w:highlight w:val="yellow"/>
        </w:rPr>
        <w:t xml:space="preserve"> [ add space] </w:t>
      </w:r>
      <w:r w:rsidR="00F82D8A" w:rsidRPr="003D7546">
        <w:rPr>
          <w:highlight w:val="yellow"/>
        </w:rPr>
        <w:t>compliance</w:t>
      </w:r>
      <w:r w:rsidR="00F82D8A" w:rsidRPr="00F82D8A">
        <w:t xml:space="preserve"> with state </w:t>
      </w:r>
      <w:proofErr w:type="gramStart"/>
      <w:r w:rsidR="00F82D8A" w:rsidRPr="00F82D8A">
        <w:t>law, and</w:t>
      </w:r>
      <w:proofErr w:type="gramEnd"/>
      <w:r w:rsidR="00F82D8A" w:rsidRPr="00F82D8A">
        <w:t xml:space="preserve"> avoid potential regulatory action from Ecology.</w:t>
      </w:r>
    </w:p>
    <w:p w14:paraId="5FED5C7D" w14:textId="1A28E2CB" w:rsidR="00EA4D1E" w:rsidRDefault="00EA4D1E" w:rsidP="003D7546">
      <w:pPr>
        <w:pStyle w:val="ListParagraph"/>
        <w:numPr>
          <w:ilvl w:val="0"/>
          <w:numId w:val="1"/>
        </w:numPr>
        <w:tabs>
          <w:tab w:val="left" w:pos="930"/>
        </w:tabs>
      </w:pPr>
      <w:r w:rsidRPr="00EA4D1E">
        <w:t xml:space="preserve">In </w:t>
      </w:r>
      <w:r w:rsidRPr="00EA4D1E">
        <w:t>Dairy Operations with Nutrient Management Plans</w:t>
      </w:r>
      <w:r>
        <w:t>, page 87</w:t>
      </w:r>
      <w:r w:rsidRPr="00EA4D1E">
        <w:t>,</w:t>
      </w:r>
      <w:r>
        <w:t xml:space="preserve"> correct “</w:t>
      </w:r>
      <w:r w:rsidRPr="00EA4D1E">
        <w:t xml:space="preserve">The WSDA administers this program where </w:t>
      </w:r>
      <w:r w:rsidRPr="003D7546">
        <w:rPr>
          <w:highlight w:val="yellow"/>
        </w:rPr>
        <w:t xml:space="preserve">one </w:t>
      </w:r>
      <w:r w:rsidRPr="003D7546">
        <w:rPr>
          <w:strike/>
          <w:highlight w:val="yellow"/>
        </w:rPr>
        <w:t>the</w:t>
      </w:r>
      <w:r w:rsidRPr="00EA4D1E">
        <w:t xml:space="preserve"> many components address water quality protection—see Regulatory Framework section for details.</w:t>
      </w:r>
    </w:p>
    <w:p w14:paraId="029042AC" w14:textId="7BB1240F" w:rsidR="00DE5E5E" w:rsidRDefault="00DE5E5E" w:rsidP="003D7546">
      <w:pPr>
        <w:pStyle w:val="ListParagraph"/>
        <w:numPr>
          <w:ilvl w:val="0"/>
          <w:numId w:val="1"/>
        </w:numPr>
        <w:tabs>
          <w:tab w:val="left" w:pos="930"/>
        </w:tabs>
      </w:pPr>
      <w:r>
        <w:t xml:space="preserve">There is </w:t>
      </w:r>
      <w:r w:rsidR="00666FF6">
        <w:t>no requirement in the law t</w:t>
      </w:r>
      <w:r w:rsidR="0098677D">
        <w:t>o</w:t>
      </w:r>
      <w:r w:rsidR="00666FF6">
        <w:t xml:space="preserve"> “</w:t>
      </w:r>
      <w:r w:rsidR="00DE51B1">
        <w:t>[</w:t>
      </w:r>
      <w:r w:rsidR="00666FF6" w:rsidRPr="00666FF6">
        <w:t>E</w:t>
      </w:r>
      <w:r w:rsidR="00DE51B1">
        <w:t>]</w:t>
      </w:r>
      <w:proofErr w:type="spellStart"/>
      <w:r w:rsidR="00666FF6" w:rsidRPr="00666FF6">
        <w:t>nsure</w:t>
      </w:r>
      <w:proofErr w:type="spellEnd"/>
      <w:r w:rsidR="00DE51B1">
        <w:t>[s]</w:t>
      </w:r>
      <w:r w:rsidR="00666FF6" w:rsidRPr="00666FF6">
        <w:t xml:space="preserve"> dairy nutrient management plans are </w:t>
      </w:r>
      <w:proofErr w:type="gramStart"/>
      <w:r w:rsidR="00666FF6" w:rsidRPr="00666FF6">
        <w:t>up-to-date</w:t>
      </w:r>
      <w:proofErr w:type="gramEnd"/>
      <w:r w:rsidR="00DE51B1">
        <w:t>”</w:t>
      </w:r>
      <w:r w:rsidR="00651874">
        <w:t xml:space="preserve"> (p 87)</w:t>
      </w:r>
      <w:r w:rsidR="00DE51B1">
        <w:t xml:space="preserve"> nor is there state funding provided to </w:t>
      </w:r>
      <w:r w:rsidR="00AF3340">
        <w:t xml:space="preserve">local </w:t>
      </w:r>
      <w:r w:rsidR="00DE51B1">
        <w:t>Conservation Districts to do this work. Plan updates are recommended when changes occur and can be mandate</w:t>
      </w:r>
      <w:r w:rsidR="00AF3340">
        <w:t>d</w:t>
      </w:r>
      <w:r w:rsidR="00DE51B1">
        <w:t xml:space="preserve"> if a discharge occurs and the lack of adequate planning was indicated.</w:t>
      </w:r>
    </w:p>
    <w:p w14:paraId="74D245A7" w14:textId="562830A7" w:rsidR="00651874" w:rsidRDefault="00651874" w:rsidP="003D7546">
      <w:pPr>
        <w:pStyle w:val="ListParagraph"/>
        <w:numPr>
          <w:ilvl w:val="0"/>
          <w:numId w:val="1"/>
        </w:numPr>
        <w:tabs>
          <w:tab w:val="left" w:pos="930"/>
        </w:tabs>
      </w:pPr>
      <w:r>
        <w:t xml:space="preserve">The updated heat map for </w:t>
      </w:r>
      <w:r w:rsidR="00E151CF">
        <w:t xml:space="preserve">“Suspected onsite sewage systems” </w:t>
      </w:r>
      <w:r w:rsidR="00B864B1">
        <w:t>(Figure 15, p</w:t>
      </w:r>
      <w:r w:rsidR="00D802ED">
        <w:t>a</w:t>
      </w:r>
      <w:r w:rsidR="00B864B1">
        <w:t>g</w:t>
      </w:r>
      <w:r w:rsidR="00D802ED">
        <w:t>e</w:t>
      </w:r>
      <w:r w:rsidR="00B864B1">
        <w:t xml:space="preserve"> 91) </w:t>
      </w:r>
      <w:r w:rsidR="00E151CF">
        <w:t xml:space="preserve">is harder to interpret that </w:t>
      </w:r>
      <w:r w:rsidR="00AF3340">
        <w:t>an</w:t>
      </w:r>
      <w:r w:rsidR="00E151CF">
        <w:t xml:space="preserve"> </w:t>
      </w:r>
      <w:r w:rsidR="00AF3340">
        <w:t>earlier version. Inclusion of th</w:t>
      </w:r>
      <w:r w:rsidR="00926324">
        <w:t xml:space="preserve">e </w:t>
      </w:r>
      <w:proofErr w:type="gramStart"/>
      <w:r w:rsidR="00926324">
        <w:t>dry-season</w:t>
      </w:r>
      <w:proofErr w:type="gramEnd"/>
      <w:r w:rsidR="00926324">
        <w:t xml:space="preserve"> </w:t>
      </w:r>
      <w:r w:rsidR="003F1442">
        <w:t xml:space="preserve">target reductions are not clearly visible and largely blend into the heat map of OSS density. I suggest </w:t>
      </w:r>
      <w:r w:rsidR="00582A5F">
        <w:t xml:space="preserve">changes </w:t>
      </w:r>
      <w:proofErr w:type="gramStart"/>
      <w:r w:rsidR="00AF3340">
        <w:t xml:space="preserve">to </w:t>
      </w:r>
      <w:r w:rsidR="00582A5F">
        <w:t>the symbology</w:t>
      </w:r>
      <w:proofErr w:type="gramEnd"/>
      <w:r w:rsidR="00582A5F">
        <w:t xml:space="preserve"> </w:t>
      </w:r>
      <w:r w:rsidR="00B864B1">
        <w:t>and adding this feature to the legend</w:t>
      </w:r>
      <w:r w:rsidR="00E151CF">
        <w:t>.</w:t>
      </w:r>
      <w:r w:rsidR="00EE31F4">
        <w:t xml:space="preserve"> It also seems more accurate to label</w:t>
      </w:r>
      <w:r w:rsidR="00B864B1">
        <w:t xml:space="preserve"> this figure</w:t>
      </w:r>
      <w:r w:rsidR="00EE31F4">
        <w:t xml:space="preserve"> “Known and suspected.” </w:t>
      </w:r>
    </w:p>
    <w:p w14:paraId="5A8E453B" w14:textId="678CF5C0" w:rsidR="00BA297A" w:rsidRDefault="00AF632D" w:rsidP="00EF4F67">
      <w:pPr>
        <w:pStyle w:val="ListParagraph"/>
        <w:numPr>
          <w:ilvl w:val="0"/>
          <w:numId w:val="1"/>
        </w:numPr>
        <w:tabs>
          <w:tab w:val="left" w:pos="930"/>
        </w:tabs>
      </w:pPr>
      <w:r>
        <w:t>I d</w:t>
      </w:r>
      <w:r w:rsidR="00651874">
        <w:t>o</w:t>
      </w:r>
      <w:r>
        <w:t xml:space="preserve"> not note any recommendation </w:t>
      </w:r>
      <w:r w:rsidR="006A4E6A">
        <w:t xml:space="preserve">for </w:t>
      </w:r>
      <w:r w:rsidR="0009085A">
        <w:t>Ecology, P</w:t>
      </w:r>
      <w:r w:rsidR="006A4E6A">
        <w:t xml:space="preserve">ort, DNR or other </w:t>
      </w:r>
      <w:r w:rsidR="0009085A">
        <w:t xml:space="preserve">relevant </w:t>
      </w:r>
      <w:r w:rsidR="006A4E6A">
        <w:t xml:space="preserve">agency </w:t>
      </w:r>
      <w:r w:rsidR="0009085A">
        <w:t xml:space="preserve">to conduct routine </w:t>
      </w:r>
      <w:r w:rsidR="006A4E6A">
        <w:t xml:space="preserve">outreach to Drayton Harbor boat users that might arrive from </w:t>
      </w:r>
      <w:r w:rsidR="00510A38">
        <w:t>Canada and be completely unaware of no discharge requirements.</w:t>
      </w:r>
      <w:r w:rsidR="000A636E">
        <w:t xml:space="preserve"> Ensuring that every vessel that enters the harbor is aware of this requirement</w:t>
      </w:r>
      <w:r w:rsidR="0009085A">
        <w:t xml:space="preserve"> seems like a useful action to limit human </w:t>
      </w:r>
      <w:r w:rsidR="006F79C9">
        <w:t>sewage</w:t>
      </w:r>
      <w:r w:rsidR="0009085A">
        <w:t xml:space="preserve"> disposal directly into Drayton Harbor. An even better action would be a</w:t>
      </w:r>
      <w:r w:rsidR="00E77B6C">
        <w:t xml:space="preserve"> mandate</w:t>
      </w:r>
      <w:r w:rsidR="0009085A">
        <w:t>, either in state or local codes, that</w:t>
      </w:r>
      <w:r w:rsidR="00E77B6C">
        <w:t xml:space="preserve"> dye be added to </w:t>
      </w:r>
      <w:r w:rsidR="00401D3B">
        <w:t>blackwater tanks in all vessels that mo</w:t>
      </w:r>
      <w:r w:rsidR="0009085A">
        <w:t>o</w:t>
      </w:r>
      <w:r w:rsidR="00401D3B">
        <w:t>r within the boundaries of the harbor.</w:t>
      </w:r>
    </w:p>
    <w:sectPr w:rsidR="00BA297A" w:rsidSect="0070597A">
      <w:headerReference w:type="default" r:id="rId12"/>
      <w:headerReference w:type="first" r:id="rId13"/>
      <w:pgSz w:w="12240" w:h="15840"/>
      <w:pgMar w:top="1440" w:right="1440" w:bottom="1260" w:left="1440" w:header="27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D3E4C" w14:textId="77777777" w:rsidR="00C43B75" w:rsidRDefault="00C43B75" w:rsidP="002453F0">
      <w:pPr>
        <w:spacing w:after="0" w:line="240" w:lineRule="auto"/>
      </w:pPr>
      <w:r>
        <w:separator/>
      </w:r>
    </w:p>
  </w:endnote>
  <w:endnote w:type="continuationSeparator" w:id="0">
    <w:p w14:paraId="198E6F42" w14:textId="77777777" w:rsidR="00C43B75" w:rsidRDefault="00C43B75" w:rsidP="002453F0">
      <w:pPr>
        <w:spacing w:after="0" w:line="240" w:lineRule="auto"/>
      </w:pPr>
      <w:r>
        <w:continuationSeparator/>
      </w:r>
    </w:p>
  </w:endnote>
  <w:endnote w:type="continuationNotice" w:id="1">
    <w:p w14:paraId="59AA119A" w14:textId="77777777" w:rsidR="00C43B75" w:rsidRDefault="00C43B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4B4E8" w14:textId="77777777" w:rsidR="00C43B75" w:rsidRDefault="00C43B75" w:rsidP="002453F0">
      <w:pPr>
        <w:spacing w:after="0" w:line="240" w:lineRule="auto"/>
      </w:pPr>
      <w:r>
        <w:separator/>
      </w:r>
    </w:p>
  </w:footnote>
  <w:footnote w:type="continuationSeparator" w:id="0">
    <w:p w14:paraId="0FD65323" w14:textId="77777777" w:rsidR="00C43B75" w:rsidRDefault="00C43B75" w:rsidP="002453F0">
      <w:pPr>
        <w:spacing w:after="0" w:line="240" w:lineRule="auto"/>
      </w:pPr>
      <w:r>
        <w:continuationSeparator/>
      </w:r>
    </w:p>
  </w:footnote>
  <w:footnote w:type="continuationNotice" w:id="1">
    <w:p w14:paraId="31022AC3" w14:textId="77777777" w:rsidR="00C43B75" w:rsidRDefault="00C43B75">
      <w:pPr>
        <w:spacing w:after="0" w:line="240" w:lineRule="auto"/>
      </w:pPr>
    </w:p>
  </w:footnote>
  <w:footnote w:id="2">
    <w:p w14:paraId="121CF192" w14:textId="3761CFFD" w:rsidR="00E1551A" w:rsidRDefault="00E1551A">
      <w:pPr>
        <w:pStyle w:val="FootnoteText"/>
      </w:pPr>
      <w:r>
        <w:rPr>
          <w:rStyle w:val="FootnoteReference"/>
        </w:rPr>
        <w:footnoteRef/>
      </w:r>
      <w:r>
        <w:t xml:space="preserve"> </w:t>
      </w:r>
      <w:r w:rsidR="008E67BA">
        <w:t xml:space="preserve">The 3 acres is based upon a </w:t>
      </w:r>
      <w:proofErr w:type="gramStart"/>
      <w:r w:rsidR="008E67BA">
        <w:t>five foot wide</w:t>
      </w:r>
      <w:proofErr w:type="gramEnd"/>
      <w:r w:rsidR="008E67BA">
        <w:t xml:space="preserve"> stream </w:t>
      </w:r>
      <w:r>
        <w:t xml:space="preserve">along the property boundary of a square 40-acre parcel </w:t>
      </w:r>
      <w:r w:rsidR="00844A2C">
        <w:t xml:space="preserve">using a core zone of 80 feet plus </w:t>
      </w:r>
      <w:proofErr w:type="gramStart"/>
      <w:r w:rsidR="00844A2C">
        <w:t>25 foot</w:t>
      </w:r>
      <w:proofErr w:type="gramEnd"/>
      <w:r w:rsidR="00844A2C">
        <w:t xml:space="preserve"> filter strip</w:t>
      </w:r>
      <w:r w:rsidR="001F47B7">
        <w:t>, not the default 215 feet recommendation</w:t>
      </w:r>
      <w:r w:rsidR="00204160">
        <w:t>. The default would remove 6.5 acres</w:t>
      </w:r>
      <w:proofErr w:type="gramStart"/>
      <w:r w:rsidR="00204160">
        <w:t xml:space="preserve">. </w:t>
      </w:r>
      <w:r>
        <w:t>.</w:t>
      </w:r>
      <w:proofErr w:type="gramEnd"/>
      <w:r>
        <w:t xml:space="preserve"> A stream that bisects </w:t>
      </w:r>
      <w:r w:rsidR="00F733FA">
        <w:t>this same parcel could remove 13 acres, or a third, of the parcel’s acreage</w:t>
      </w:r>
      <w:r w:rsidR="00204160">
        <w:t xml:space="preserve"> using the default recommendation</w:t>
      </w:r>
      <w:r w:rsidR="00F733FA">
        <w:t xml:space="preserve">. A parcel with more than one waterway could have an even greater proportion of the site impacted and devalued as an agricultural property.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77752" w14:textId="2F2AF86E" w:rsidR="002453F0" w:rsidRDefault="00607A74" w:rsidP="00607A74">
    <w:pPr>
      <w:pStyle w:val="Header"/>
    </w:pPr>
    <w:r>
      <w:t>WSDA NMTS</w:t>
    </w:r>
    <w:r w:rsidR="00734F72">
      <w:tab/>
    </w:r>
    <w:r w:rsidR="00734F72">
      <w:tab/>
    </w:r>
    <w:r w:rsidR="0098677D">
      <w:t>Drayton TMDL comments</w:t>
    </w:r>
  </w:p>
  <w:p w14:paraId="34348865" w14:textId="6AB1B491" w:rsidR="00607A74" w:rsidRDefault="0094036E" w:rsidP="00607A74">
    <w:pPr>
      <w:pStyle w:val="Header"/>
    </w:pPr>
    <w:r>
      <w:t>September 2025</w:t>
    </w:r>
    <w:r w:rsidR="0098677D">
      <w:tab/>
    </w:r>
    <w:r w:rsidR="0098677D">
      <w:tab/>
    </w:r>
    <w:r w:rsidR="0098677D">
      <w:t xml:space="preserve">Page </w:t>
    </w:r>
    <w:r w:rsidR="0098677D">
      <w:fldChar w:fldCharType="begin"/>
    </w:r>
    <w:r w:rsidR="0098677D">
      <w:instrText xml:space="preserve"> PAGE   \* MERGEFORMAT </w:instrText>
    </w:r>
    <w:r w:rsidR="0098677D">
      <w:fldChar w:fldCharType="separate"/>
    </w:r>
    <w:r w:rsidR="0098677D">
      <w:t>4</w:t>
    </w:r>
    <w:r w:rsidR="0098677D">
      <w:fldChar w:fldCharType="end"/>
    </w:r>
    <w:r w:rsidR="0098677D">
      <w:t xml:space="preserve"> of </w:t>
    </w:r>
    <w:r w:rsidR="0098677D">
      <w:fldChar w:fldCharType="begin"/>
    </w:r>
    <w:r w:rsidR="0098677D">
      <w:instrText xml:space="preserve"> NUMPAGES   \* MERGEFORMAT </w:instrText>
    </w:r>
    <w:r w:rsidR="0098677D">
      <w:fldChar w:fldCharType="separate"/>
    </w:r>
    <w:r w:rsidR="0098677D">
      <w:t>5</w:t>
    </w:r>
    <w:r w:rsidR="0098677D">
      <w:fldChar w:fldCharType="end"/>
    </w:r>
  </w:p>
  <w:p w14:paraId="303982E5" w14:textId="77777777" w:rsidR="002453F0" w:rsidRDefault="002453F0" w:rsidP="002453F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9762C" w14:textId="78BF78E8" w:rsidR="00B07246" w:rsidRDefault="00B07246" w:rsidP="00B07246">
    <w:pPr>
      <w:pStyle w:val="Header"/>
      <w:jc w:val="center"/>
    </w:pPr>
    <w:r>
      <w:rPr>
        <w:noProof/>
      </w:rPr>
      <w:drawing>
        <wp:inline distT="0" distB="0" distL="0" distR="0" wp14:anchorId="648E646D" wp14:editId="328F0D87">
          <wp:extent cx="3173506" cy="1335236"/>
          <wp:effectExtent l="0" t="0" r="8255" b="0"/>
          <wp:docPr id="131470214" name="Picture 131470214" descr="Text,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175506" cy="133607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2533CF"/>
    <w:multiLevelType w:val="hybridMultilevel"/>
    <w:tmpl w:val="8FB6B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7970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3F0"/>
    <w:rsid w:val="00002222"/>
    <w:rsid w:val="00012CC9"/>
    <w:rsid w:val="00017B64"/>
    <w:rsid w:val="00020B2C"/>
    <w:rsid w:val="0002213F"/>
    <w:rsid w:val="0002633A"/>
    <w:rsid w:val="00050332"/>
    <w:rsid w:val="00074859"/>
    <w:rsid w:val="00076B6C"/>
    <w:rsid w:val="0009085A"/>
    <w:rsid w:val="000A0563"/>
    <w:rsid w:val="000A636E"/>
    <w:rsid w:val="000B3D89"/>
    <w:rsid w:val="000B78E6"/>
    <w:rsid w:val="000D3B1E"/>
    <w:rsid w:val="000E100E"/>
    <w:rsid w:val="000E61E0"/>
    <w:rsid w:val="000F0AA3"/>
    <w:rsid w:val="00105D14"/>
    <w:rsid w:val="001135AF"/>
    <w:rsid w:val="00116E81"/>
    <w:rsid w:val="00117324"/>
    <w:rsid w:val="001173D1"/>
    <w:rsid w:val="0011780D"/>
    <w:rsid w:val="00120848"/>
    <w:rsid w:val="00132153"/>
    <w:rsid w:val="00144F8E"/>
    <w:rsid w:val="00155BAD"/>
    <w:rsid w:val="00160EA9"/>
    <w:rsid w:val="00161650"/>
    <w:rsid w:val="0017612F"/>
    <w:rsid w:val="0018145D"/>
    <w:rsid w:val="00181DD3"/>
    <w:rsid w:val="00190A6B"/>
    <w:rsid w:val="001947A5"/>
    <w:rsid w:val="001A73B0"/>
    <w:rsid w:val="001A779E"/>
    <w:rsid w:val="001B01D5"/>
    <w:rsid w:val="001B406D"/>
    <w:rsid w:val="001B47FE"/>
    <w:rsid w:val="001D157A"/>
    <w:rsid w:val="001D7008"/>
    <w:rsid w:val="001D7B37"/>
    <w:rsid w:val="001F2603"/>
    <w:rsid w:val="001F47B7"/>
    <w:rsid w:val="00200EE9"/>
    <w:rsid w:val="002040C6"/>
    <w:rsid w:val="00204160"/>
    <w:rsid w:val="002162BB"/>
    <w:rsid w:val="0021725B"/>
    <w:rsid w:val="002346BC"/>
    <w:rsid w:val="002453F0"/>
    <w:rsid w:val="002629BE"/>
    <w:rsid w:val="00270241"/>
    <w:rsid w:val="00271866"/>
    <w:rsid w:val="00285F90"/>
    <w:rsid w:val="002A1ADC"/>
    <w:rsid w:val="002A76E2"/>
    <w:rsid w:val="002C364F"/>
    <w:rsid w:val="002C4E36"/>
    <w:rsid w:val="002E0AF7"/>
    <w:rsid w:val="002E432C"/>
    <w:rsid w:val="002E6A24"/>
    <w:rsid w:val="002F169F"/>
    <w:rsid w:val="00307C70"/>
    <w:rsid w:val="003230D5"/>
    <w:rsid w:val="00354F69"/>
    <w:rsid w:val="00366E96"/>
    <w:rsid w:val="00395363"/>
    <w:rsid w:val="00397354"/>
    <w:rsid w:val="003D0565"/>
    <w:rsid w:val="003D7546"/>
    <w:rsid w:val="003E23E1"/>
    <w:rsid w:val="003F1442"/>
    <w:rsid w:val="003F3D7B"/>
    <w:rsid w:val="003F5179"/>
    <w:rsid w:val="0040035B"/>
    <w:rsid w:val="00401D3B"/>
    <w:rsid w:val="0041157E"/>
    <w:rsid w:val="004556B9"/>
    <w:rsid w:val="004671EA"/>
    <w:rsid w:val="004765F1"/>
    <w:rsid w:val="00490473"/>
    <w:rsid w:val="004A4148"/>
    <w:rsid w:val="004C2C3B"/>
    <w:rsid w:val="004D3550"/>
    <w:rsid w:val="004F41F6"/>
    <w:rsid w:val="00510A38"/>
    <w:rsid w:val="00521A67"/>
    <w:rsid w:val="00532CF6"/>
    <w:rsid w:val="005334E1"/>
    <w:rsid w:val="005371F9"/>
    <w:rsid w:val="00537303"/>
    <w:rsid w:val="00547AC9"/>
    <w:rsid w:val="00560511"/>
    <w:rsid w:val="005706C5"/>
    <w:rsid w:val="00576E62"/>
    <w:rsid w:val="00582A5F"/>
    <w:rsid w:val="005A649D"/>
    <w:rsid w:val="005B41DC"/>
    <w:rsid w:val="005B4831"/>
    <w:rsid w:val="005B53F6"/>
    <w:rsid w:val="005C6CFC"/>
    <w:rsid w:val="005D05DA"/>
    <w:rsid w:val="005E0351"/>
    <w:rsid w:val="005E46BF"/>
    <w:rsid w:val="00607756"/>
    <w:rsid w:val="00607A74"/>
    <w:rsid w:val="0061048E"/>
    <w:rsid w:val="006141BF"/>
    <w:rsid w:val="0063013F"/>
    <w:rsid w:val="00634DFB"/>
    <w:rsid w:val="0064149A"/>
    <w:rsid w:val="00651874"/>
    <w:rsid w:val="0065226D"/>
    <w:rsid w:val="006625E5"/>
    <w:rsid w:val="0066674B"/>
    <w:rsid w:val="00666FF6"/>
    <w:rsid w:val="00667166"/>
    <w:rsid w:val="00674CA7"/>
    <w:rsid w:val="006A07D7"/>
    <w:rsid w:val="006A3252"/>
    <w:rsid w:val="006A4E6A"/>
    <w:rsid w:val="006B02B1"/>
    <w:rsid w:val="006B2FD7"/>
    <w:rsid w:val="006D0ABC"/>
    <w:rsid w:val="006E0B1B"/>
    <w:rsid w:val="006F4A87"/>
    <w:rsid w:val="006F79C9"/>
    <w:rsid w:val="0070597A"/>
    <w:rsid w:val="007157EC"/>
    <w:rsid w:val="00720659"/>
    <w:rsid w:val="007245A7"/>
    <w:rsid w:val="00725600"/>
    <w:rsid w:val="00734F72"/>
    <w:rsid w:val="007456A4"/>
    <w:rsid w:val="007470FA"/>
    <w:rsid w:val="007521DA"/>
    <w:rsid w:val="00760E22"/>
    <w:rsid w:val="00786F1E"/>
    <w:rsid w:val="00791C35"/>
    <w:rsid w:val="007A0DB7"/>
    <w:rsid w:val="007A4394"/>
    <w:rsid w:val="007E5764"/>
    <w:rsid w:val="007F7DF1"/>
    <w:rsid w:val="0080084A"/>
    <w:rsid w:val="00804964"/>
    <w:rsid w:val="00806AE2"/>
    <w:rsid w:val="008156C9"/>
    <w:rsid w:val="00816883"/>
    <w:rsid w:val="008206CD"/>
    <w:rsid w:val="008221B0"/>
    <w:rsid w:val="00830D65"/>
    <w:rsid w:val="00833D6B"/>
    <w:rsid w:val="00844A2C"/>
    <w:rsid w:val="0084726F"/>
    <w:rsid w:val="00853A10"/>
    <w:rsid w:val="008646AF"/>
    <w:rsid w:val="008756CF"/>
    <w:rsid w:val="00884A4D"/>
    <w:rsid w:val="00896085"/>
    <w:rsid w:val="008A6F22"/>
    <w:rsid w:val="008A73DF"/>
    <w:rsid w:val="008D2717"/>
    <w:rsid w:val="008D29C8"/>
    <w:rsid w:val="008D4B9E"/>
    <w:rsid w:val="008E250A"/>
    <w:rsid w:val="008E67BA"/>
    <w:rsid w:val="008F0D96"/>
    <w:rsid w:val="009014B3"/>
    <w:rsid w:val="00905A03"/>
    <w:rsid w:val="00906FA0"/>
    <w:rsid w:val="0092248D"/>
    <w:rsid w:val="009226E6"/>
    <w:rsid w:val="00926324"/>
    <w:rsid w:val="00930A99"/>
    <w:rsid w:val="0094036E"/>
    <w:rsid w:val="00964492"/>
    <w:rsid w:val="0098677D"/>
    <w:rsid w:val="00990839"/>
    <w:rsid w:val="00994272"/>
    <w:rsid w:val="009C06FC"/>
    <w:rsid w:val="009D0CB8"/>
    <w:rsid w:val="009D4A9B"/>
    <w:rsid w:val="009E01AC"/>
    <w:rsid w:val="009E3730"/>
    <w:rsid w:val="009E4AB8"/>
    <w:rsid w:val="009F242D"/>
    <w:rsid w:val="009F53B0"/>
    <w:rsid w:val="00A24BB5"/>
    <w:rsid w:val="00A37C5E"/>
    <w:rsid w:val="00A50796"/>
    <w:rsid w:val="00A52087"/>
    <w:rsid w:val="00A538F5"/>
    <w:rsid w:val="00A63E8F"/>
    <w:rsid w:val="00A763F0"/>
    <w:rsid w:val="00A93EE7"/>
    <w:rsid w:val="00AA2BFD"/>
    <w:rsid w:val="00AA2EA7"/>
    <w:rsid w:val="00AC5ECD"/>
    <w:rsid w:val="00AE5AC6"/>
    <w:rsid w:val="00AF3340"/>
    <w:rsid w:val="00AF632D"/>
    <w:rsid w:val="00B07246"/>
    <w:rsid w:val="00B1262E"/>
    <w:rsid w:val="00B15BF3"/>
    <w:rsid w:val="00B238D8"/>
    <w:rsid w:val="00B35201"/>
    <w:rsid w:val="00B42A42"/>
    <w:rsid w:val="00B444CC"/>
    <w:rsid w:val="00B4628E"/>
    <w:rsid w:val="00B539CC"/>
    <w:rsid w:val="00B82268"/>
    <w:rsid w:val="00B823F4"/>
    <w:rsid w:val="00B864B1"/>
    <w:rsid w:val="00B9752F"/>
    <w:rsid w:val="00BA297A"/>
    <w:rsid w:val="00BA4955"/>
    <w:rsid w:val="00BA76E3"/>
    <w:rsid w:val="00BB0637"/>
    <w:rsid w:val="00BD7616"/>
    <w:rsid w:val="00BE2E8E"/>
    <w:rsid w:val="00C01494"/>
    <w:rsid w:val="00C1040A"/>
    <w:rsid w:val="00C17CCF"/>
    <w:rsid w:val="00C27F42"/>
    <w:rsid w:val="00C33ADE"/>
    <w:rsid w:val="00C431A7"/>
    <w:rsid w:val="00C43250"/>
    <w:rsid w:val="00C43B75"/>
    <w:rsid w:val="00C50518"/>
    <w:rsid w:val="00C51A7A"/>
    <w:rsid w:val="00C527B0"/>
    <w:rsid w:val="00C6150F"/>
    <w:rsid w:val="00C630C7"/>
    <w:rsid w:val="00C759A8"/>
    <w:rsid w:val="00C8234D"/>
    <w:rsid w:val="00CC16B1"/>
    <w:rsid w:val="00CE1C8B"/>
    <w:rsid w:val="00D13182"/>
    <w:rsid w:val="00D44F7D"/>
    <w:rsid w:val="00D47888"/>
    <w:rsid w:val="00D667C1"/>
    <w:rsid w:val="00D75AB3"/>
    <w:rsid w:val="00D802ED"/>
    <w:rsid w:val="00D82118"/>
    <w:rsid w:val="00D93C76"/>
    <w:rsid w:val="00DC69D1"/>
    <w:rsid w:val="00DE22B1"/>
    <w:rsid w:val="00DE51B1"/>
    <w:rsid w:val="00DE5E5E"/>
    <w:rsid w:val="00E0395C"/>
    <w:rsid w:val="00E06730"/>
    <w:rsid w:val="00E151CF"/>
    <w:rsid w:val="00E1551A"/>
    <w:rsid w:val="00E16B63"/>
    <w:rsid w:val="00E363C4"/>
    <w:rsid w:val="00E456AE"/>
    <w:rsid w:val="00E536A2"/>
    <w:rsid w:val="00E650B7"/>
    <w:rsid w:val="00E77825"/>
    <w:rsid w:val="00E77B6C"/>
    <w:rsid w:val="00E8223A"/>
    <w:rsid w:val="00E8681D"/>
    <w:rsid w:val="00E90D56"/>
    <w:rsid w:val="00E912AE"/>
    <w:rsid w:val="00E945AD"/>
    <w:rsid w:val="00EA17B0"/>
    <w:rsid w:val="00EA4D1E"/>
    <w:rsid w:val="00EB4B45"/>
    <w:rsid w:val="00EC070A"/>
    <w:rsid w:val="00EC4329"/>
    <w:rsid w:val="00EE31F4"/>
    <w:rsid w:val="00EF4F67"/>
    <w:rsid w:val="00F0057A"/>
    <w:rsid w:val="00F1081E"/>
    <w:rsid w:val="00F21637"/>
    <w:rsid w:val="00F26C7E"/>
    <w:rsid w:val="00F27F73"/>
    <w:rsid w:val="00F53F69"/>
    <w:rsid w:val="00F57BFB"/>
    <w:rsid w:val="00F733FA"/>
    <w:rsid w:val="00F755E1"/>
    <w:rsid w:val="00F80483"/>
    <w:rsid w:val="00F82D8A"/>
    <w:rsid w:val="00F95444"/>
    <w:rsid w:val="00FA5054"/>
    <w:rsid w:val="00FA522E"/>
    <w:rsid w:val="00FA68E8"/>
    <w:rsid w:val="00FD133E"/>
    <w:rsid w:val="00FD361C"/>
    <w:rsid w:val="00FE1929"/>
    <w:rsid w:val="00FE7BCC"/>
    <w:rsid w:val="00FF1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060BA"/>
  <w15:chartTrackingRefBased/>
  <w15:docId w15:val="{1167712A-1613-49DB-A6B9-51571CD50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3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3F0"/>
  </w:style>
  <w:style w:type="paragraph" w:styleId="Footer">
    <w:name w:val="footer"/>
    <w:basedOn w:val="Normal"/>
    <w:link w:val="FooterChar"/>
    <w:uiPriority w:val="99"/>
    <w:unhideWhenUsed/>
    <w:rsid w:val="002453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3F0"/>
  </w:style>
  <w:style w:type="paragraph" w:styleId="ListParagraph">
    <w:name w:val="List Paragraph"/>
    <w:basedOn w:val="Normal"/>
    <w:uiPriority w:val="34"/>
    <w:qFormat/>
    <w:rsid w:val="003D7546"/>
    <w:pPr>
      <w:ind w:left="720"/>
      <w:contextualSpacing/>
    </w:pPr>
  </w:style>
  <w:style w:type="paragraph" w:styleId="FootnoteText">
    <w:name w:val="footnote text"/>
    <w:basedOn w:val="Normal"/>
    <w:link w:val="FootnoteTextChar"/>
    <w:uiPriority w:val="99"/>
    <w:semiHidden/>
    <w:unhideWhenUsed/>
    <w:rsid w:val="00E155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551A"/>
    <w:rPr>
      <w:sz w:val="20"/>
      <w:szCs w:val="20"/>
    </w:rPr>
  </w:style>
  <w:style w:type="character" w:styleId="FootnoteReference">
    <w:name w:val="footnote reference"/>
    <w:basedOn w:val="DefaultParagraphFont"/>
    <w:uiPriority w:val="99"/>
    <w:semiHidden/>
    <w:unhideWhenUsed/>
    <w:rsid w:val="00E1551A"/>
    <w:rPr>
      <w:vertAlign w:val="superscript"/>
    </w:rPr>
  </w:style>
  <w:style w:type="paragraph" w:styleId="Revision">
    <w:name w:val="Revision"/>
    <w:hidden/>
    <w:uiPriority w:val="99"/>
    <w:semiHidden/>
    <w:rsid w:val="009F24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07/relationships/hdphoto" Target="media/hdphoto1.wdp"/><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3E2157EF4CC542AA004CEF5E53742E" ma:contentTypeVersion="17" ma:contentTypeDescription="Create a new document." ma:contentTypeScope="" ma:versionID="0650b2eaa347daebc3697bb53cfa9fae">
  <xsd:schema xmlns:xsd="http://www.w3.org/2001/XMLSchema" xmlns:xs="http://www.w3.org/2001/XMLSchema" xmlns:p="http://schemas.microsoft.com/office/2006/metadata/properties" xmlns:ns1="http://schemas.microsoft.com/sharepoint/v3" xmlns:ns2="778ea478-76fb-4290-9aeb-dba112306e47" xmlns:ns3="bb5346c7-4824-465f-8383-fa07b8a72e7d" targetNamespace="http://schemas.microsoft.com/office/2006/metadata/properties" ma:root="true" ma:fieldsID="fcbafc0830fdd351c28ccf171e3ec479" ns1:_="" ns2:_="" ns3:_="">
    <xsd:import namespace="http://schemas.microsoft.com/sharepoint/v3"/>
    <xsd:import namespace="778ea478-76fb-4290-9aeb-dba112306e47"/>
    <xsd:import namespace="bb5346c7-4824-465f-8383-fa07b8a72e7d"/>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element ref="ns2:Date" minOccurs="0"/>
                <xsd:element ref="ns2:NMTSsta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8ea478-76fb-4290-9aeb-dba112306e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Date" ma:index="23" nillable="true" ma:displayName="Date" ma:format="DateOnly" ma:internalName="Date">
      <xsd:simpleType>
        <xsd:restriction base="dms:DateTime"/>
      </xsd:simpleType>
    </xsd:element>
    <xsd:element name="NMTSstaff" ma:index="24" nillable="true" ma:displayName="NMTS staff" ma:format="Dropdown" ma:list="UserInfo" ma:SharePointGroup="0" ma:internalName="NMTSstaff">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5346c7-4824-465f-8383-fa07b8a72e7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dc3a6d7-ac37-4578-a9fc-243c26221cbb}" ma:internalName="TaxCatchAll" ma:showField="CatchAllData" ma:web="bb5346c7-4824-465f-8383-fa07b8a72e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b5346c7-4824-465f-8383-fa07b8a72e7d" xsi:nil="true"/>
    <lcf76f155ced4ddcb4097134ff3c332f xmlns="778ea478-76fb-4290-9aeb-dba112306e47">
      <Terms xmlns="http://schemas.microsoft.com/office/infopath/2007/PartnerControls"/>
    </lcf76f155ced4ddcb4097134ff3c332f>
    <_ip_UnifiedCompliancePolicyUIAction xmlns="http://schemas.microsoft.com/sharepoint/v3" xsi:nil="true"/>
    <NMTSstaff xmlns="778ea478-76fb-4290-9aeb-dba112306e47">
      <UserInfo>
        <DisplayName/>
        <AccountId xsi:nil="true"/>
        <AccountType/>
      </UserInfo>
    </NMTSstaff>
    <_ip_UnifiedCompliancePolicyProperties xmlns="http://schemas.microsoft.com/sharepoint/v3" xsi:nil="true"/>
    <Date xmlns="778ea478-76fb-4290-9aeb-dba112306e47" xsi:nil="true"/>
  </documentManagement>
</p:properties>
</file>

<file path=customXml/itemProps1.xml><?xml version="1.0" encoding="utf-8"?>
<ds:datastoreItem xmlns:ds="http://schemas.openxmlformats.org/officeDocument/2006/customXml" ds:itemID="{3FB1CEF7-0F55-48C8-9018-DBE71D7B25B6}">
  <ds:schemaRefs>
    <ds:schemaRef ds:uri="http://schemas.microsoft.com/sharepoint/v3/contenttype/forms"/>
  </ds:schemaRefs>
</ds:datastoreItem>
</file>

<file path=customXml/itemProps2.xml><?xml version="1.0" encoding="utf-8"?>
<ds:datastoreItem xmlns:ds="http://schemas.openxmlformats.org/officeDocument/2006/customXml" ds:itemID="{79CDFAE6-B98C-46C4-BAEF-E0C294E36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8ea478-76fb-4290-9aeb-dba112306e47"/>
    <ds:schemaRef ds:uri="bb5346c7-4824-465f-8383-fa07b8a72e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31DFFB-EA81-455F-A7CE-71C83F3C83AE}">
  <ds:schemaRefs>
    <ds:schemaRef ds:uri="http://schemas.microsoft.com/office/2006/metadata/properties"/>
    <ds:schemaRef ds:uri="http://schemas.microsoft.com/office/infopath/2007/PartnerControls"/>
    <ds:schemaRef ds:uri="bb5346c7-4824-465f-8383-fa07b8a72e7d"/>
    <ds:schemaRef ds:uri="778ea478-76fb-4290-9aeb-dba112306e47"/>
    <ds:schemaRef ds:uri="http://schemas.microsoft.com/sharepoint/v3"/>
  </ds:schemaRefs>
</ds:datastoreItem>
</file>

<file path=docMetadata/LabelInfo.xml><?xml version="1.0" encoding="utf-8"?>
<clbl:labelList xmlns:clbl="http://schemas.microsoft.com/office/2020/mipLabelMetadata">
  <clbl:label id="{1520fa42-cf58-4c22-8b93-58cf1d3bd1cb}" enabled="1" method="Standard" siteId="{11d0e217-264e-400a-8ba0-57dcc127d72d}"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4</Pages>
  <Words>1923</Words>
  <Characters>10177</Characters>
  <Application>Microsoft Office Word</Application>
  <DocSecurity>0</DocSecurity>
  <Lines>164</Lines>
  <Paragraphs>53</Paragraphs>
  <ScaleCrop>false</ScaleCrop>
  <HeadingPairs>
    <vt:vector size="2" baseType="variant">
      <vt:variant>
        <vt:lpstr>Title</vt:lpstr>
      </vt:variant>
      <vt:variant>
        <vt:i4>1</vt:i4>
      </vt:variant>
    </vt:vector>
  </HeadingPairs>
  <TitlesOfParts>
    <vt:vector size="1" baseType="lpstr">
      <vt:lpstr/>
    </vt:vector>
  </TitlesOfParts>
  <Company>WSDA</Company>
  <LinksUpToDate>false</LinksUpToDate>
  <CharactersWithSpaces>12047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Sotelo, Rebecca (AGR)</dc:creator>
  <cp:keywords/>
  <dc:description/>
  <cp:lastModifiedBy>Isensee, Michael (AGR)</cp:lastModifiedBy>
  <cp:revision>3</cp:revision>
  <dcterms:created xsi:type="dcterms:W3CDTF">2025-09-26T23:30:00Z</dcterms:created>
  <dcterms:modified xsi:type="dcterms:W3CDTF">2025-09-26T23:33:00Z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0x010100F13E2157EF4CC542AA004CEF5E53742E</vt:lpwstr>
  </property>
</Properties>
</file>