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9D12D" w14:textId="0DDBDDF5" w:rsidR="0040775C" w:rsidRDefault="00B11B24">
      <w:r w:rsidRPr="00B11B24">
        <w:t>CAFO Comments</w:t>
      </w:r>
    </w:p>
    <w:p w14:paraId="6AF9ABF0" w14:textId="77777777" w:rsidR="00B11B24" w:rsidRDefault="00B11B24"/>
    <w:p w14:paraId="22524011" w14:textId="724D20FB" w:rsidR="00B11B24" w:rsidRPr="00B11B24" w:rsidRDefault="00B11B24">
      <w:r w:rsidRPr="00B11B24">
        <w:t>S</w:t>
      </w:r>
      <w:proofErr w:type="gramStart"/>
      <w:r w:rsidRPr="00B11B24">
        <w:t>4.A.4.d.i.</w:t>
      </w:r>
      <w:proofErr w:type="gramEnd"/>
      <w:r w:rsidRPr="00B11B24">
        <w:t xml:space="preserve"> </w:t>
      </w:r>
      <w:r w:rsidRPr="00B11B24">
        <w:rPr>
          <w:b/>
          <w:bCs/>
        </w:rPr>
        <w:t>Nitrate Priority Area requires groundwater monitoring.</w:t>
      </w:r>
    </w:p>
    <w:p w14:paraId="0217CC00" w14:textId="77777777" w:rsidR="00B11B24" w:rsidRDefault="00B11B24">
      <w:r>
        <w:tab/>
      </w:r>
      <w:r w:rsidRPr="00B11B24">
        <w:t>see appendix C, map is dated +20-30 years</w:t>
      </w:r>
    </w:p>
    <w:p w14:paraId="1ED44689" w14:textId="77777777" w:rsidR="00B11B24" w:rsidRDefault="00B11B24" w:rsidP="00B11B24">
      <w:pPr>
        <w:ind w:firstLine="720"/>
      </w:pPr>
      <w:r w:rsidRPr="00B11B24">
        <w:t>using old data, old studies and well data.</w:t>
      </w:r>
      <w:r>
        <w:t xml:space="preserve">  </w:t>
      </w:r>
    </w:p>
    <w:p w14:paraId="27A0FCD4" w14:textId="130A883E" w:rsidR="00B11B24" w:rsidRDefault="00B11B24" w:rsidP="00B11B24">
      <w:pPr>
        <w:ind w:firstLine="720"/>
      </w:pPr>
      <w:r>
        <w:t>Farm intensity, animal numbers ha</w:t>
      </w:r>
      <w:r w:rsidR="00C85821">
        <w:t>ve</w:t>
      </w:r>
      <w:r>
        <w:t xml:space="preserve"> changed.</w:t>
      </w:r>
    </w:p>
    <w:p w14:paraId="522BB6D5" w14:textId="77777777" w:rsidR="00B11B24" w:rsidRDefault="00B11B24" w:rsidP="00B11B24">
      <w:pPr>
        <w:ind w:firstLine="720"/>
      </w:pPr>
    </w:p>
    <w:p w14:paraId="3191C0AD" w14:textId="77777777" w:rsidR="00B11B24" w:rsidRDefault="00B11B24" w:rsidP="00B11B24">
      <w:pPr>
        <w:ind w:firstLine="720"/>
      </w:pPr>
    </w:p>
    <w:p w14:paraId="29A570AA" w14:textId="77777777" w:rsidR="00B11B24" w:rsidRDefault="00B11B24" w:rsidP="00B11B24">
      <w:pPr>
        <w:rPr>
          <w:b/>
          <w:bCs/>
        </w:rPr>
      </w:pPr>
      <w:r w:rsidRPr="00B11B24">
        <w:t>S4.C.1</w:t>
      </w:r>
      <w:r>
        <w:t xml:space="preserve"> </w:t>
      </w:r>
      <w:r w:rsidRPr="00B11B24">
        <w:rPr>
          <w:b/>
          <w:bCs/>
        </w:rPr>
        <w:t xml:space="preserve">Liquid waste storage structures must be designed, constructed, and </w:t>
      </w:r>
    </w:p>
    <w:p w14:paraId="47BA1644" w14:textId="508CA0BA" w:rsidR="00B11B24" w:rsidRDefault="00B11B24" w:rsidP="00B11B24">
      <w:pPr>
        <w:ind w:left="720"/>
        <w:rPr>
          <w:b/>
          <w:bCs/>
        </w:rPr>
      </w:pPr>
      <w:r w:rsidRPr="00B11B24">
        <w:rPr>
          <w:b/>
          <w:bCs/>
        </w:rPr>
        <w:t xml:space="preserve">maintained to have </w:t>
      </w:r>
      <w:proofErr w:type="gramStart"/>
      <w:r w:rsidRPr="00B11B24">
        <w:rPr>
          <w:b/>
          <w:bCs/>
        </w:rPr>
        <w:t>a :</w:t>
      </w:r>
      <w:proofErr w:type="gramEnd"/>
      <w:r>
        <w:rPr>
          <w:b/>
          <w:bCs/>
        </w:rPr>
        <w:t xml:space="preserve">  </w:t>
      </w:r>
      <w:r w:rsidRPr="00B11B24">
        <w:rPr>
          <w:b/>
          <w:bCs/>
          <w:u w:val="single"/>
        </w:rPr>
        <w:t>maximum water specific discharge</w:t>
      </w:r>
      <w:r w:rsidRPr="00B11B24">
        <w:rPr>
          <w:b/>
          <w:bCs/>
        </w:rPr>
        <w:t xml:space="preserve"> of 1x10-6cm3/cm2/s without consideration for manure sealing</w:t>
      </w:r>
      <w:r>
        <w:rPr>
          <w:b/>
          <w:bCs/>
        </w:rPr>
        <w:t>.</w:t>
      </w:r>
    </w:p>
    <w:p w14:paraId="763A938E" w14:textId="77777777" w:rsidR="00B11B24" w:rsidRDefault="00B11B24" w:rsidP="00B11B24">
      <w:pPr>
        <w:ind w:left="720"/>
        <w:rPr>
          <w:b/>
          <w:bCs/>
        </w:rPr>
      </w:pPr>
    </w:p>
    <w:p w14:paraId="04AD239C" w14:textId="77777777" w:rsidR="00B11B24" w:rsidRDefault="00B11B24" w:rsidP="00B11B24">
      <w:pPr>
        <w:ind w:left="720"/>
      </w:pPr>
      <w:r w:rsidRPr="00B11B24">
        <w:t xml:space="preserve">What does this </w:t>
      </w:r>
      <w:proofErr w:type="gramStart"/>
      <w:r w:rsidRPr="00B11B24">
        <w:t>mean</w:t>
      </w:r>
      <w:r>
        <w:t>?</w:t>
      </w:r>
      <w:r w:rsidRPr="00B11B24">
        <w:t>:</w:t>
      </w:r>
      <w:proofErr w:type="gramEnd"/>
    </w:p>
    <w:p w14:paraId="53B694B6" w14:textId="560704E5" w:rsidR="00B11B24" w:rsidRDefault="00B11B24" w:rsidP="00B11B24">
      <w:pPr>
        <w:ind w:left="720" w:firstLine="720"/>
      </w:pPr>
      <w:proofErr w:type="gramStart"/>
      <w:r>
        <w:t>-</w:t>
      </w:r>
      <w:r w:rsidRPr="00B11B24">
        <w:t xml:space="preserve">  Is</w:t>
      </w:r>
      <w:proofErr w:type="gramEnd"/>
      <w:r w:rsidRPr="00B11B24">
        <w:t xml:space="preserve"> this supposed to represent soil permeability?</w:t>
      </w:r>
      <w:r>
        <w:t xml:space="preserve"> -</w:t>
      </w:r>
      <w:proofErr w:type="spellStart"/>
      <w:r>
        <w:t>ksat</w:t>
      </w:r>
      <w:proofErr w:type="spellEnd"/>
    </w:p>
    <w:p w14:paraId="06125446" w14:textId="1E73FBF0" w:rsidR="00B11B24" w:rsidRDefault="00B11B24" w:rsidP="00B11B24">
      <w:pPr>
        <w:ind w:left="720" w:firstLine="720"/>
      </w:pPr>
      <w:r>
        <w:t>-</w:t>
      </w:r>
      <w:r w:rsidRPr="00B11B24">
        <w:t xml:space="preserve"> Or 0.000006 cm3/second across 1 cm2. (924 gallons per acre/ day)</w:t>
      </w:r>
    </w:p>
    <w:p w14:paraId="7A0C1FA5" w14:textId="77777777" w:rsidR="00B11B24" w:rsidRDefault="00B11B24" w:rsidP="00E24695">
      <w:pPr>
        <w:ind w:left="720"/>
      </w:pPr>
      <w:r w:rsidRPr="00B11B24">
        <w:t xml:space="preserve">1. Specific Discharge (AWMFH Ch.10 </w:t>
      </w:r>
      <w:proofErr w:type="spellStart"/>
      <w:proofErr w:type="gramStart"/>
      <w:r w:rsidRPr="00B11B24">
        <w:t>Ap.D</w:t>
      </w:r>
      <w:proofErr w:type="spellEnd"/>
      <w:proofErr w:type="gramEnd"/>
      <w:r w:rsidRPr="00B11B24">
        <w:t xml:space="preserve"> </w:t>
      </w:r>
      <w:proofErr w:type="spellStart"/>
      <w:r w:rsidRPr="00B11B24">
        <w:t>pg</w:t>
      </w:r>
      <w:proofErr w:type="spellEnd"/>
      <w:r w:rsidRPr="00B11B24">
        <w:t xml:space="preserve"> 10D-10) is defined as unit seepage.  </w:t>
      </w:r>
    </w:p>
    <w:p w14:paraId="31144710" w14:textId="22D064B5" w:rsidR="00B11B24" w:rsidRDefault="00C85821" w:rsidP="00E24695">
      <w:pPr>
        <w:ind w:left="720"/>
      </w:pPr>
      <w:r>
        <w:t xml:space="preserve">From </w:t>
      </w:r>
      <w:r w:rsidR="00B11B24" w:rsidRPr="00B11B24">
        <w:t>Table 10D-7</w:t>
      </w:r>
      <w:r w:rsidR="00B11B24">
        <w:t xml:space="preserve">  </w:t>
      </w:r>
      <w:r w:rsidR="00B11B24" w:rsidRPr="00B11B24">
        <w:t xml:space="preserve">    A value of seepage per square unit area of pond bottom.</w:t>
      </w:r>
    </w:p>
    <w:p w14:paraId="2AD6D792" w14:textId="22428E4C" w:rsidR="00B11B24" w:rsidRDefault="00B11B24" w:rsidP="00E24695">
      <w:pPr>
        <w:ind w:left="720"/>
      </w:pPr>
      <w:proofErr w:type="gramStart"/>
      <w:r w:rsidRPr="00B11B24">
        <w:t>The majority of</w:t>
      </w:r>
      <w:proofErr w:type="gramEnd"/>
      <w:r w:rsidRPr="00B11B24">
        <w:t xml:space="preserve"> waste storage ponds in the state will not comply with the above statement.  </w:t>
      </w:r>
    </w:p>
    <w:p w14:paraId="549884A0" w14:textId="415EF476" w:rsidR="00B11B24" w:rsidRPr="00E24695" w:rsidRDefault="00B11B24" w:rsidP="00E24695">
      <w:pPr>
        <w:spacing w:after="0" w:line="240" w:lineRule="auto"/>
        <w:ind w:left="720"/>
      </w:pPr>
      <w:r w:rsidRPr="00E24695">
        <w:t xml:space="preserve">Synthetic Lined, including double lined ponds.  For </w:t>
      </w:r>
      <w:proofErr w:type="gramStart"/>
      <w:r w:rsidRPr="00E24695">
        <w:t>example</w:t>
      </w:r>
      <w:proofErr w:type="gramEnd"/>
      <w:r w:rsidRPr="00E24695">
        <w:t xml:space="preserve"> the calculated Specific discharge is greater than 1,000 gallons per day/acre, for pond with a 60 ml liner, </w:t>
      </w:r>
      <w:proofErr w:type="spellStart"/>
      <w:r w:rsidRPr="00E24695">
        <w:t>ksat</w:t>
      </w:r>
      <w:proofErr w:type="spellEnd"/>
      <w:r w:rsidRPr="00E24695">
        <w:t xml:space="preserve"> =1x10-9cm3/cm2/s x 12ft deep</w:t>
      </w:r>
    </w:p>
    <w:p w14:paraId="0EDBC494" w14:textId="77777777" w:rsidR="00B11B24" w:rsidRDefault="00B11B24" w:rsidP="00B11B24"/>
    <w:tbl>
      <w:tblPr>
        <w:tblW w:w="5500" w:type="dxa"/>
        <w:tblLook w:val="04A0" w:firstRow="1" w:lastRow="0" w:firstColumn="1" w:lastColumn="0" w:noHBand="0" w:noVBand="1"/>
      </w:tblPr>
      <w:tblGrid>
        <w:gridCol w:w="964"/>
        <w:gridCol w:w="4540"/>
      </w:tblGrid>
      <w:tr w:rsidR="00B11B24" w:rsidRPr="00E24695" w14:paraId="34E7BBDF" w14:textId="77777777" w:rsidTr="00B11B24">
        <w:trPr>
          <w:trHeight w:val="300"/>
        </w:trPr>
        <w:tc>
          <w:tcPr>
            <w:tcW w:w="960" w:type="dxa"/>
            <w:tcBorders>
              <w:top w:val="nil"/>
              <w:left w:val="nil"/>
              <w:bottom w:val="nil"/>
              <w:right w:val="nil"/>
            </w:tcBorders>
            <w:noWrap/>
            <w:vAlign w:val="bottom"/>
            <w:hideMark/>
          </w:tcPr>
          <w:p w14:paraId="238381B9" w14:textId="77777777" w:rsidR="00B11B24" w:rsidRPr="00B11B24" w:rsidRDefault="00B11B24" w:rsidP="00B11B24">
            <w:pPr>
              <w:spacing w:after="0" w:line="240" w:lineRule="auto"/>
              <w:rPr>
                <w:rFonts w:ascii="Aptos Narrow" w:eastAsia="Times New Roman" w:hAnsi="Aptos Narrow" w:cs="Times New Roman"/>
                <w:color w:val="000000"/>
                <w:kern w:val="0"/>
                <w:sz w:val="22"/>
                <w:szCs w:val="22"/>
                <w14:ligatures w14:val="none"/>
              </w:rPr>
            </w:pPr>
            <w:r w:rsidRPr="00E24695">
              <w:t>S7.C.2.</w:t>
            </w:r>
            <w:r w:rsidRPr="00B11B24">
              <w:rPr>
                <w:rFonts w:ascii="Aptos Narrow" w:eastAsia="Times New Roman" w:hAnsi="Aptos Narrow" w:cs="Times New Roman"/>
                <w:color w:val="000000"/>
                <w:kern w:val="0"/>
                <w:sz w:val="22"/>
                <w:szCs w:val="22"/>
                <w14:ligatures w14:val="none"/>
              </w:rPr>
              <w:t xml:space="preserve"> </w:t>
            </w:r>
          </w:p>
        </w:tc>
        <w:tc>
          <w:tcPr>
            <w:tcW w:w="4540" w:type="dxa"/>
            <w:tcBorders>
              <w:top w:val="nil"/>
              <w:left w:val="nil"/>
              <w:bottom w:val="nil"/>
              <w:right w:val="nil"/>
            </w:tcBorders>
            <w:noWrap/>
            <w:vAlign w:val="bottom"/>
            <w:hideMark/>
          </w:tcPr>
          <w:p w14:paraId="07146808" w14:textId="0B734898" w:rsidR="00B11B24" w:rsidRPr="00E24695" w:rsidRDefault="00B11B24" w:rsidP="00B11B24">
            <w:pPr>
              <w:spacing w:after="0" w:line="240" w:lineRule="auto"/>
              <w:ind w:right="-3525"/>
              <w:rPr>
                <w:b/>
                <w:bCs/>
              </w:rPr>
            </w:pPr>
            <w:r w:rsidRPr="00E24695">
              <w:rPr>
                <w:b/>
                <w:bCs/>
              </w:rPr>
              <w:t>Assessment of ponds without leakage detections</w:t>
            </w:r>
          </w:p>
        </w:tc>
      </w:tr>
    </w:tbl>
    <w:p w14:paraId="0224FE7D" w14:textId="1D8B632E" w:rsidR="00102AAD" w:rsidRDefault="00102AAD" w:rsidP="00E24695">
      <w:pPr>
        <w:pStyle w:val="ListParagraph"/>
        <w:numPr>
          <w:ilvl w:val="0"/>
          <w:numId w:val="1"/>
        </w:numPr>
      </w:pPr>
      <w:r>
        <w:t xml:space="preserve">Is TN23 still the best tool for this assessment? Have any new tools been developed or </w:t>
      </w:r>
      <w:proofErr w:type="gramStart"/>
      <w:r>
        <w:t>will</w:t>
      </w:r>
      <w:proofErr w:type="gramEnd"/>
      <w:r>
        <w:t xml:space="preserve"> be developed for assessments? </w:t>
      </w:r>
      <w:r w:rsidR="00B11B24">
        <w:tab/>
      </w:r>
    </w:p>
    <w:p w14:paraId="04713134" w14:textId="77777777" w:rsidR="00E24695" w:rsidRDefault="00E24695" w:rsidP="00E24695">
      <w:pPr>
        <w:pStyle w:val="ListParagraph"/>
      </w:pPr>
    </w:p>
    <w:p w14:paraId="49A2661E" w14:textId="5E8A8DDD" w:rsidR="00B11B24" w:rsidRDefault="00B11B24" w:rsidP="00E24695">
      <w:pPr>
        <w:pStyle w:val="ListParagraph"/>
        <w:numPr>
          <w:ilvl w:val="0"/>
          <w:numId w:val="1"/>
        </w:numPr>
      </w:pPr>
      <w:r w:rsidRPr="00B11B24">
        <w:t>What is: qualified expert</w:t>
      </w:r>
      <w:r>
        <w:t xml:space="preserve"> (definition is vague) to conduct NRCS Tech Note 23</w:t>
      </w:r>
    </w:p>
    <w:p w14:paraId="28D999F0" w14:textId="1F072A93" w:rsidR="00B11B24" w:rsidRPr="00E24695" w:rsidRDefault="00B11B24" w:rsidP="00B11B24">
      <w:pPr>
        <w:rPr>
          <w:i/>
          <w:iCs/>
        </w:rPr>
      </w:pPr>
      <w:r w:rsidRPr="00E24695">
        <w:rPr>
          <w:i/>
          <w:iCs/>
        </w:rPr>
        <w:lastRenderedPageBreak/>
        <w:t>Qualified Expert: Individuals who: (1) Have received professional training in waste storage facility design and construction and (2) Are capable of evaluating the conditions of the facility that could impact water quality at the site as required by this permit</w:t>
      </w:r>
    </w:p>
    <w:p w14:paraId="4E0DC380" w14:textId="77777777" w:rsidR="00B11B24" w:rsidRDefault="00B11B24" w:rsidP="00B11B24"/>
    <w:p w14:paraId="03C1231C" w14:textId="697C19C1" w:rsidR="00B11B24" w:rsidRDefault="00B11B24" w:rsidP="00B11B24">
      <w:r w:rsidRPr="00B11B24">
        <w:t xml:space="preserve">S7.C.4. </w:t>
      </w:r>
      <w:r w:rsidRPr="00B11B24">
        <w:rPr>
          <w:b/>
          <w:bCs/>
        </w:rPr>
        <w:t>Assessment of solids storages, dry stacks and compost piles on soil pads</w:t>
      </w:r>
    </w:p>
    <w:p w14:paraId="2F59F55F" w14:textId="715D16B8" w:rsidR="00B11B24" w:rsidRPr="00B11B24" w:rsidRDefault="00B11B24" w:rsidP="00B11B24">
      <w:pPr>
        <w:ind w:firstLine="720"/>
        <w:rPr>
          <w:i/>
          <w:iCs/>
        </w:rPr>
      </w:pPr>
      <w:r w:rsidRPr="00B11B24">
        <w:rPr>
          <w:i/>
          <w:iCs/>
        </w:rPr>
        <w:t>This is not the correct test for this situation.  Procedure ASTM D3385-88 states:</w:t>
      </w:r>
    </w:p>
    <w:p w14:paraId="4C0E8212" w14:textId="77777777" w:rsidR="00B11B24" w:rsidRDefault="00B11B24" w:rsidP="00B11B24">
      <w:pPr>
        <w:ind w:firstLine="720"/>
        <w:rPr>
          <w:i/>
          <w:iCs/>
        </w:rPr>
      </w:pPr>
    </w:p>
    <w:p w14:paraId="1C241190" w14:textId="1207B098" w:rsidR="00B11B24" w:rsidRDefault="00B11B24" w:rsidP="00B11B24">
      <w:pPr>
        <w:ind w:firstLine="720"/>
        <w:rPr>
          <w:i/>
          <w:iCs/>
        </w:rPr>
      </w:pPr>
      <w:r w:rsidRPr="00B11B24">
        <w:rPr>
          <w:i/>
          <w:iCs/>
        </w:rPr>
        <w:t xml:space="preserve">1.6 This test method is difficult to </w:t>
      </w:r>
      <w:proofErr w:type="gramStart"/>
      <w:r w:rsidRPr="00B11B24">
        <w:rPr>
          <w:i/>
          <w:iCs/>
        </w:rPr>
        <w:t>use</w:t>
      </w:r>
      <w:proofErr w:type="gramEnd"/>
      <w:r w:rsidRPr="00B11B24">
        <w:rPr>
          <w:i/>
          <w:iCs/>
        </w:rPr>
        <w:t xml:space="preserve"> or the resultant data</w:t>
      </w:r>
      <w:r>
        <w:rPr>
          <w:i/>
          <w:iCs/>
        </w:rPr>
        <w:t xml:space="preserve"> </w:t>
      </w:r>
      <w:r w:rsidRPr="00B11B24">
        <w:rPr>
          <w:i/>
          <w:iCs/>
        </w:rPr>
        <w:t xml:space="preserve">may be unreliable, or </w:t>
      </w:r>
    </w:p>
    <w:p w14:paraId="7803D8A7" w14:textId="77777777" w:rsidR="00B11B24" w:rsidRDefault="00B11B24" w:rsidP="00B11B24">
      <w:pPr>
        <w:ind w:firstLine="720"/>
        <w:rPr>
          <w:i/>
          <w:iCs/>
        </w:rPr>
      </w:pPr>
      <w:r w:rsidRPr="00B11B24">
        <w:rPr>
          <w:i/>
          <w:iCs/>
        </w:rPr>
        <w:t xml:space="preserve">both, in very pervious or impervious </w:t>
      </w:r>
      <w:proofErr w:type="gramStart"/>
      <w:r w:rsidRPr="00B11B24">
        <w:rPr>
          <w:i/>
          <w:iCs/>
        </w:rPr>
        <w:t>soils(</w:t>
      </w:r>
      <w:proofErr w:type="gramEnd"/>
      <w:r w:rsidRPr="00B11B24">
        <w:rPr>
          <w:i/>
          <w:iCs/>
        </w:rPr>
        <w:t xml:space="preserve">soils with a hydraulic conductivity greater </w:t>
      </w:r>
    </w:p>
    <w:p w14:paraId="5300A98E" w14:textId="77777777" w:rsidR="00B11B24" w:rsidRDefault="00B11B24" w:rsidP="00B11B24">
      <w:pPr>
        <w:ind w:firstLine="720"/>
        <w:rPr>
          <w:i/>
          <w:iCs/>
        </w:rPr>
      </w:pPr>
      <w:r w:rsidRPr="00B11B24">
        <w:rPr>
          <w:i/>
          <w:iCs/>
        </w:rPr>
        <w:t xml:space="preserve">than about </w:t>
      </w:r>
      <w:proofErr w:type="gramStart"/>
      <w:r w:rsidRPr="00B11B24">
        <w:rPr>
          <w:i/>
          <w:iCs/>
        </w:rPr>
        <w:t>10−2</w:t>
      </w:r>
      <w:proofErr w:type="gramEnd"/>
      <w:r w:rsidRPr="00B11B24">
        <w:rPr>
          <w:i/>
          <w:iCs/>
        </w:rPr>
        <w:t xml:space="preserve">cm/s or less than about 1 × 10−5 cm/s) or in dry or stiff </w:t>
      </w:r>
      <w:proofErr w:type="gramStart"/>
      <w:r w:rsidRPr="00B11B24">
        <w:rPr>
          <w:i/>
          <w:iCs/>
        </w:rPr>
        <w:t>soils</w:t>
      </w:r>
      <w:proofErr w:type="gramEnd"/>
      <w:r w:rsidRPr="00B11B24">
        <w:rPr>
          <w:i/>
          <w:iCs/>
        </w:rPr>
        <w:t xml:space="preserve"> if</w:t>
      </w:r>
      <w:r>
        <w:rPr>
          <w:i/>
          <w:iCs/>
        </w:rPr>
        <w:t xml:space="preserve"> </w:t>
      </w:r>
      <w:r w:rsidRPr="00B11B24">
        <w:rPr>
          <w:i/>
          <w:iCs/>
        </w:rPr>
        <w:t xml:space="preserve">these </w:t>
      </w:r>
    </w:p>
    <w:p w14:paraId="48FA5B04" w14:textId="77777777" w:rsidR="00B11B24" w:rsidRDefault="00B11B24" w:rsidP="00B11B24">
      <w:pPr>
        <w:ind w:firstLine="720"/>
        <w:rPr>
          <w:i/>
          <w:iCs/>
        </w:rPr>
      </w:pPr>
      <w:r w:rsidRPr="00B11B24">
        <w:rPr>
          <w:i/>
          <w:iCs/>
        </w:rPr>
        <w:t>fracture when the rings are installed. For soils with</w:t>
      </w:r>
      <w:r>
        <w:rPr>
          <w:i/>
          <w:iCs/>
        </w:rPr>
        <w:t xml:space="preserve"> </w:t>
      </w:r>
      <w:r w:rsidRPr="00B11B24">
        <w:rPr>
          <w:i/>
          <w:iCs/>
        </w:rPr>
        <w:t xml:space="preserve">hydraulic conductivity less than 1 </w:t>
      </w:r>
    </w:p>
    <w:p w14:paraId="5CB8EF3F" w14:textId="5B7595A2" w:rsidR="00B11B24" w:rsidRPr="00B11B24" w:rsidRDefault="00B11B24" w:rsidP="00B11B24">
      <w:pPr>
        <w:ind w:firstLine="720"/>
        <w:rPr>
          <w:i/>
          <w:iCs/>
        </w:rPr>
      </w:pPr>
      <w:r w:rsidRPr="00B11B24">
        <w:rPr>
          <w:i/>
          <w:iCs/>
        </w:rPr>
        <w:t>× 10−5 cm/s refer to Test</w:t>
      </w:r>
      <w:r>
        <w:rPr>
          <w:i/>
          <w:iCs/>
        </w:rPr>
        <w:t xml:space="preserve"> </w:t>
      </w:r>
      <w:r w:rsidRPr="00B11B24">
        <w:rPr>
          <w:i/>
          <w:iCs/>
        </w:rPr>
        <w:t>Method D5093.</w:t>
      </w:r>
    </w:p>
    <w:p w14:paraId="75D89CE3" w14:textId="77777777" w:rsidR="00B11B24" w:rsidRDefault="00B11B24" w:rsidP="00B11B24">
      <w:pPr>
        <w:ind w:firstLine="720"/>
        <w:rPr>
          <w:i/>
          <w:iCs/>
        </w:rPr>
      </w:pPr>
    </w:p>
    <w:p w14:paraId="2864AE29" w14:textId="47828943" w:rsidR="00B11B24" w:rsidRDefault="00B11B24" w:rsidP="00B11B24">
      <w:pPr>
        <w:ind w:firstLine="720"/>
        <w:rPr>
          <w:i/>
          <w:iCs/>
        </w:rPr>
      </w:pPr>
      <w:r w:rsidRPr="00B11B24">
        <w:rPr>
          <w:i/>
          <w:iCs/>
        </w:rPr>
        <w:t>1.7 This test method cannot be used directly to determine</w:t>
      </w:r>
      <w:r>
        <w:rPr>
          <w:i/>
          <w:iCs/>
        </w:rPr>
        <w:t xml:space="preserve"> </w:t>
      </w:r>
      <w:r w:rsidRPr="00B11B24">
        <w:rPr>
          <w:i/>
          <w:iCs/>
        </w:rPr>
        <w:t xml:space="preserve">the hydraulic conductivity </w:t>
      </w:r>
    </w:p>
    <w:p w14:paraId="1FBC5B88" w14:textId="506C5F80" w:rsidR="00B11B24" w:rsidRPr="00B11B24" w:rsidRDefault="00B11B24" w:rsidP="00B11B24">
      <w:pPr>
        <w:ind w:firstLine="720"/>
        <w:rPr>
          <w:i/>
          <w:iCs/>
        </w:rPr>
      </w:pPr>
      <w:r w:rsidRPr="00B11B24">
        <w:rPr>
          <w:i/>
          <w:iCs/>
        </w:rPr>
        <w:t>(coefficient of permeability) of the</w:t>
      </w:r>
      <w:r w:rsidR="00102AAD">
        <w:rPr>
          <w:i/>
          <w:iCs/>
        </w:rPr>
        <w:t xml:space="preserve"> </w:t>
      </w:r>
      <w:r w:rsidRPr="00B11B24">
        <w:rPr>
          <w:i/>
          <w:iCs/>
        </w:rPr>
        <w:t>soil (see 5.2).</w:t>
      </w:r>
    </w:p>
    <w:sectPr w:rsidR="00B11B24" w:rsidRPr="00B11B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03EBC"/>
    <w:multiLevelType w:val="hybridMultilevel"/>
    <w:tmpl w:val="CECC1A5A"/>
    <w:lvl w:ilvl="0" w:tplc="9AD8CBB0">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800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B24"/>
    <w:rsid w:val="00102AAD"/>
    <w:rsid w:val="0040775C"/>
    <w:rsid w:val="00421BCB"/>
    <w:rsid w:val="00A9453D"/>
    <w:rsid w:val="00B11B24"/>
    <w:rsid w:val="00C85821"/>
    <w:rsid w:val="00CC5400"/>
    <w:rsid w:val="00DB4B6A"/>
    <w:rsid w:val="00E24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B5732"/>
  <w15:chartTrackingRefBased/>
  <w15:docId w15:val="{13D537E3-41FF-4283-A662-E9EE16CA1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1B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1B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1B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1B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1B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1B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1B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1B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1B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B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1B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1B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1B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1B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1B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1B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1B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1B24"/>
    <w:rPr>
      <w:rFonts w:eastAsiaTheme="majorEastAsia" w:cstheme="majorBidi"/>
      <w:color w:val="272727" w:themeColor="text1" w:themeTint="D8"/>
    </w:rPr>
  </w:style>
  <w:style w:type="paragraph" w:styleId="Title">
    <w:name w:val="Title"/>
    <w:basedOn w:val="Normal"/>
    <w:next w:val="Normal"/>
    <w:link w:val="TitleChar"/>
    <w:uiPriority w:val="10"/>
    <w:qFormat/>
    <w:rsid w:val="00B11B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B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B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B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1B24"/>
    <w:pPr>
      <w:spacing w:before="160"/>
      <w:jc w:val="center"/>
    </w:pPr>
    <w:rPr>
      <w:i/>
      <w:iCs/>
      <w:color w:val="404040" w:themeColor="text1" w:themeTint="BF"/>
    </w:rPr>
  </w:style>
  <w:style w:type="character" w:customStyle="1" w:styleId="QuoteChar">
    <w:name w:val="Quote Char"/>
    <w:basedOn w:val="DefaultParagraphFont"/>
    <w:link w:val="Quote"/>
    <w:uiPriority w:val="29"/>
    <w:rsid w:val="00B11B24"/>
    <w:rPr>
      <w:i/>
      <w:iCs/>
      <w:color w:val="404040" w:themeColor="text1" w:themeTint="BF"/>
    </w:rPr>
  </w:style>
  <w:style w:type="paragraph" w:styleId="ListParagraph">
    <w:name w:val="List Paragraph"/>
    <w:basedOn w:val="Normal"/>
    <w:uiPriority w:val="34"/>
    <w:qFormat/>
    <w:rsid w:val="00B11B24"/>
    <w:pPr>
      <w:ind w:left="720"/>
      <w:contextualSpacing/>
    </w:pPr>
  </w:style>
  <w:style w:type="character" w:styleId="IntenseEmphasis">
    <w:name w:val="Intense Emphasis"/>
    <w:basedOn w:val="DefaultParagraphFont"/>
    <w:uiPriority w:val="21"/>
    <w:qFormat/>
    <w:rsid w:val="00B11B24"/>
    <w:rPr>
      <w:i/>
      <w:iCs/>
      <w:color w:val="0F4761" w:themeColor="accent1" w:themeShade="BF"/>
    </w:rPr>
  </w:style>
  <w:style w:type="paragraph" w:styleId="IntenseQuote">
    <w:name w:val="Intense Quote"/>
    <w:basedOn w:val="Normal"/>
    <w:next w:val="Normal"/>
    <w:link w:val="IntenseQuoteChar"/>
    <w:uiPriority w:val="30"/>
    <w:qFormat/>
    <w:rsid w:val="00B11B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1B24"/>
    <w:rPr>
      <w:i/>
      <w:iCs/>
      <w:color w:val="0F4761" w:themeColor="accent1" w:themeShade="BF"/>
    </w:rPr>
  </w:style>
  <w:style w:type="character" w:styleId="IntenseReference">
    <w:name w:val="Intense Reference"/>
    <w:basedOn w:val="DefaultParagraphFont"/>
    <w:uiPriority w:val="32"/>
    <w:qFormat/>
    <w:rsid w:val="00B11B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356</Words>
  <Characters>1873</Characters>
  <Application>Microsoft Office Word</Application>
  <DocSecurity>0</DocSecurity>
  <Lines>43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Christopher - FPAC-NRCS, WA</dc:creator>
  <cp:keywords/>
  <dc:description/>
  <cp:lastModifiedBy>Knehans, Lynelle - FPAC-NRCS, WA</cp:lastModifiedBy>
  <cp:revision>3</cp:revision>
  <dcterms:created xsi:type="dcterms:W3CDTF">2026-04-09T23:37:00Z</dcterms:created>
  <dcterms:modified xsi:type="dcterms:W3CDTF">2026-04-09T23:39:00Z</dcterms:modified>
</cp:coreProperties>
</file>