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639" w:type="dxa"/>
        <w:tblInd w:w="-54" w:type="dxa"/>
        <w:tblLayout w:type="fixed"/>
        <w:tblLook w:val="0000" w:firstRow="0" w:lastRow="0" w:firstColumn="0" w:lastColumn="0" w:noHBand="0" w:noVBand="0"/>
      </w:tblPr>
      <w:tblGrid>
        <w:gridCol w:w="72"/>
        <w:gridCol w:w="597"/>
        <w:gridCol w:w="2829"/>
        <w:gridCol w:w="1260"/>
        <w:gridCol w:w="16791"/>
        <w:gridCol w:w="90"/>
      </w:tblGrid>
      <w:tr w:rsidR="005E2ABF" w14:paraId="0D3C4920" w14:textId="77777777" w:rsidTr="005E2ABF">
        <w:trPr>
          <w:gridBefore w:val="1"/>
          <w:gridAfter w:val="1"/>
          <w:wBefore w:w="72" w:type="dxa"/>
          <w:wAfter w:w="90" w:type="dxa"/>
          <w:cantSplit/>
        </w:trPr>
        <w:tc>
          <w:tcPr>
            <w:tcW w:w="21477" w:type="dxa"/>
            <w:gridSpan w:val="4"/>
            <w:tcBorders>
              <w:top w:val="single" w:sz="12" w:space="0" w:color="auto"/>
              <w:left w:val="single" w:sz="12" w:space="0" w:color="auto"/>
              <w:right w:val="single" w:sz="12" w:space="0" w:color="auto"/>
            </w:tcBorders>
            <w:vAlign w:val="center"/>
          </w:tcPr>
          <w:p w14:paraId="4062113E" w14:textId="275EECE3" w:rsidR="005E2ABF" w:rsidRPr="00441E5D" w:rsidRDefault="005E2ABF" w:rsidP="00130465">
            <w:pPr>
              <w:pStyle w:val="Heading5"/>
              <w:numPr>
                <w:ilvl w:val="0"/>
                <w:numId w:val="0"/>
              </w:numPr>
              <w:tabs>
                <w:tab w:val="left" w:pos="1440"/>
                <w:tab w:val="left" w:pos="5040"/>
                <w:tab w:val="left" w:pos="6480"/>
                <w:tab w:val="left" w:pos="13862"/>
                <w:tab w:val="left" w:pos="14436"/>
                <w:tab w:val="left" w:pos="14508"/>
              </w:tabs>
              <w:spacing w:before="60"/>
              <w:ind w:right="-72"/>
              <w:jc w:val="center"/>
              <w:rPr>
                <w:sz w:val="40"/>
                <w:szCs w:val="40"/>
              </w:rPr>
            </w:pPr>
            <w:r>
              <w:rPr>
                <w:rFonts w:ascii="Times New Roman Bold" w:hAnsi="Times New Roman Bold"/>
                <w:spacing w:val="60"/>
                <w:w w:val="125"/>
                <w:sz w:val="40"/>
                <w:szCs w:val="40"/>
              </w:rPr>
              <w:t>2026</w:t>
            </w:r>
            <w:r w:rsidRPr="00441E5D">
              <w:rPr>
                <w:rFonts w:ascii="Times New Roman Bold" w:hAnsi="Times New Roman Bold"/>
                <w:spacing w:val="60"/>
                <w:w w:val="125"/>
                <w:sz w:val="40"/>
                <w:szCs w:val="40"/>
              </w:rPr>
              <w:t xml:space="preserve"> DRAFT </w:t>
            </w:r>
            <w:r>
              <w:rPr>
                <w:rFonts w:ascii="Times New Roman Bold" w:hAnsi="Times New Roman Bold"/>
                <w:spacing w:val="60"/>
                <w:w w:val="125"/>
                <w:sz w:val="40"/>
                <w:szCs w:val="40"/>
              </w:rPr>
              <w:t>HRM</w:t>
            </w:r>
            <w:r w:rsidRPr="00441E5D">
              <w:rPr>
                <w:rFonts w:ascii="Times New Roman Bold" w:hAnsi="Times New Roman Bold"/>
                <w:spacing w:val="60"/>
                <w:w w:val="125"/>
                <w:sz w:val="40"/>
                <w:szCs w:val="40"/>
              </w:rPr>
              <w:t xml:space="preserve"> REVIEW FORM</w:t>
            </w:r>
          </w:p>
        </w:tc>
      </w:tr>
      <w:tr w:rsidR="005E2ABF" w14:paraId="469C7D67" w14:textId="77777777" w:rsidTr="005E2ABF">
        <w:tblPrEx>
          <w:tblBorders>
            <w:top w:val="nil"/>
            <w:left w:val="nil"/>
            <w:bottom w:val="nil"/>
            <w:right w:val="nil"/>
            <w:insideH w:val="nil"/>
            <w:insideV w:val="nil"/>
          </w:tblBorders>
          <w:tblCellMar>
            <w:left w:w="36" w:type="dxa"/>
            <w:right w:w="36" w:type="dxa"/>
          </w:tblCellMar>
          <w:tblLook w:val="00A0" w:firstRow="1" w:lastRow="0" w:firstColumn="1" w:lastColumn="0" w:noHBand="0" w:noVBand="0"/>
        </w:tblPrEx>
        <w:trPr>
          <w:trHeight w:hRule="exact" w:val="948"/>
          <w:tblHeader/>
        </w:trPr>
        <w:tc>
          <w:tcPr>
            <w:tcW w:w="669" w:type="dxa"/>
            <w:gridSpan w:val="2"/>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4F2DD719" w14:textId="23DF1FE5" w:rsidR="005E2ABF" w:rsidRDefault="005E2ABF" w:rsidP="005E2ABF">
            <w:pPr>
              <w:jc w:val="center"/>
              <w:rPr>
                <w:b/>
                <w:noProof/>
                <w:color w:val="FFFFFF"/>
                <w:sz w:val="18"/>
              </w:rPr>
            </w:pPr>
            <w:r>
              <w:rPr>
                <w:b/>
                <w:noProof/>
                <w:color w:val="FFFFFF"/>
                <w:sz w:val="18"/>
              </w:rPr>
              <w:t>No.</w:t>
            </w:r>
          </w:p>
        </w:tc>
        <w:tc>
          <w:tcPr>
            <w:tcW w:w="2829"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64BE059F" w14:textId="7D054B7C" w:rsidR="005E2ABF" w:rsidRDefault="005E2ABF" w:rsidP="005E2ABF">
            <w:pPr>
              <w:jc w:val="center"/>
              <w:rPr>
                <w:b/>
                <w:noProof/>
                <w:color w:val="FFFFFF"/>
                <w:sz w:val="18"/>
              </w:rPr>
            </w:pPr>
            <w:r>
              <w:rPr>
                <w:b/>
                <w:noProof/>
                <w:color w:val="FFFFFF"/>
                <w:sz w:val="18"/>
              </w:rPr>
              <w:t>Section/Appendix Number</w:t>
            </w:r>
          </w:p>
        </w:tc>
        <w:tc>
          <w:tcPr>
            <w:tcW w:w="1260" w:type="dxa"/>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68EA997F" w14:textId="5858D41D" w:rsidR="005E2ABF" w:rsidRDefault="005E2ABF" w:rsidP="005E2ABF">
            <w:pPr>
              <w:jc w:val="center"/>
              <w:rPr>
                <w:b/>
                <w:noProof/>
                <w:color w:val="FFFFFF"/>
                <w:sz w:val="18"/>
              </w:rPr>
            </w:pPr>
            <w:r>
              <w:rPr>
                <w:b/>
                <w:noProof/>
                <w:color w:val="FFFFFF"/>
                <w:sz w:val="18"/>
              </w:rPr>
              <w:t>Page Number</w:t>
            </w:r>
          </w:p>
        </w:tc>
        <w:tc>
          <w:tcPr>
            <w:tcW w:w="16881" w:type="dxa"/>
            <w:gridSpan w:val="2"/>
            <w:tcBorders>
              <w:top w:val="single" w:sz="12" w:space="0" w:color="auto"/>
              <w:left w:val="single" w:sz="4" w:space="0" w:color="auto"/>
              <w:bottom w:val="single" w:sz="12" w:space="0" w:color="auto"/>
              <w:right w:val="single" w:sz="4" w:space="0" w:color="auto"/>
            </w:tcBorders>
            <w:shd w:val="clear" w:color="auto" w:fill="808080" w:themeFill="background1" w:themeFillShade="80"/>
            <w:vAlign w:val="center"/>
          </w:tcPr>
          <w:p w14:paraId="0B0F9D31" w14:textId="77777777" w:rsidR="005E2ABF" w:rsidRDefault="005E2ABF" w:rsidP="005E2ABF">
            <w:pPr>
              <w:jc w:val="center"/>
              <w:rPr>
                <w:b/>
                <w:noProof/>
                <w:color w:val="FFFFFF"/>
                <w:sz w:val="18"/>
              </w:rPr>
            </w:pPr>
            <w:r>
              <w:rPr>
                <w:b/>
                <w:noProof/>
                <w:color w:val="FFFFFF"/>
                <w:sz w:val="18"/>
              </w:rPr>
              <w:t>Comment</w:t>
            </w:r>
          </w:p>
        </w:tc>
      </w:tr>
      <w:tr w:rsidR="005E2ABF" w:rsidRPr="00B92787" w14:paraId="1A527A08"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420"/>
        </w:trPr>
        <w:tc>
          <w:tcPr>
            <w:tcW w:w="669" w:type="dxa"/>
            <w:gridSpan w:val="2"/>
            <w:tcBorders>
              <w:top w:val="single" w:sz="12" w:space="0" w:color="auto"/>
              <w:left w:val="single" w:sz="4" w:space="0" w:color="auto"/>
              <w:bottom w:val="single" w:sz="4" w:space="0" w:color="auto"/>
              <w:right w:val="single" w:sz="4" w:space="0" w:color="auto"/>
            </w:tcBorders>
          </w:tcPr>
          <w:p w14:paraId="50BA0AD7" w14:textId="3A45568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1</w:t>
            </w:r>
          </w:p>
        </w:tc>
        <w:tc>
          <w:tcPr>
            <w:tcW w:w="2829" w:type="dxa"/>
            <w:tcBorders>
              <w:top w:val="single" w:sz="12" w:space="0" w:color="auto"/>
              <w:left w:val="single" w:sz="4" w:space="0" w:color="auto"/>
              <w:bottom w:val="single" w:sz="4" w:space="0" w:color="auto"/>
              <w:right w:val="single" w:sz="4" w:space="0" w:color="auto"/>
            </w:tcBorders>
          </w:tcPr>
          <w:p w14:paraId="77F866C6" w14:textId="2CA1A815"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2-1.2.1</w:t>
            </w:r>
          </w:p>
        </w:tc>
        <w:tc>
          <w:tcPr>
            <w:tcW w:w="1260" w:type="dxa"/>
            <w:tcBorders>
              <w:top w:val="single" w:sz="12" w:space="0" w:color="auto"/>
              <w:left w:val="single" w:sz="4" w:space="0" w:color="auto"/>
              <w:bottom w:val="single" w:sz="4" w:space="0" w:color="auto"/>
              <w:right w:val="single" w:sz="4" w:space="0" w:color="auto"/>
            </w:tcBorders>
          </w:tcPr>
          <w:p w14:paraId="0F8BA561" w14:textId="30A9093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2-3</w:t>
            </w:r>
          </w:p>
        </w:tc>
        <w:tc>
          <w:tcPr>
            <w:tcW w:w="16881" w:type="dxa"/>
            <w:gridSpan w:val="2"/>
            <w:tcBorders>
              <w:top w:val="single" w:sz="12" w:space="0" w:color="auto"/>
              <w:left w:val="single" w:sz="4" w:space="0" w:color="auto"/>
              <w:bottom w:val="single" w:sz="4" w:space="0" w:color="auto"/>
              <w:right w:val="single" w:sz="4" w:space="0" w:color="auto"/>
            </w:tcBorders>
          </w:tcPr>
          <w:p w14:paraId="7B543FFE" w14:textId="5FD2A25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Delete redundant bullets for "TMDL" and "CWA Section 303(d)-listed impaired waters" as they are both covered in a previous bullet.</w:t>
            </w:r>
          </w:p>
        </w:tc>
      </w:tr>
      <w:tr w:rsidR="005E2ABF" w:rsidRPr="00B92787" w14:paraId="125EF6C5"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953"/>
        </w:trPr>
        <w:tc>
          <w:tcPr>
            <w:tcW w:w="669" w:type="dxa"/>
            <w:gridSpan w:val="2"/>
            <w:tcBorders>
              <w:top w:val="single" w:sz="4" w:space="0" w:color="auto"/>
              <w:left w:val="single" w:sz="4" w:space="0" w:color="auto"/>
              <w:bottom w:val="single" w:sz="4" w:space="0" w:color="auto"/>
              <w:right w:val="single" w:sz="4" w:space="0" w:color="auto"/>
            </w:tcBorders>
          </w:tcPr>
          <w:p w14:paraId="5C509F2C" w14:textId="11149637"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w:t>
            </w:r>
          </w:p>
        </w:tc>
        <w:tc>
          <w:tcPr>
            <w:tcW w:w="2829" w:type="dxa"/>
            <w:tcBorders>
              <w:top w:val="single" w:sz="4" w:space="0" w:color="auto"/>
              <w:left w:val="single" w:sz="4" w:space="0" w:color="auto"/>
              <w:bottom w:val="single" w:sz="4" w:space="0" w:color="auto"/>
              <w:right w:val="single" w:sz="4" w:space="0" w:color="auto"/>
            </w:tcBorders>
          </w:tcPr>
          <w:p w14:paraId="6D4F10FF" w14:textId="0C3EB273"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2-4.2</w:t>
            </w:r>
          </w:p>
        </w:tc>
        <w:tc>
          <w:tcPr>
            <w:tcW w:w="1260" w:type="dxa"/>
            <w:tcBorders>
              <w:top w:val="single" w:sz="4" w:space="0" w:color="auto"/>
              <w:left w:val="single" w:sz="4" w:space="0" w:color="auto"/>
              <w:bottom w:val="single" w:sz="4" w:space="0" w:color="auto"/>
              <w:right w:val="single" w:sz="4" w:space="0" w:color="auto"/>
            </w:tcBorders>
          </w:tcPr>
          <w:p w14:paraId="0D4C038C" w14:textId="4E61EDE5"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2-13</w:t>
            </w:r>
          </w:p>
        </w:tc>
        <w:tc>
          <w:tcPr>
            <w:tcW w:w="16881" w:type="dxa"/>
            <w:gridSpan w:val="2"/>
            <w:tcBorders>
              <w:top w:val="single" w:sz="4" w:space="0" w:color="auto"/>
              <w:left w:val="single" w:sz="4" w:space="0" w:color="auto"/>
              <w:bottom w:val="single" w:sz="4" w:space="0" w:color="auto"/>
              <w:right w:val="single" w:sz="4" w:space="0" w:color="auto"/>
            </w:tcBorders>
          </w:tcPr>
          <w:p w14:paraId="3830BD8B" w14:textId="5B97535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Recommend editing sentence to introduce new terminology being used in Ecology's Water Quality Atlas. Current sentence, "TMDLs and alternative plans are Ecology watershed cleanup plans that cover a watershed boundary, not just water body segments like a 303(d) listing." New sentence proposed sentence, "Approved water quality improvement projects, such as TMDLs and alternative plans, cover a watershed boundary, not just water body segments like a 303(d) listing."</w:t>
            </w:r>
          </w:p>
        </w:tc>
      </w:tr>
      <w:tr w:rsidR="005E2ABF" w:rsidRPr="00B92787" w14:paraId="2300AE4D"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620"/>
        </w:trPr>
        <w:tc>
          <w:tcPr>
            <w:tcW w:w="669" w:type="dxa"/>
            <w:gridSpan w:val="2"/>
            <w:tcBorders>
              <w:top w:val="single" w:sz="4" w:space="0" w:color="auto"/>
              <w:left w:val="single" w:sz="4" w:space="0" w:color="auto"/>
              <w:bottom w:val="single" w:sz="4" w:space="0" w:color="auto"/>
              <w:right w:val="single" w:sz="4" w:space="0" w:color="auto"/>
            </w:tcBorders>
          </w:tcPr>
          <w:p w14:paraId="767B8B45" w14:textId="5DD37F6A"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3</w:t>
            </w:r>
          </w:p>
        </w:tc>
        <w:tc>
          <w:tcPr>
            <w:tcW w:w="2829" w:type="dxa"/>
            <w:tcBorders>
              <w:top w:val="single" w:sz="4" w:space="0" w:color="auto"/>
              <w:left w:val="single" w:sz="4" w:space="0" w:color="auto"/>
              <w:bottom w:val="single" w:sz="4" w:space="0" w:color="auto"/>
              <w:right w:val="single" w:sz="4" w:space="0" w:color="auto"/>
            </w:tcBorders>
          </w:tcPr>
          <w:p w14:paraId="40569F5A" w14:textId="1BF73A1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2-4.2</w:t>
            </w:r>
          </w:p>
        </w:tc>
        <w:tc>
          <w:tcPr>
            <w:tcW w:w="1260" w:type="dxa"/>
            <w:tcBorders>
              <w:top w:val="single" w:sz="4" w:space="0" w:color="auto"/>
              <w:left w:val="single" w:sz="4" w:space="0" w:color="auto"/>
              <w:bottom w:val="single" w:sz="4" w:space="0" w:color="auto"/>
              <w:right w:val="single" w:sz="4" w:space="0" w:color="auto"/>
            </w:tcBorders>
          </w:tcPr>
          <w:p w14:paraId="562C1D94" w14:textId="4AAE994A"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2-13</w:t>
            </w:r>
          </w:p>
        </w:tc>
        <w:tc>
          <w:tcPr>
            <w:tcW w:w="16881" w:type="dxa"/>
            <w:gridSpan w:val="2"/>
            <w:tcBorders>
              <w:top w:val="single" w:sz="4" w:space="0" w:color="auto"/>
              <w:left w:val="single" w:sz="4" w:space="0" w:color="auto"/>
              <w:bottom w:val="single" w:sz="4" w:space="0" w:color="auto"/>
              <w:right w:val="single" w:sz="4" w:space="0" w:color="auto"/>
            </w:tcBorders>
          </w:tcPr>
          <w:p w14:paraId="7577A774" w14:textId="273B7850" w:rsidR="005E2ABF" w:rsidRPr="005E2ABF" w:rsidRDefault="005E2ABF" w:rsidP="005E2ABF">
            <w:pPr>
              <w:pStyle w:val="NormalWeb"/>
              <w:rPr>
                <w:rFonts w:asciiTheme="minorHAnsi" w:hAnsiTheme="minorHAnsi" w:cstheme="minorHAnsi"/>
                <w:i/>
                <w:sz w:val="22"/>
                <w:szCs w:val="22"/>
              </w:rPr>
            </w:pPr>
            <w:r w:rsidRPr="005E2ABF">
              <w:rPr>
                <w:rFonts w:asciiTheme="minorHAnsi" w:hAnsiTheme="minorHAnsi" w:cstheme="minorHAnsi"/>
                <w:sz w:val="22"/>
                <w:szCs w:val="22"/>
              </w:rPr>
              <w:t>This sentence seems to be referencing the old format, which has been replaced with the Impaired Waters Table in Appendix 5A. Propose editing this sentence to reflect new format, "The first page of each BMP section in Chapter 5 includes TMDL/303(d) considerations to aid in BMP selection when discharging to an impaired water body."</w:t>
            </w:r>
          </w:p>
        </w:tc>
      </w:tr>
      <w:tr w:rsidR="005E2ABF" w:rsidRPr="00B92787" w14:paraId="3FD419A7"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690"/>
        </w:trPr>
        <w:tc>
          <w:tcPr>
            <w:tcW w:w="669" w:type="dxa"/>
            <w:gridSpan w:val="2"/>
            <w:tcBorders>
              <w:top w:val="single" w:sz="12" w:space="0" w:color="auto"/>
              <w:left w:val="single" w:sz="4" w:space="0" w:color="auto"/>
              <w:bottom w:val="single" w:sz="4" w:space="0" w:color="auto"/>
              <w:right w:val="single" w:sz="4" w:space="0" w:color="auto"/>
            </w:tcBorders>
          </w:tcPr>
          <w:p w14:paraId="580D09FD" w14:textId="15CBF1A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4</w:t>
            </w:r>
          </w:p>
        </w:tc>
        <w:tc>
          <w:tcPr>
            <w:tcW w:w="2829" w:type="dxa"/>
            <w:tcBorders>
              <w:top w:val="single" w:sz="12" w:space="0" w:color="auto"/>
              <w:left w:val="single" w:sz="4" w:space="0" w:color="auto"/>
              <w:bottom w:val="single" w:sz="4" w:space="0" w:color="auto"/>
              <w:right w:val="single" w:sz="4" w:space="0" w:color="auto"/>
            </w:tcBorders>
          </w:tcPr>
          <w:p w14:paraId="54BAAF3E" w14:textId="7C9AC1E3"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w:t>
            </w:r>
          </w:p>
        </w:tc>
        <w:tc>
          <w:tcPr>
            <w:tcW w:w="1260" w:type="dxa"/>
            <w:tcBorders>
              <w:top w:val="single" w:sz="12" w:space="0" w:color="auto"/>
              <w:left w:val="single" w:sz="4" w:space="0" w:color="auto"/>
              <w:bottom w:val="single" w:sz="4" w:space="0" w:color="auto"/>
              <w:right w:val="single" w:sz="4" w:space="0" w:color="auto"/>
            </w:tcBorders>
          </w:tcPr>
          <w:p w14:paraId="18E1BDBC" w14:textId="5C1515B3"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5A-1</w:t>
            </w:r>
          </w:p>
        </w:tc>
        <w:tc>
          <w:tcPr>
            <w:tcW w:w="16881" w:type="dxa"/>
            <w:gridSpan w:val="2"/>
            <w:tcBorders>
              <w:top w:val="single" w:sz="12" w:space="0" w:color="auto"/>
              <w:left w:val="single" w:sz="4" w:space="0" w:color="auto"/>
              <w:bottom w:val="single" w:sz="4" w:space="0" w:color="auto"/>
              <w:right w:val="single" w:sz="4" w:space="0" w:color="auto"/>
            </w:tcBorders>
          </w:tcPr>
          <w:p w14:paraId="27389177" w14:textId="415ADF64"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 xml:space="preserve">"X = Prohibited" was added to the Table legend but not to the Table where appropriate based on the language prohibiting the use of compost in phosphorus sensitive areas added in 5-3.5 on pages 5-15 and 5-16. </w:t>
            </w:r>
          </w:p>
        </w:tc>
      </w:tr>
      <w:tr w:rsidR="005E2ABF" w:rsidRPr="00B92787" w14:paraId="3721F4E9"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420"/>
        </w:trPr>
        <w:tc>
          <w:tcPr>
            <w:tcW w:w="669" w:type="dxa"/>
            <w:gridSpan w:val="2"/>
            <w:tcBorders>
              <w:top w:val="single" w:sz="4" w:space="0" w:color="auto"/>
              <w:left w:val="single" w:sz="4" w:space="0" w:color="auto"/>
              <w:bottom w:val="single" w:sz="4" w:space="0" w:color="auto"/>
              <w:right w:val="single" w:sz="4" w:space="0" w:color="auto"/>
            </w:tcBorders>
          </w:tcPr>
          <w:p w14:paraId="00AC6590" w14:textId="4C018B73"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w:t>
            </w:r>
          </w:p>
        </w:tc>
        <w:tc>
          <w:tcPr>
            <w:tcW w:w="2829" w:type="dxa"/>
            <w:tcBorders>
              <w:top w:val="single" w:sz="4" w:space="0" w:color="auto"/>
              <w:left w:val="single" w:sz="4" w:space="0" w:color="auto"/>
              <w:bottom w:val="single" w:sz="4" w:space="0" w:color="auto"/>
              <w:right w:val="single" w:sz="4" w:space="0" w:color="auto"/>
            </w:tcBorders>
          </w:tcPr>
          <w:p w14:paraId="3C0E4D75" w14:textId="074517BD"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w:t>
            </w:r>
          </w:p>
        </w:tc>
        <w:tc>
          <w:tcPr>
            <w:tcW w:w="1260" w:type="dxa"/>
            <w:tcBorders>
              <w:top w:val="single" w:sz="4" w:space="0" w:color="auto"/>
              <w:left w:val="single" w:sz="4" w:space="0" w:color="auto"/>
              <w:bottom w:val="single" w:sz="4" w:space="0" w:color="auto"/>
              <w:right w:val="single" w:sz="4" w:space="0" w:color="auto"/>
            </w:tcBorders>
          </w:tcPr>
          <w:p w14:paraId="0BBE55A7" w14:textId="22E7D506"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5A-1</w:t>
            </w:r>
          </w:p>
        </w:tc>
        <w:tc>
          <w:tcPr>
            <w:tcW w:w="16881" w:type="dxa"/>
            <w:gridSpan w:val="2"/>
            <w:tcBorders>
              <w:top w:val="single" w:sz="4" w:space="0" w:color="auto"/>
              <w:left w:val="single" w:sz="4" w:space="0" w:color="auto"/>
              <w:bottom w:val="single" w:sz="4" w:space="0" w:color="auto"/>
              <w:right w:val="single" w:sz="4" w:space="0" w:color="auto"/>
            </w:tcBorders>
          </w:tcPr>
          <w:p w14:paraId="1FE89A79" w14:textId="4C82F223"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 xml:space="preserve">Change “Fecal Coliform” to “Bacteria (Fecal Coliform/E. </w:t>
            </w:r>
            <w:r>
              <w:rPr>
                <w:rFonts w:asciiTheme="minorHAnsi" w:hAnsiTheme="minorHAnsi" w:cstheme="minorHAnsi"/>
              </w:rPr>
              <w:t>c</w:t>
            </w:r>
            <w:r w:rsidRPr="005E2ABF">
              <w:rPr>
                <w:rFonts w:asciiTheme="minorHAnsi" w:hAnsiTheme="minorHAnsi" w:cstheme="minorHAnsi"/>
              </w:rPr>
              <w:t>oli)”.</w:t>
            </w:r>
          </w:p>
        </w:tc>
      </w:tr>
      <w:tr w:rsidR="005E2ABF" w:rsidRPr="00B92787" w14:paraId="62B92DAA"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420"/>
        </w:trPr>
        <w:tc>
          <w:tcPr>
            <w:tcW w:w="669" w:type="dxa"/>
            <w:gridSpan w:val="2"/>
            <w:tcBorders>
              <w:top w:val="single" w:sz="4" w:space="0" w:color="auto"/>
              <w:left w:val="single" w:sz="4" w:space="0" w:color="auto"/>
              <w:bottom w:val="single" w:sz="4" w:space="0" w:color="auto"/>
              <w:right w:val="single" w:sz="4" w:space="0" w:color="auto"/>
            </w:tcBorders>
          </w:tcPr>
          <w:p w14:paraId="333B0FE8" w14:textId="724F8C12"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6</w:t>
            </w:r>
          </w:p>
        </w:tc>
        <w:tc>
          <w:tcPr>
            <w:tcW w:w="2829" w:type="dxa"/>
            <w:tcBorders>
              <w:top w:val="single" w:sz="4" w:space="0" w:color="auto"/>
              <w:left w:val="single" w:sz="4" w:space="0" w:color="auto"/>
              <w:bottom w:val="single" w:sz="4" w:space="0" w:color="auto"/>
              <w:right w:val="single" w:sz="4" w:space="0" w:color="auto"/>
            </w:tcBorders>
          </w:tcPr>
          <w:p w14:paraId="0630681B" w14:textId="70C0E5C1"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w:t>
            </w:r>
          </w:p>
        </w:tc>
        <w:tc>
          <w:tcPr>
            <w:tcW w:w="1260" w:type="dxa"/>
            <w:tcBorders>
              <w:top w:val="single" w:sz="4" w:space="0" w:color="auto"/>
              <w:left w:val="single" w:sz="4" w:space="0" w:color="auto"/>
              <w:bottom w:val="single" w:sz="4" w:space="0" w:color="auto"/>
              <w:right w:val="single" w:sz="4" w:space="0" w:color="auto"/>
            </w:tcBorders>
          </w:tcPr>
          <w:p w14:paraId="0A167D8C" w14:textId="2EAA47F6"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5A-1</w:t>
            </w:r>
          </w:p>
        </w:tc>
        <w:tc>
          <w:tcPr>
            <w:tcW w:w="16881" w:type="dxa"/>
            <w:gridSpan w:val="2"/>
            <w:tcBorders>
              <w:top w:val="single" w:sz="4" w:space="0" w:color="auto"/>
              <w:left w:val="single" w:sz="4" w:space="0" w:color="auto"/>
              <w:bottom w:val="single" w:sz="4" w:space="0" w:color="auto"/>
              <w:right w:val="single" w:sz="4" w:space="0" w:color="auto"/>
            </w:tcBorders>
          </w:tcPr>
          <w:p w14:paraId="1BDB1E02" w14:textId="55977EE9" w:rsidR="005E2ABF" w:rsidRPr="005E2ABF" w:rsidRDefault="005E2ABF" w:rsidP="005E2ABF">
            <w:pPr>
              <w:pStyle w:val="NormalWeb"/>
              <w:rPr>
                <w:rFonts w:asciiTheme="minorHAnsi" w:hAnsiTheme="minorHAnsi" w:cstheme="minorHAnsi"/>
                <w:i/>
                <w:sz w:val="22"/>
                <w:szCs w:val="22"/>
              </w:rPr>
            </w:pPr>
            <w:r w:rsidRPr="005E2ABF">
              <w:rPr>
                <w:rFonts w:asciiTheme="minorHAnsi" w:hAnsiTheme="minorHAnsi" w:cstheme="minorHAnsi"/>
                <w:sz w:val="22"/>
                <w:szCs w:val="22"/>
              </w:rPr>
              <w:t>Add “Fine Sediment” to “Total Suspended Solids/Turbidity”.</w:t>
            </w:r>
          </w:p>
        </w:tc>
      </w:tr>
      <w:tr w:rsidR="005E2ABF" w:rsidRPr="00B92787" w14:paraId="7FDC302E"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420"/>
        </w:trPr>
        <w:tc>
          <w:tcPr>
            <w:tcW w:w="669" w:type="dxa"/>
            <w:gridSpan w:val="2"/>
            <w:tcBorders>
              <w:top w:val="single" w:sz="12" w:space="0" w:color="auto"/>
              <w:left w:val="single" w:sz="4" w:space="0" w:color="auto"/>
              <w:bottom w:val="single" w:sz="4" w:space="0" w:color="auto"/>
              <w:right w:val="single" w:sz="4" w:space="0" w:color="auto"/>
            </w:tcBorders>
          </w:tcPr>
          <w:p w14:paraId="0ED10021" w14:textId="70BD91D0"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7</w:t>
            </w:r>
          </w:p>
        </w:tc>
        <w:tc>
          <w:tcPr>
            <w:tcW w:w="2829" w:type="dxa"/>
            <w:tcBorders>
              <w:top w:val="single" w:sz="12" w:space="0" w:color="auto"/>
              <w:left w:val="single" w:sz="4" w:space="0" w:color="auto"/>
              <w:bottom w:val="single" w:sz="4" w:space="0" w:color="auto"/>
              <w:right w:val="single" w:sz="4" w:space="0" w:color="auto"/>
            </w:tcBorders>
          </w:tcPr>
          <w:p w14:paraId="6A54FA4B" w14:textId="7BDE00C8"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w:t>
            </w:r>
          </w:p>
        </w:tc>
        <w:tc>
          <w:tcPr>
            <w:tcW w:w="1260" w:type="dxa"/>
            <w:tcBorders>
              <w:top w:val="single" w:sz="12" w:space="0" w:color="auto"/>
              <w:left w:val="single" w:sz="4" w:space="0" w:color="auto"/>
              <w:bottom w:val="single" w:sz="4" w:space="0" w:color="auto"/>
              <w:right w:val="single" w:sz="4" w:space="0" w:color="auto"/>
            </w:tcBorders>
          </w:tcPr>
          <w:p w14:paraId="5912FD77" w14:textId="1F5BB64D"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5A-1</w:t>
            </w:r>
          </w:p>
        </w:tc>
        <w:tc>
          <w:tcPr>
            <w:tcW w:w="16881" w:type="dxa"/>
            <w:gridSpan w:val="2"/>
            <w:tcBorders>
              <w:top w:val="single" w:sz="12" w:space="0" w:color="auto"/>
              <w:left w:val="single" w:sz="4" w:space="0" w:color="auto"/>
              <w:bottom w:val="single" w:sz="4" w:space="0" w:color="auto"/>
              <w:right w:val="single" w:sz="4" w:space="0" w:color="auto"/>
            </w:tcBorders>
          </w:tcPr>
          <w:p w14:paraId="48929F7D" w14:textId="6ECA456D"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 xml:space="preserve">Change “Phosphorus” to “Total Phosphorus or Phosphorus-Sensitive”. </w:t>
            </w:r>
          </w:p>
        </w:tc>
      </w:tr>
      <w:tr w:rsidR="005E2ABF" w:rsidRPr="00B92787" w14:paraId="66A99B70"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420"/>
        </w:trPr>
        <w:tc>
          <w:tcPr>
            <w:tcW w:w="669" w:type="dxa"/>
            <w:gridSpan w:val="2"/>
            <w:tcBorders>
              <w:top w:val="single" w:sz="4" w:space="0" w:color="auto"/>
              <w:left w:val="single" w:sz="4" w:space="0" w:color="auto"/>
              <w:bottom w:val="single" w:sz="4" w:space="0" w:color="auto"/>
              <w:right w:val="single" w:sz="4" w:space="0" w:color="auto"/>
            </w:tcBorders>
          </w:tcPr>
          <w:p w14:paraId="00747D02" w14:textId="338FBB65"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8</w:t>
            </w:r>
          </w:p>
        </w:tc>
        <w:tc>
          <w:tcPr>
            <w:tcW w:w="2829" w:type="dxa"/>
            <w:tcBorders>
              <w:top w:val="single" w:sz="4" w:space="0" w:color="auto"/>
              <w:left w:val="single" w:sz="4" w:space="0" w:color="auto"/>
              <w:bottom w:val="single" w:sz="4" w:space="0" w:color="auto"/>
              <w:right w:val="single" w:sz="4" w:space="0" w:color="auto"/>
            </w:tcBorders>
          </w:tcPr>
          <w:p w14:paraId="228AB547" w14:textId="02FEB50E"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w:t>
            </w:r>
          </w:p>
        </w:tc>
        <w:tc>
          <w:tcPr>
            <w:tcW w:w="1260" w:type="dxa"/>
            <w:tcBorders>
              <w:top w:val="single" w:sz="4" w:space="0" w:color="auto"/>
              <w:left w:val="single" w:sz="4" w:space="0" w:color="auto"/>
              <w:bottom w:val="single" w:sz="4" w:space="0" w:color="auto"/>
              <w:right w:val="single" w:sz="4" w:space="0" w:color="auto"/>
            </w:tcBorders>
          </w:tcPr>
          <w:p w14:paraId="3E593B30" w14:textId="61B0EC30"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5A-1</w:t>
            </w:r>
          </w:p>
        </w:tc>
        <w:tc>
          <w:tcPr>
            <w:tcW w:w="16881" w:type="dxa"/>
            <w:gridSpan w:val="2"/>
            <w:tcBorders>
              <w:top w:val="single" w:sz="4" w:space="0" w:color="auto"/>
              <w:left w:val="single" w:sz="4" w:space="0" w:color="auto"/>
              <w:bottom w:val="single" w:sz="4" w:space="0" w:color="auto"/>
              <w:right w:val="single" w:sz="4" w:space="0" w:color="auto"/>
            </w:tcBorders>
          </w:tcPr>
          <w:p w14:paraId="0040647A" w14:textId="5B61C8A0"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Propose deleting "Dissolved Oxygen" to prevent confusion with more detailed guidance added in 5-3.5 about impairments and compost use.</w:t>
            </w:r>
          </w:p>
        </w:tc>
      </w:tr>
      <w:tr w:rsidR="005E2ABF" w:rsidRPr="00B92787" w14:paraId="44C4B496" w14:textId="77777777" w:rsidTr="005E2ABF">
        <w:tblPrEx>
          <w:tblBorders>
            <w:top w:val="nil"/>
            <w:left w:val="nil"/>
            <w:bottom w:val="nil"/>
            <w:right w:val="nil"/>
            <w:insideH w:val="nil"/>
            <w:insideV w:val="nil"/>
          </w:tblBorders>
          <w:tblCellMar>
            <w:left w:w="72" w:type="dxa"/>
            <w:right w:w="72" w:type="dxa"/>
          </w:tblCellMar>
          <w:tblLook w:val="00A0" w:firstRow="1" w:lastRow="0" w:firstColumn="1" w:lastColumn="0" w:noHBand="0" w:noVBand="0"/>
        </w:tblPrEx>
        <w:trPr>
          <w:trHeight w:val="3293"/>
        </w:trPr>
        <w:tc>
          <w:tcPr>
            <w:tcW w:w="669" w:type="dxa"/>
            <w:gridSpan w:val="2"/>
            <w:tcBorders>
              <w:top w:val="single" w:sz="4" w:space="0" w:color="auto"/>
              <w:left w:val="single" w:sz="4" w:space="0" w:color="auto"/>
              <w:bottom w:val="single" w:sz="4" w:space="0" w:color="auto"/>
              <w:right w:val="single" w:sz="4" w:space="0" w:color="auto"/>
            </w:tcBorders>
          </w:tcPr>
          <w:p w14:paraId="7981B018" w14:textId="2C14DBA6" w:rsidR="005E2ABF" w:rsidRPr="005E2ABF" w:rsidRDefault="005E2ABF" w:rsidP="005E2ABF">
            <w:pPr>
              <w:spacing w:before="40"/>
              <w:rPr>
                <w:rFonts w:asciiTheme="minorHAnsi" w:hAnsiTheme="minorHAnsi" w:cstheme="minorHAnsi"/>
              </w:rPr>
            </w:pPr>
            <w:r w:rsidRPr="005E2ABF">
              <w:rPr>
                <w:rFonts w:asciiTheme="minorHAnsi" w:hAnsiTheme="minorHAnsi" w:cstheme="minorHAnsi"/>
              </w:rPr>
              <w:t>9</w:t>
            </w:r>
          </w:p>
        </w:tc>
        <w:tc>
          <w:tcPr>
            <w:tcW w:w="2829" w:type="dxa"/>
            <w:tcBorders>
              <w:top w:val="single" w:sz="4" w:space="0" w:color="auto"/>
              <w:left w:val="single" w:sz="4" w:space="0" w:color="auto"/>
              <w:bottom w:val="single" w:sz="4" w:space="0" w:color="auto"/>
              <w:right w:val="single" w:sz="4" w:space="0" w:color="auto"/>
            </w:tcBorders>
          </w:tcPr>
          <w:p w14:paraId="7EACA9F7" w14:textId="0FEC5B92" w:rsidR="005E2ABF" w:rsidRPr="005E2ABF" w:rsidRDefault="005E2ABF" w:rsidP="005E2ABF">
            <w:pPr>
              <w:spacing w:before="40"/>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4101632A" w14:textId="77777777" w:rsidR="005E2ABF" w:rsidRPr="005E2ABF" w:rsidRDefault="005E2ABF" w:rsidP="005E2ABF">
            <w:pPr>
              <w:spacing w:before="40"/>
              <w:rPr>
                <w:rFonts w:asciiTheme="minorHAnsi" w:hAnsiTheme="minorHAnsi" w:cstheme="minorHAnsi"/>
              </w:rPr>
            </w:pPr>
          </w:p>
        </w:tc>
        <w:tc>
          <w:tcPr>
            <w:tcW w:w="16881" w:type="dxa"/>
            <w:gridSpan w:val="2"/>
            <w:tcBorders>
              <w:top w:val="single" w:sz="4" w:space="0" w:color="auto"/>
              <w:left w:val="single" w:sz="4" w:space="0" w:color="auto"/>
              <w:bottom w:val="single" w:sz="4" w:space="0" w:color="auto"/>
              <w:right w:val="single" w:sz="4" w:space="0" w:color="auto"/>
            </w:tcBorders>
          </w:tcPr>
          <w:p w14:paraId="6D46149A" w14:textId="000142A2" w:rsidR="005E2ABF" w:rsidRPr="005E2ABF" w:rsidRDefault="005E2ABF" w:rsidP="005E2ABF">
            <w:pPr>
              <w:pStyle w:val="NormalWeb"/>
              <w:rPr>
                <w:rFonts w:asciiTheme="minorHAnsi" w:hAnsiTheme="minorHAnsi" w:cstheme="minorHAnsi"/>
                <w:i/>
                <w:sz w:val="22"/>
                <w:szCs w:val="22"/>
              </w:rPr>
            </w:pPr>
            <w:r w:rsidRPr="005E2ABF">
              <w:rPr>
                <w:rFonts w:asciiTheme="minorHAnsi" w:hAnsiTheme="minorHAnsi" w:cstheme="minorHAnsi"/>
                <w:sz w:val="22"/>
                <w:szCs w:val="22"/>
              </w:rPr>
              <w:t>Propose adding some language below or before the Table, perhaps using an asterisk or footnote to connect specific pollutants (Bacteria (Fecal Coliform/E.</w:t>
            </w:r>
            <w:r>
              <w:rPr>
                <w:rFonts w:asciiTheme="minorHAnsi" w:hAnsiTheme="minorHAnsi" w:cstheme="minorHAnsi"/>
                <w:sz w:val="22"/>
                <w:szCs w:val="22"/>
              </w:rPr>
              <w:t xml:space="preserve"> c</w:t>
            </w:r>
            <w:r w:rsidRPr="005E2ABF">
              <w:rPr>
                <w:rFonts w:asciiTheme="minorHAnsi" w:hAnsiTheme="minorHAnsi" w:cstheme="minorHAnsi"/>
                <w:sz w:val="22"/>
                <w:szCs w:val="22"/>
              </w:rPr>
              <w:t>oli and Total Phosphorus or Phosphorus-Sensitive) to the language. Proposed language, "Approved water quality improvement projects (Category 4a and 4b), such as TMDLs, may have titles that obscure the specific pollutant(s) of concern. For example, some Category 4 project titles use generalized terms like:</w:t>
            </w:r>
            <w:r w:rsidRPr="005E2ABF">
              <w:rPr>
                <w:rFonts w:asciiTheme="minorHAnsi" w:hAnsiTheme="minorHAnsi" w:cstheme="minorHAnsi"/>
                <w:sz w:val="22"/>
                <w:szCs w:val="22"/>
              </w:rPr>
              <w:br/>
              <w:t>• Multiparameter – pollutants of concern not specified.</w:t>
            </w:r>
            <w:r w:rsidRPr="005E2ABF">
              <w:rPr>
                <w:rFonts w:asciiTheme="minorHAnsi" w:hAnsiTheme="minorHAnsi" w:cstheme="minorHAnsi"/>
                <w:sz w:val="22"/>
                <w:szCs w:val="22"/>
              </w:rPr>
              <w:br/>
              <w:t>• Nutrient(s) – may be used instead of specifying phosphorus, nitrogen, etc.</w:t>
            </w:r>
            <w:r w:rsidRPr="005E2ABF">
              <w:rPr>
                <w:rFonts w:asciiTheme="minorHAnsi" w:hAnsiTheme="minorHAnsi" w:cstheme="minorHAnsi"/>
                <w:sz w:val="22"/>
                <w:szCs w:val="22"/>
              </w:rPr>
              <w:br/>
              <w:t xml:space="preserve">• Bacteria – may be used instead of specifying fecal coliform or E. coli. </w:t>
            </w:r>
            <w:r w:rsidRPr="005E2ABF">
              <w:rPr>
                <w:rFonts w:asciiTheme="minorHAnsi" w:hAnsiTheme="minorHAnsi" w:cstheme="minorHAnsi"/>
                <w:sz w:val="22"/>
                <w:szCs w:val="22"/>
              </w:rPr>
              <w:br/>
              <w:t>Other Category 4 project titles may have titles that represent a more complex water quality issue that must be understood before BMPs can be selected. For example, the following water quality impairments are often identified as “phosphorus-sensitive”:</w:t>
            </w:r>
            <w:r w:rsidRPr="005E2ABF">
              <w:rPr>
                <w:rFonts w:asciiTheme="minorHAnsi" w:hAnsiTheme="minorHAnsi" w:cstheme="minorHAnsi"/>
                <w:sz w:val="22"/>
                <w:szCs w:val="22"/>
              </w:rPr>
              <w:br/>
              <w:t xml:space="preserve">• Dissolved Oxygen (DO) - can result from compounding impairments (e.g., temperature, nutrients, and sediment). </w:t>
            </w:r>
            <w:r w:rsidRPr="005E2ABF">
              <w:rPr>
                <w:rFonts w:asciiTheme="minorHAnsi" w:hAnsiTheme="minorHAnsi" w:cstheme="minorHAnsi"/>
                <w:sz w:val="22"/>
                <w:szCs w:val="22"/>
              </w:rPr>
              <w:br/>
              <w:t xml:space="preserve">• Harmful Algae Blooms (HABs) – can result from compounding impairments (e.g., temperature and nutrients). </w:t>
            </w:r>
            <w:r w:rsidRPr="005E2ABF">
              <w:rPr>
                <w:rFonts w:asciiTheme="minorHAnsi" w:hAnsiTheme="minorHAnsi" w:cstheme="minorHAnsi"/>
                <w:sz w:val="22"/>
                <w:szCs w:val="22"/>
              </w:rPr>
              <w:br/>
              <w:t>Therefore, it may be necessary to review the Category 4 project documents to identify the specific pollutant(s) of concern prior to selecting appropriate BMPs. Contact the HQ Stormwater Branch, Statewide TMDL Lead for support.</w:t>
            </w:r>
          </w:p>
        </w:tc>
      </w:tr>
    </w:tbl>
    <w:p w14:paraId="4C428C74" w14:textId="77777777" w:rsidR="00A7656B" w:rsidRDefault="00A7656B"/>
    <w:sectPr w:rsidR="00A7656B" w:rsidSect="009372BD">
      <w:pgSz w:w="24480" w:h="158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80F"/>
    <w:multiLevelType w:val="multilevel"/>
    <w:tmpl w:val="BD560E82"/>
    <w:lvl w:ilvl="0">
      <w:start w:val="1"/>
      <w:numFmt w:val="decimal"/>
      <w:pStyle w:val="Heading1"/>
      <w:lvlText w:val="%1.0"/>
      <w:lvlJc w:val="left"/>
      <w:pPr>
        <w:tabs>
          <w:tab w:val="num" w:pos="720"/>
        </w:tabs>
        <w:ind w:left="720" w:hanging="720"/>
      </w:pPr>
      <w:rPr>
        <w:spacing w:val="-4"/>
      </w:r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720"/>
        </w:tabs>
        <w:ind w:left="720" w:hanging="720"/>
      </w:pPr>
      <w:rPr>
        <w:spacing w:val="-15"/>
      </w:r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14053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BD"/>
    <w:rsid w:val="00011791"/>
    <w:rsid w:val="00057422"/>
    <w:rsid w:val="000C266F"/>
    <w:rsid w:val="000C6D5A"/>
    <w:rsid w:val="000F3078"/>
    <w:rsid w:val="00107A5F"/>
    <w:rsid w:val="00130465"/>
    <w:rsid w:val="001F1D1D"/>
    <w:rsid w:val="002155CF"/>
    <w:rsid w:val="00267D9D"/>
    <w:rsid w:val="0027512A"/>
    <w:rsid w:val="002B0BB9"/>
    <w:rsid w:val="002F4CC4"/>
    <w:rsid w:val="00332B74"/>
    <w:rsid w:val="003549DA"/>
    <w:rsid w:val="0039556A"/>
    <w:rsid w:val="004148A0"/>
    <w:rsid w:val="00441E5D"/>
    <w:rsid w:val="004569F2"/>
    <w:rsid w:val="00466397"/>
    <w:rsid w:val="004D6EA0"/>
    <w:rsid w:val="004E6094"/>
    <w:rsid w:val="00543E10"/>
    <w:rsid w:val="0059606D"/>
    <w:rsid w:val="005E2ABF"/>
    <w:rsid w:val="005E72D7"/>
    <w:rsid w:val="00601990"/>
    <w:rsid w:val="00606D70"/>
    <w:rsid w:val="00654601"/>
    <w:rsid w:val="00665CA8"/>
    <w:rsid w:val="006A5F32"/>
    <w:rsid w:val="006D604F"/>
    <w:rsid w:val="00751D7B"/>
    <w:rsid w:val="0077009C"/>
    <w:rsid w:val="007D57B5"/>
    <w:rsid w:val="008249E8"/>
    <w:rsid w:val="009372BD"/>
    <w:rsid w:val="00976621"/>
    <w:rsid w:val="00A67D15"/>
    <w:rsid w:val="00A7656B"/>
    <w:rsid w:val="00AF2030"/>
    <w:rsid w:val="00B60545"/>
    <w:rsid w:val="00BE5997"/>
    <w:rsid w:val="00C01563"/>
    <w:rsid w:val="00C42175"/>
    <w:rsid w:val="00C71E3E"/>
    <w:rsid w:val="00C87B4B"/>
    <w:rsid w:val="00CA6A50"/>
    <w:rsid w:val="00D06986"/>
    <w:rsid w:val="00D36928"/>
    <w:rsid w:val="00E117C7"/>
    <w:rsid w:val="00E526FE"/>
    <w:rsid w:val="00FE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F66E"/>
  <w15:docId w15:val="{9A1C3D69-5ECB-4106-AAC4-6E6A0C81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ind w:left="720"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2BD"/>
    <w:pPr>
      <w:spacing w:line="240" w:lineRule="auto"/>
      <w:ind w:left="0" w:firstLine="0"/>
    </w:pPr>
    <w:rPr>
      <w:rFonts w:ascii="Times New Roman" w:eastAsia="Times New Roman" w:hAnsi="Times New Roman" w:cs="Times New Roman"/>
      <w:lang w:val="en-CA"/>
    </w:rPr>
  </w:style>
  <w:style w:type="paragraph" w:styleId="Heading1">
    <w:name w:val="heading 1"/>
    <w:aliases w:val="D&amp;M Heading 1,1,MH1,D&amp;M Heading 11,D&amp;M Heading 12,D&amp;M Heading 13,D&amp;M Heading 14,D&amp;M Heading 15,D&amp;M Heading 16"/>
    <w:next w:val="BodyText"/>
    <w:link w:val="Heading1Char"/>
    <w:qFormat/>
    <w:rsid w:val="009372BD"/>
    <w:pPr>
      <w:keepNext/>
      <w:numPr>
        <w:numId w:val="1"/>
      </w:numPr>
      <w:spacing w:before="120" w:after="360" w:line="240" w:lineRule="auto"/>
      <w:jc w:val="center"/>
      <w:outlineLvl w:val="0"/>
    </w:pPr>
    <w:rPr>
      <w:rFonts w:ascii="Arial Narrow" w:eastAsia="Times New Roman" w:hAnsi="Arial Narrow" w:cs="Times New Roman"/>
      <w:b/>
      <w:bCs/>
      <w:smallCaps/>
      <w:spacing w:val="30"/>
      <w:kern w:val="28"/>
      <w:sz w:val="32"/>
      <w:szCs w:val="32"/>
    </w:rPr>
  </w:style>
  <w:style w:type="paragraph" w:styleId="Heading2">
    <w:name w:val="heading 2"/>
    <w:aliases w:val="MH2"/>
    <w:basedOn w:val="Heading1"/>
    <w:next w:val="BodyText"/>
    <w:link w:val="Heading2Char"/>
    <w:qFormat/>
    <w:rsid w:val="009372BD"/>
    <w:pPr>
      <w:numPr>
        <w:ilvl w:val="1"/>
      </w:numPr>
      <w:spacing w:after="120"/>
      <w:jc w:val="left"/>
      <w:outlineLvl w:val="1"/>
    </w:pPr>
    <w:rPr>
      <w:spacing w:val="0"/>
      <w:sz w:val="28"/>
      <w:szCs w:val="28"/>
    </w:rPr>
  </w:style>
  <w:style w:type="paragraph" w:styleId="Heading3">
    <w:name w:val="heading 3"/>
    <w:aliases w:val="MH3"/>
    <w:next w:val="BodyText"/>
    <w:link w:val="Heading3Char"/>
    <w:qFormat/>
    <w:rsid w:val="009372BD"/>
    <w:pPr>
      <w:keepNext/>
      <w:numPr>
        <w:ilvl w:val="2"/>
        <w:numId w:val="1"/>
      </w:numPr>
      <w:spacing w:before="120" w:after="120" w:line="240" w:lineRule="auto"/>
      <w:outlineLvl w:val="2"/>
    </w:pPr>
    <w:rPr>
      <w:rFonts w:ascii="Arial Narrow" w:eastAsia="Times New Roman" w:hAnsi="Arial Narrow" w:cs="Times New Roman"/>
      <w:b/>
      <w:bCs/>
      <w:sz w:val="24"/>
      <w:szCs w:val="24"/>
    </w:rPr>
  </w:style>
  <w:style w:type="paragraph" w:styleId="Heading4">
    <w:name w:val="heading 4"/>
    <w:aliases w:val="GW Head 4"/>
    <w:basedOn w:val="Heading3"/>
    <w:next w:val="BodyText"/>
    <w:link w:val="Heading4Char"/>
    <w:qFormat/>
    <w:rsid w:val="009372BD"/>
    <w:pPr>
      <w:numPr>
        <w:ilvl w:val="3"/>
      </w:numPr>
      <w:spacing w:after="60"/>
      <w:outlineLvl w:val="3"/>
    </w:pPr>
    <w:rPr>
      <w:sz w:val="22"/>
      <w:szCs w:val="22"/>
    </w:rPr>
  </w:style>
  <w:style w:type="paragraph" w:styleId="Heading5">
    <w:name w:val="heading 5"/>
    <w:basedOn w:val="Normal"/>
    <w:next w:val="Normal"/>
    <w:link w:val="Heading5Char"/>
    <w:qFormat/>
    <w:rsid w:val="009372BD"/>
    <w:pPr>
      <w:numPr>
        <w:ilvl w:val="4"/>
        <w:numId w:val="1"/>
      </w:numPr>
      <w:spacing w:before="240" w:after="60"/>
      <w:outlineLvl w:val="4"/>
    </w:pPr>
  </w:style>
  <w:style w:type="paragraph" w:styleId="Heading6">
    <w:name w:val="heading 6"/>
    <w:basedOn w:val="Normal"/>
    <w:next w:val="Normal"/>
    <w:link w:val="Heading6Char"/>
    <w:qFormat/>
    <w:rsid w:val="009372BD"/>
    <w:pPr>
      <w:numPr>
        <w:ilvl w:val="5"/>
        <w:numId w:val="1"/>
      </w:numPr>
      <w:spacing w:before="240" w:after="60"/>
      <w:outlineLvl w:val="5"/>
    </w:pPr>
    <w:rPr>
      <w:i/>
      <w:iCs/>
    </w:rPr>
  </w:style>
  <w:style w:type="paragraph" w:styleId="Heading7">
    <w:name w:val="heading 7"/>
    <w:basedOn w:val="Normal"/>
    <w:next w:val="Normal"/>
    <w:link w:val="Heading7Char"/>
    <w:qFormat/>
    <w:rsid w:val="009372BD"/>
    <w:pPr>
      <w:numPr>
        <w:ilvl w:val="6"/>
        <w:numId w:val="1"/>
      </w:numPr>
      <w:spacing w:before="240" w:after="60"/>
      <w:outlineLvl w:val="6"/>
    </w:pPr>
    <w:rPr>
      <w:sz w:val="20"/>
      <w:szCs w:val="20"/>
    </w:rPr>
  </w:style>
  <w:style w:type="paragraph" w:styleId="Heading8">
    <w:name w:val="heading 8"/>
    <w:basedOn w:val="Normal"/>
    <w:next w:val="Normal"/>
    <w:link w:val="Heading8Char"/>
    <w:qFormat/>
    <w:rsid w:val="009372BD"/>
    <w:pPr>
      <w:numPr>
        <w:ilvl w:val="7"/>
        <w:numId w:val="1"/>
      </w:numPr>
      <w:spacing w:before="240" w:after="60"/>
      <w:outlineLvl w:val="7"/>
    </w:pPr>
    <w:rPr>
      <w:i/>
      <w:iCs/>
      <w:sz w:val="20"/>
      <w:szCs w:val="20"/>
    </w:rPr>
  </w:style>
  <w:style w:type="paragraph" w:styleId="Heading9">
    <w:name w:val="heading 9"/>
    <w:basedOn w:val="Normal"/>
    <w:next w:val="Normal"/>
    <w:link w:val="Heading9Char"/>
    <w:qFormat/>
    <w:rsid w:val="009372BD"/>
    <w:pPr>
      <w:numPr>
        <w:ilvl w:val="8"/>
        <w:numId w:val="1"/>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mp;M Heading 1 Char,1 Char,MH1 Char,D&amp;M Heading 11 Char,D&amp;M Heading 12 Char,D&amp;M Heading 13 Char,D&amp;M Heading 14 Char,D&amp;M Heading 15 Char,D&amp;M Heading 16 Char"/>
    <w:basedOn w:val="DefaultParagraphFont"/>
    <w:link w:val="Heading1"/>
    <w:rsid w:val="009372BD"/>
    <w:rPr>
      <w:rFonts w:ascii="Arial Narrow" w:eastAsia="Times New Roman" w:hAnsi="Arial Narrow" w:cs="Times New Roman"/>
      <w:b/>
      <w:bCs/>
      <w:smallCaps/>
      <w:spacing w:val="30"/>
      <w:kern w:val="28"/>
      <w:sz w:val="32"/>
      <w:szCs w:val="32"/>
    </w:rPr>
  </w:style>
  <w:style w:type="character" w:customStyle="1" w:styleId="Heading2Char">
    <w:name w:val="Heading 2 Char"/>
    <w:aliases w:val="MH2 Char"/>
    <w:basedOn w:val="DefaultParagraphFont"/>
    <w:link w:val="Heading2"/>
    <w:rsid w:val="009372BD"/>
    <w:rPr>
      <w:rFonts w:ascii="Arial Narrow" w:eastAsia="Times New Roman" w:hAnsi="Arial Narrow" w:cs="Times New Roman"/>
      <w:b/>
      <w:bCs/>
      <w:smallCaps/>
      <w:kern w:val="28"/>
      <w:sz w:val="28"/>
      <w:szCs w:val="28"/>
    </w:rPr>
  </w:style>
  <w:style w:type="character" w:customStyle="1" w:styleId="Heading3Char">
    <w:name w:val="Heading 3 Char"/>
    <w:aliases w:val="MH3 Char"/>
    <w:basedOn w:val="DefaultParagraphFont"/>
    <w:link w:val="Heading3"/>
    <w:rsid w:val="009372BD"/>
    <w:rPr>
      <w:rFonts w:ascii="Arial Narrow" w:eastAsia="Times New Roman" w:hAnsi="Arial Narrow" w:cs="Times New Roman"/>
      <w:b/>
      <w:bCs/>
      <w:sz w:val="24"/>
      <w:szCs w:val="24"/>
    </w:rPr>
  </w:style>
  <w:style w:type="character" w:customStyle="1" w:styleId="Heading4Char">
    <w:name w:val="Heading 4 Char"/>
    <w:aliases w:val="GW Head 4 Char"/>
    <w:basedOn w:val="DefaultParagraphFont"/>
    <w:link w:val="Heading4"/>
    <w:rsid w:val="009372BD"/>
    <w:rPr>
      <w:rFonts w:ascii="Arial Narrow" w:eastAsia="Times New Roman" w:hAnsi="Arial Narrow" w:cs="Times New Roman"/>
      <w:b/>
      <w:bCs/>
    </w:rPr>
  </w:style>
  <w:style w:type="character" w:customStyle="1" w:styleId="Heading5Char">
    <w:name w:val="Heading 5 Char"/>
    <w:basedOn w:val="DefaultParagraphFont"/>
    <w:link w:val="Heading5"/>
    <w:rsid w:val="009372BD"/>
    <w:rPr>
      <w:rFonts w:ascii="Times New Roman" w:eastAsia="Times New Roman" w:hAnsi="Times New Roman" w:cs="Times New Roman"/>
      <w:lang w:val="en-CA"/>
    </w:rPr>
  </w:style>
  <w:style w:type="character" w:customStyle="1" w:styleId="Heading6Char">
    <w:name w:val="Heading 6 Char"/>
    <w:basedOn w:val="DefaultParagraphFont"/>
    <w:link w:val="Heading6"/>
    <w:rsid w:val="009372BD"/>
    <w:rPr>
      <w:rFonts w:ascii="Times New Roman" w:eastAsia="Times New Roman" w:hAnsi="Times New Roman" w:cs="Times New Roman"/>
      <w:i/>
      <w:iCs/>
      <w:lang w:val="en-CA"/>
    </w:rPr>
  </w:style>
  <w:style w:type="character" w:customStyle="1" w:styleId="Heading7Char">
    <w:name w:val="Heading 7 Char"/>
    <w:basedOn w:val="DefaultParagraphFont"/>
    <w:link w:val="Heading7"/>
    <w:rsid w:val="009372BD"/>
    <w:rPr>
      <w:rFonts w:ascii="Times New Roman" w:eastAsia="Times New Roman" w:hAnsi="Times New Roman" w:cs="Times New Roman"/>
      <w:sz w:val="20"/>
      <w:szCs w:val="20"/>
      <w:lang w:val="en-CA"/>
    </w:rPr>
  </w:style>
  <w:style w:type="character" w:customStyle="1" w:styleId="Heading8Char">
    <w:name w:val="Heading 8 Char"/>
    <w:basedOn w:val="DefaultParagraphFont"/>
    <w:link w:val="Heading8"/>
    <w:rsid w:val="009372BD"/>
    <w:rPr>
      <w:rFonts w:ascii="Times New Roman" w:eastAsia="Times New Roman" w:hAnsi="Times New Roman" w:cs="Times New Roman"/>
      <w:i/>
      <w:iCs/>
      <w:sz w:val="20"/>
      <w:szCs w:val="20"/>
      <w:lang w:val="en-CA"/>
    </w:rPr>
  </w:style>
  <w:style w:type="character" w:customStyle="1" w:styleId="Heading9Char">
    <w:name w:val="Heading 9 Char"/>
    <w:basedOn w:val="DefaultParagraphFont"/>
    <w:link w:val="Heading9"/>
    <w:rsid w:val="009372BD"/>
    <w:rPr>
      <w:rFonts w:ascii="Times New Roman" w:eastAsia="Times New Roman" w:hAnsi="Times New Roman" w:cs="Times New Roman"/>
      <w:b/>
      <w:bCs/>
      <w:i/>
      <w:iCs/>
      <w:sz w:val="18"/>
      <w:szCs w:val="18"/>
      <w:lang w:val="en-CA"/>
    </w:rPr>
  </w:style>
  <w:style w:type="paragraph" w:styleId="BodyText">
    <w:name w:val="Body Text"/>
    <w:basedOn w:val="Normal"/>
    <w:link w:val="BodyTextChar1"/>
    <w:rsid w:val="009372BD"/>
    <w:pPr>
      <w:spacing w:after="240" w:line="288" w:lineRule="auto"/>
      <w:jc w:val="both"/>
    </w:pPr>
  </w:style>
  <w:style w:type="character" w:customStyle="1" w:styleId="BodyTextChar">
    <w:name w:val="Body Text Char"/>
    <w:basedOn w:val="DefaultParagraphFont"/>
    <w:uiPriority w:val="99"/>
    <w:semiHidden/>
    <w:rsid w:val="009372BD"/>
    <w:rPr>
      <w:rFonts w:ascii="Times New Roman" w:eastAsia="Times New Roman" w:hAnsi="Times New Roman" w:cs="Times New Roman"/>
      <w:lang w:val="en-CA"/>
    </w:rPr>
  </w:style>
  <w:style w:type="paragraph" w:styleId="Footer">
    <w:name w:val="footer"/>
    <w:basedOn w:val="Normal"/>
    <w:link w:val="FooterChar"/>
    <w:rsid w:val="009372BD"/>
    <w:pPr>
      <w:pBdr>
        <w:top w:val="single" w:sz="4" w:space="1" w:color="auto"/>
      </w:pBdr>
      <w:tabs>
        <w:tab w:val="center" w:pos="4320"/>
        <w:tab w:val="right" w:pos="8640"/>
      </w:tabs>
      <w:jc w:val="right"/>
    </w:pPr>
    <w:rPr>
      <w:rFonts w:ascii="Arial Narrow" w:hAnsi="Arial Narrow"/>
      <w:i/>
      <w:sz w:val="20"/>
      <w:szCs w:val="20"/>
    </w:rPr>
  </w:style>
  <w:style w:type="character" w:customStyle="1" w:styleId="FooterChar">
    <w:name w:val="Footer Char"/>
    <w:basedOn w:val="DefaultParagraphFont"/>
    <w:link w:val="Footer"/>
    <w:rsid w:val="009372BD"/>
    <w:rPr>
      <w:rFonts w:ascii="Arial Narrow" w:eastAsia="Times New Roman" w:hAnsi="Arial Narrow" w:cs="Times New Roman"/>
      <w:i/>
      <w:sz w:val="20"/>
      <w:szCs w:val="20"/>
      <w:lang w:val="en-CA"/>
    </w:rPr>
  </w:style>
  <w:style w:type="paragraph" w:customStyle="1" w:styleId="Heading1NoNum">
    <w:name w:val="Heading 1 No Num"/>
    <w:basedOn w:val="Heading1"/>
    <w:rsid w:val="009372BD"/>
    <w:pPr>
      <w:numPr>
        <w:numId w:val="0"/>
      </w:numPr>
      <w:spacing w:after="480"/>
    </w:pPr>
    <w:rPr>
      <w:rFonts w:ascii="Arial Black" w:hAnsi="Arial Black"/>
      <w:b w:val="0"/>
      <w:smallCaps w:val="0"/>
      <w:sz w:val="36"/>
      <w:szCs w:val="36"/>
    </w:rPr>
  </w:style>
  <w:style w:type="character" w:styleId="Hyperlink">
    <w:name w:val="Hyperlink"/>
    <w:basedOn w:val="DefaultParagraphFont"/>
    <w:rsid w:val="009372BD"/>
    <w:rPr>
      <w:color w:val="0000FF"/>
      <w:u w:val="single"/>
    </w:rPr>
  </w:style>
  <w:style w:type="character" w:customStyle="1" w:styleId="BodyTextChar1">
    <w:name w:val="Body Text Char1"/>
    <w:basedOn w:val="DefaultParagraphFont"/>
    <w:link w:val="BodyText"/>
    <w:rsid w:val="009372BD"/>
    <w:rPr>
      <w:rFonts w:ascii="Times New Roman" w:eastAsia="Times New Roman" w:hAnsi="Times New Roman" w:cs="Times New Roman"/>
      <w:lang w:val="en-CA"/>
    </w:rPr>
  </w:style>
  <w:style w:type="paragraph" w:styleId="NormalWeb">
    <w:name w:val="Normal (Web)"/>
    <w:basedOn w:val="Normal"/>
    <w:uiPriority w:val="99"/>
    <w:unhideWhenUsed/>
    <w:rsid w:val="009372BD"/>
    <w:pPr>
      <w:spacing w:before="100" w:beforeAutospacing="1" w:after="100" w:afterAutospacing="1"/>
    </w:pPr>
    <w:rPr>
      <w:sz w:val="24"/>
      <w:szCs w:val="24"/>
      <w:lang w:val="en-US"/>
    </w:rPr>
  </w:style>
  <w:style w:type="character" w:styleId="FollowedHyperlink">
    <w:name w:val="FollowedHyperlink"/>
    <w:basedOn w:val="DefaultParagraphFont"/>
    <w:uiPriority w:val="99"/>
    <w:semiHidden/>
    <w:unhideWhenUsed/>
    <w:rsid w:val="00AF20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WSDOT</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navicka</dc:creator>
  <cp:keywords/>
  <dc:description/>
  <cp:lastModifiedBy>Starks, Garrett</cp:lastModifiedBy>
  <cp:revision>3</cp:revision>
  <dcterms:created xsi:type="dcterms:W3CDTF">2026-08-20T05:18:00Z</dcterms:created>
  <dcterms:modified xsi:type="dcterms:W3CDTF">2026-08-20T05:30:00Z</dcterms:modified>
</cp:coreProperties>
</file>