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D564E" w14:textId="7824A448" w:rsidR="00F77343" w:rsidRDefault="00F77343"/>
    <w:p w14:paraId="30BF55F8" w14:textId="3751CFA7" w:rsidR="00F77343" w:rsidRDefault="00F77343"/>
    <w:p w14:paraId="58981B39" w14:textId="5E594694" w:rsidR="00F77343" w:rsidRDefault="00F77343"/>
    <w:p w14:paraId="21F572AF" w14:textId="77777777" w:rsidR="00F77343" w:rsidRDefault="00F77343"/>
    <w:p w14:paraId="6F898547" w14:textId="25D29F7D" w:rsidR="001A0868" w:rsidRDefault="001A0868" w:rsidP="00F77343">
      <w:pPr>
        <w:jc w:val="center"/>
      </w:pPr>
      <w:r>
        <w:t>February 9, 2021</w:t>
      </w:r>
    </w:p>
    <w:p w14:paraId="0FC69481" w14:textId="26ED7F2E" w:rsidR="001A0868" w:rsidRDefault="001A0868"/>
    <w:p w14:paraId="6C8B77E0" w14:textId="77777777" w:rsidR="007A1CAF" w:rsidRDefault="007A1CAF"/>
    <w:p w14:paraId="03DB518C" w14:textId="7B48A558" w:rsidR="001B0F19" w:rsidRDefault="00FD0A8E">
      <w:r>
        <w:t>To:</w:t>
      </w:r>
      <w:r>
        <w:tab/>
        <w:t>Sage Park</w:t>
      </w:r>
      <w:r w:rsidR="001B0F19">
        <w:t>, Department of Ecology SEPA Responsible Official</w:t>
      </w:r>
    </w:p>
    <w:p w14:paraId="2CFC1196" w14:textId="75F7AF59" w:rsidR="00C93E7D" w:rsidRDefault="00C93E7D">
      <w:r>
        <w:t>From:</w:t>
      </w:r>
      <w:r>
        <w:tab/>
        <w:t>Mayor Mike Canon, City of Goldendale, WA</w:t>
      </w:r>
    </w:p>
    <w:p w14:paraId="32770D7F" w14:textId="20B94641" w:rsidR="001B0F19" w:rsidRDefault="001B0F19">
      <w:r>
        <w:t>RE:</w:t>
      </w:r>
      <w:r>
        <w:tab/>
        <w:t xml:space="preserve">Scoping comments, </w:t>
      </w:r>
      <w:r w:rsidR="00807418">
        <w:t xml:space="preserve">Goldendale Energy Storage Project (FFP Project </w:t>
      </w:r>
      <w:r w:rsidR="00C93E7D">
        <w:t>101, LLC)</w:t>
      </w:r>
    </w:p>
    <w:p w14:paraId="7EC8E00F" w14:textId="55744E95" w:rsidR="00C93E7D" w:rsidRDefault="00C93E7D"/>
    <w:p w14:paraId="69F77C66" w14:textId="74332234" w:rsidR="004C0318" w:rsidRDefault="004C0318">
      <w:r>
        <w:t xml:space="preserve">I am writing as the Mayor of Goldendale to both submit the City’s scoping comments and to express </w:t>
      </w:r>
      <w:r w:rsidR="007137A7">
        <w:t>the City’s</w:t>
      </w:r>
      <w:r>
        <w:t xml:space="preserve"> long-standing and continued support for the Goldendale Energy Storage Project.</w:t>
      </w:r>
    </w:p>
    <w:p w14:paraId="2BBFBEA9" w14:textId="760218C8" w:rsidR="004C0318" w:rsidRDefault="004C0318"/>
    <w:p w14:paraId="497DA41F" w14:textId="6EFCD8EF" w:rsidR="004C0318" w:rsidRDefault="00517752">
      <w:r>
        <w:t xml:space="preserve">By way of background, the project developers have pursued an aggressive outreach and education effort </w:t>
      </w:r>
      <w:r w:rsidR="0030631E">
        <w:t xml:space="preserve">for many years.  </w:t>
      </w:r>
      <w:r w:rsidR="00B84405">
        <w:t xml:space="preserve">The area is familiar with large project construction given </w:t>
      </w:r>
      <w:proofErr w:type="gramStart"/>
      <w:r w:rsidR="00517650">
        <w:t xml:space="preserve">the </w:t>
      </w:r>
      <w:r w:rsidR="00B84405">
        <w:t xml:space="preserve"> multi</w:t>
      </w:r>
      <w:proofErr w:type="gramEnd"/>
      <w:r w:rsidR="00B84405">
        <w:t xml:space="preserve">-generational </w:t>
      </w:r>
      <w:r w:rsidR="00517650">
        <w:t>contact with such projects (John Day Dam</w:t>
      </w:r>
      <w:r w:rsidR="00807109">
        <w:t>, Goldendale Aluminum Smelter, extensive wind project</w:t>
      </w:r>
      <w:r w:rsidR="00372BEF">
        <w:t>s)</w:t>
      </w:r>
      <w:r w:rsidR="006C40EF">
        <w:t xml:space="preserve">.  </w:t>
      </w:r>
      <w:proofErr w:type="gramStart"/>
      <w:r w:rsidR="0030631E">
        <w:t>Local residents</w:t>
      </w:r>
      <w:proofErr w:type="gramEnd"/>
      <w:r w:rsidR="0030631E">
        <w:t xml:space="preserve"> are well aware of the </w:t>
      </w:r>
      <w:r w:rsidR="00844262">
        <w:t xml:space="preserve">effects the </w:t>
      </w:r>
      <w:r w:rsidR="00071DC2">
        <w:t>proposed project</w:t>
      </w:r>
      <w:r w:rsidR="00844262">
        <w:t xml:space="preserve"> is likely to have during construction and operation</w:t>
      </w:r>
      <w:r w:rsidR="00BC018F">
        <w:t>, l</w:t>
      </w:r>
      <w:r w:rsidR="00490457">
        <w:t>eading to wide-spread support for the undertaking.</w:t>
      </w:r>
      <w:r w:rsidR="00BC018F">
        <w:t xml:space="preserve">  </w:t>
      </w:r>
    </w:p>
    <w:p w14:paraId="1A247E11" w14:textId="050514A4" w:rsidR="00490457" w:rsidRDefault="00490457"/>
    <w:p w14:paraId="2EF58F7A" w14:textId="635AD1FB" w:rsidR="00490457" w:rsidRDefault="00FA2AF6">
      <w:r>
        <w:t>That support recognizes</w:t>
      </w:r>
      <w:r w:rsidR="001B506B">
        <w:t xml:space="preserve"> that many jobs will go to highly specialized </w:t>
      </w:r>
      <w:r w:rsidR="00EC3751">
        <w:t>contractors, but it also recognizes</w:t>
      </w:r>
      <w:r>
        <w:t xml:space="preserve"> the </w:t>
      </w:r>
      <w:r w:rsidR="003518D1">
        <w:t>role new, large projects offer for local workers during construction and operation</w:t>
      </w:r>
      <w:r w:rsidR="00E62D97">
        <w:t xml:space="preserve">.  </w:t>
      </w:r>
      <w:r w:rsidR="000C73AD">
        <w:t>Also</w:t>
      </w:r>
      <w:r w:rsidR="00E62D97">
        <w:t>, our local school, hospital, fire</w:t>
      </w:r>
      <w:r w:rsidR="004A7E77">
        <w:t>,</w:t>
      </w:r>
      <w:r w:rsidR="00E62D97">
        <w:t xml:space="preserve"> and other special taxing districts receive </w:t>
      </w:r>
      <w:r w:rsidR="004A7E77">
        <w:t xml:space="preserve">an influx of new funding that </w:t>
      </w:r>
      <w:r w:rsidR="00BB753A">
        <w:t>is well beyond the capability of the local economy to generate without such projects.</w:t>
      </w:r>
    </w:p>
    <w:p w14:paraId="7A2F13B1" w14:textId="7B135F6A" w:rsidR="00BB753A" w:rsidRDefault="00BB753A"/>
    <w:p w14:paraId="314057ED" w14:textId="41C70436" w:rsidR="00BB753A" w:rsidRDefault="00542044">
      <w:r>
        <w:t>In addition to commenting on the scoping topics listed by Ecology</w:t>
      </w:r>
      <w:r w:rsidR="0072079C">
        <w:t xml:space="preserve">, the importance of the proposed project to the socio-economic well-being of the City of Goldendale </w:t>
      </w:r>
      <w:r w:rsidR="00AB2A94">
        <w:t xml:space="preserve">leads me to request that </w:t>
      </w:r>
      <w:r w:rsidR="00E00BD9">
        <w:t>Ecol</w:t>
      </w:r>
      <w:r w:rsidR="00662B6C">
        <w:t>o</w:t>
      </w:r>
      <w:r w:rsidR="00E00BD9">
        <w:t xml:space="preserve">gy </w:t>
      </w:r>
      <w:r w:rsidR="00525200">
        <w:t>determine</w:t>
      </w:r>
      <w:r w:rsidR="00E00BD9">
        <w:t xml:space="preserve"> that </w:t>
      </w:r>
      <w:r w:rsidR="00FC6D7C">
        <w:t>a detailed socio-economic study of the project be treated not as a</w:t>
      </w:r>
      <w:r w:rsidR="00662B6C">
        <w:t>n</w:t>
      </w:r>
      <w:r w:rsidR="00FC6D7C">
        <w:t xml:space="preserve"> optional </w:t>
      </w:r>
      <w:r w:rsidR="007A06DD">
        <w:t xml:space="preserve">Environmental Impact Statement element but </w:t>
      </w:r>
      <w:r w:rsidR="00F717B6">
        <w:t xml:space="preserve">as essential information that would be helpful </w:t>
      </w:r>
      <w:r w:rsidR="00EB3BA3">
        <w:t xml:space="preserve">to the lead agency in evaluating the proposal </w:t>
      </w:r>
      <w:r w:rsidR="00873FB1">
        <w:t xml:space="preserve">and </w:t>
      </w:r>
      <w:r w:rsidR="00EF02F6">
        <w:t>meeting the test of adequacy as</w:t>
      </w:r>
      <w:r w:rsidR="00EB3BA3">
        <w:t xml:space="preserve"> </w:t>
      </w:r>
      <w:r w:rsidR="0057036C">
        <w:t xml:space="preserve">discussed in Section 3.3.5 of the SEPA Handbook and further </w:t>
      </w:r>
      <w:r w:rsidR="007D37B9">
        <w:t xml:space="preserve">reinforced in </w:t>
      </w:r>
      <w:r w:rsidR="007D37B9" w:rsidRPr="007D37B9">
        <w:rPr>
          <w:i/>
          <w:iCs/>
        </w:rPr>
        <w:t>Barrie v Kitsap County</w:t>
      </w:r>
      <w:r w:rsidR="00D131C6">
        <w:rPr>
          <w:i/>
          <w:iCs/>
        </w:rPr>
        <w:t xml:space="preserve"> (1980)</w:t>
      </w:r>
      <w:r w:rsidR="007D37B9">
        <w:t>.</w:t>
      </w:r>
    </w:p>
    <w:p w14:paraId="0AF95EDE" w14:textId="77777777" w:rsidR="00B55628" w:rsidRDefault="00B55628"/>
    <w:p w14:paraId="45066D5A" w14:textId="77777777" w:rsidR="004C6465" w:rsidRDefault="00CB5131" w:rsidP="00B55628">
      <w:r>
        <w:t xml:space="preserve">Many of the </w:t>
      </w:r>
      <w:r w:rsidR="003D6167">
        <w:t xml:space="preserve">probable project impacts </w:t>
      </w:r>
      <w:r w:rsidR="00AB5B27">
        <w:t xml:space="preserve">and areas for proposed study </w:t>
      </w:r>
      <w:r w:rsidR="00C60A73">
        <w:t>in</w:t>
      </w:r>
      <w:r w:rsidR="00AB5B27">
        <w:t xml:space="preserve"> the EIS, as listed in</w:t>
      </w:r>
      <w:r w:rsidR="00B55628" w:rsidRPr="00B55628">
        <w:t xml:space="preserve"> </w:t>
      </w:r>
      <w:r w:rsidR="004360D0">
        <w:t>t</w:t>
      </w:r>
      <w:r w:rsidR="00B55628">
        <w:t xml:space="preserve">he January 14, 2021 </w:t>
      </w:r>
      <w:r w:rsidR="004360D0">
        <w:t xml:space="preserve">scoping notice, have been previously addressed in Klickitat County’s </w:t>
      </w:r>
      <w:r w:rsidR="00C60A73">
        <w:t xml:space="preserve">Programmatic EIS for </w:t>
      </w:r>
      <w:proofErr w:type="spellStart"/>
      <w:r w:rsidR="00C60A73">
        <w:t>it’s</w:t>
      </w:r>
      <w:proofErr w:type="spellEnd"/>
      <w:r w:rsidR="00C60A73">
        <w:t xml:space="preserve"> energy overlay zone action</w:t>
      </w:r>
      <w:r w:rsidR="004C6465">
        <w:t>, which the City suggests be included by reference in the Ecology EIS</w:t>
      </w:r>
      <w:r w:rsidR="00C60A73">
        <w:t xml:space="preserve">.  </w:t>
      </w:r>
    </w:p>
    <w:p w14:paraId="1EA812B5" w14:textId="77777777" w:rsidR="004C6465" w:rsidRDefault="004C6465" w:rsidP="00B55628"/>
    <w:p w14:paraId="1BB9168F" w14:textId="5A682224" w:rsidR="00B55628" w:rsidRDefault="00DB783F" w:rsidP="00B55628">
      <w:r>
        <w:lastRenderedPageBreak/>
        <w:t>T</w:t>
      </w:r>
      <w:r w:rsidR="003E74B9">
        <w:t xml:space="preserve">he City’s </w:t>
      </w:r>
      <w:r>
        <w:t xml:space="preserve">main </w:t>
      </w:r>
      <w:r w:rsidR="003E74B9">
        <w:t xml:space="preserve">scoping comment </w:t>
      </w:r>
      <w:r w:rsidR="00C153D1">
        <w:t xml:space="preserve">is </w:t>
      </w:r>
      <w:r w:rsidR="004C6465">
        <w:t xml:space="preserve">our request </w:t>
      </w:r>
      <w:r w:rsidR="003E74B9">
        <w:t xml:space="preserve">that a socio-economic </w:t>
      </w:r>
      <w:r w:rsidR="00233501">
        <w:t>analysis be performed not as an optional element but as a key section of the EIS (see above)</w:t>
      </w:r>
      <w:r w:rsidR="00C153D1">
        <w:t>;</w:t>
      </w:r>
      <w:r w:rsidR="00887210">
        <w:t xml:space="preserve"> the City </w:t>
      </w:r>
      <w:r w:rsidR="00C153D1">
        <w:t xml:space="preserve">also </w:t>
      </w:r>
      <w:r w:rsidR="00887210">
        <w:t>makes the following scoping comments:</w:t>
      </w:r>
    </w:p>
    <w:p w14:paraId="7EFF2E3E" w14:textId="1E9E04C6" w:rsidR="00887210" w:rsidRDefault="00887210" w:rsidP="00B556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1642CC" w14:paraId="1B48E785" w14:textId="77777777" w:rsidTr="001642CC">
        <w:tc>
          <w:tcPr>
            <w:tcW w:w="3505" w:type="dxa"/>
          </w:tcPr>
          <w:p w14:paraId="7FFD046E" w14:textId="2CF6F217" w:rsidR="001642CC" w:rsidRDefault="001642CC" w:rsidP="005F5C05">
            <w:pPr>
              <w:jc w:val="center"/>
            </w:pPr>
            <w:r>
              <w:t>A</w:t>
            </w:r>
            <w:r w:rsidR="00464B71">
              <w:t>ir Quality</w:t>
            </w:r>
          </w:p>
        </w:tc>
        <w:tc>
          <w:tcPr>
            <w:tcW w:w="5845" w:type="dxa"/>
          </w:tcPr>
          <w:p w14:paraId="289FF363" w14:textId="777ABE26" w:rsidR="001642CC" w:rsidRDefault="00464B71">
            <w:r>
              <w:t xml:space="preserve">The City of Goldendale is the closest incorporated community to the project site.  </w:t>
            </w:r>
            <w:r w:rsidR="00BC6B76">
              <w:t xml:space="preserve">Given the prevailing winds and the </w:t>
            </w:r>
            <w:r w:rsidR="0075469E">
              <w:t xml:space="preserve">difference in altitude, it is unlikely there would be any construction or operation effects </w:t>
            </w:r>
            <w:r w:rsidR="005F5C05">
              <w:t>from the project on Goldendale.</w:t>
            </w:r>
          </w:p>
        </w:tc>
      </w:tr>
      <w:tr w:rsidR="001642CC" w14:paraId="52651442" w14:textId="77777777" w:rsidTr="001642CC">
        <w:tc>
          <w:tcPr>
            <w:tcW w:w="3505" w:type="dxa"/>
          </w:tcPr>
          <w:p w14:paraId="56E6A8E4" w14:textId="2875C89A" w:rsidR="001642CC" w:rsidRDefault="003D6D31" w:rsidP="005F5C05">
            <w:pPr>
              <w:jc w:val="center"/>
            </w:pPr>
            <w:r>
              <w:t>Transportation</w:t>
            </w:r>
          </w:p>
        </w:tc>
        <w:tc>
          <w:tcPr>
            <w:tcW w:w="5845" w:type="dxa"/>
          </w:tcPr>
          <w:p w14:paraId="69EA08EB" w14:textId="21B272E6" w:rsidR="001642CC" w:rsidRDefault="00676B84">
            <w:r>
              <w:t xml:space="preserve">The local area can easily absorb operations </w:t>
            </w:r>
            <w:r w:rsidR="002C205A">
              <w:t xml:space="preserve">worker commute traffic, plus there is a robust and developing rural transit system in the Columbia River Gorge </w:t>
            </w:r>
            <w:r w:rsidR="00D60F08">
              <w:t>that could be adapted to worker needs.  Recent experience with wind project construction, which brought hundreds of outside-the-area workers</w:t>
            </w:r>
            <w:r w:rsidR="00892A42">
              <w:t xml:space="preserve">, most of whom were traveling the same route Goldendale Energy Storage construction workers would use, </w:t>
            </w:r>
            <w:r w:rsidR="00163638">
              <w:t xml:space="preserve">demonstrated that local roads can readily </w:t>
            </w:r>
            <w:r w:rsidR="00201285">
              <w:t>accommodate</w:t>
            </w:r>
            <w:r w:rsidR="00163638">
              <w:t xml:space="preserve"> </w:t>
            </w:r>
            <w:r w:rsidR="00201285">
              <w:t>greatly expanded worker traffic.</w:t>
            </w:r>
          </w:p>
        </w:tc>
      </w:tr>
      <w:tr w:rsidR="001642CC" w14:paraId="6AF762DA" w14:textId="77777777" w:rsidTr="001642CC">
        <w:tc>
          <w:tcPr>
            <w:tcW w:w="3505" w:type="dxa"/>
          </w:tcPr>
          <w:p w14:paraId="0AC70F9B" w14:textId="3AD70DA7" w:rsidR="001642CC" w:rsidRDefault="00201285" w:rsidP="005F5C05">
            <w:pPr>
              <w:jc w:val="center"/>
            </w:pPr>
            <w:r>
              <w:t>Recreation</w:t>
            </w:r>
          </w:p>
        </w:tc>
        <w:tc>
          <w:tcPr>
            <w:tcW w:w="5845" w:type="dxa"/>
          </w:tcPr>
          <w:p w14:paraId="11AE68CE" w14:textId="0BC811AF" w:rsidR="001642CC" w:rsidRDefault="008050CD">
            <w:r>
              <w:t xml:space="preserve">The Goldendale area has a rich, underutilized recreation </w:t>
            </w:r>
            <w:r w:rsidR="00B43F3D">
              <w:t xml:space="preserve">infrastructure </w:t>
            </w:r>
            <w:r w:rsidR="004175F7">
              <w:t>including</w:t>
            </w:r>
            <w:r w:rsidR="00B43F3D">
              <w:t xml:space="preserve"> state </w:t>
            </w:r>
            <w:r w:rsidR="00BF0011">
              <w:t xml:space="preserve">and county </w:t>
            </w:r>
            <w:r w:rsidR="00B43F3D">
              <w:t>parks</w:t>
            </w:r>
            <w:r w:rsidR="004175F7">
              <w:t>, river activities</w:t>
            </w:r>
            <w:r w:rsidR="00DA4BBB">
              <w:t>, hiking,</w:t>
            </w:r>
            <w:r w:rsidR="00B43F3D">
              <w:t xml:space="preserve"> </w:t>
            </w:r>
            <w:r w:rsidR="00DA4BBB">
              <w:t xml:space="preserve">and </w:t>
            </w:r>
            <w:r w:rsidR="00B43F3D">
              <w:t xml:space="preserve">Maryhill Museum.  </w:t>
            </w:r>
            <w:r w:rsidR="003654B5">
              <w:t xml:space="preserve">Increased </w:t>
            </w:r>
            <w:r w:rsidR="004C6465">
              <w:t>use of these resources</w:t>
            </w:r>
            <w:r w:rsidR="003654B5">
              <w:t xml:space="preserve"> during construction is unlikely to stress that infrastructure and the </w:t>
            </w:r>
            <w:r w:rsidR="00502A35">
              <w:t xml:space="preserve">estimated permanent workforce </w:t>
            </w:r>
            <w:r w:rsidR="00C45B2F">
              <w:t>would have a negligible effect on recreation.</w:t>
            </w:r>
          </w:p>
        </w:tc>
      </w:tr>
      <w:tr w:rsidR="00DA4BBB" w14:paraId="1E372C72" w14:textId="77777777" w:rsidTr="001642CC">
        <w:tc>
          <w:tcPr>
            <w:tcW w:w="3505" w:type="dxa"/>
          </w:tcPr>
          <w:p w14:paraId="2E37577A" w14:textId="52EEEC82" w:rsidR="00DA4BBB" w:rsidRDefault="0039019D" w:rsidP="005F5C05">
            <w:pPr>
              <w:jc w:val="center"/>
            </w:pPr>
            <w:r>
              <w:t>Aesthetics</w:t>
            </w:r>
          </w:p>
        </w:tc>
        <w:tc>
          <w:tcPr>
            <w:tcW w:w="5845" w:type="dxa"/>
          </w:tcPr>
          <w:p w14:paraId="1C23A329" w14:textId="07D3344D" w:rsidR="00DA4BBB" w:rsidRDefault="00A71268">
            <w:r>
              <w:t xml:space="preserve">As stated above, the City of Goldendale is the closest incorporated community.  The remote site would have no </w:t>
            </w:r>
            <w:r w:rsidR="00F0344B">
              <w:t>aesthetic effects</w:t>
            </w:r>
            <w:r w:rsidR="00FC447D">
              <w:t xml:space="preserve">.  With respect to night sky viewing, both the City of Goldendale and Klickitat County </w:t>
            </w:r>
            <w:r w:rsidR="00085BC2">
              <w:t>recognize the importance of dark skies and have ordinances enforcing use of dark sky-compatible lighting.</w:t>
            </w:r>
            <w:r w:rsidR="00EC105D">
              <w:t xml:space="preserve">  It has been our experience that raising this issue with project developers leads to</w:t>
            </w:r>
            <w:r w:rsidR="001B4297">
              <w:t xml:space="preserve"> the incorporation of dark sky considerations into facility design and </w:t>
            </w:r>
            <w:r w:rsidR="001B4297" w:rsidRPr="00105744">
              <w:t>operation</w:t>
            </w:r>
            <w:r w:rsidR="001B4297">
              <w:t>.</w:t>
            </w:r>
          </w:p>
        </w:tc>
      </w:tr>
      <w:tr w:rsidR="00705C32" w14:paraId="0E450316" w14:textId="77777777" w:rsidTr="001642CC">
        <w:tc>
          <w:tcPr>
            <w:tcW w:w="3505" w:type="dxa"/>
          </w:tcPr>
          <w:p w14:paraId="733BAC7F" w14:textId="50AF39BB" w:rsidR="00705C32" w:rsidRDefault="00705C32" w:rsidP="005F5C05">
            <w:pPr>
              <w:jc w:val="center"/>
            </w:pPr>
            <w:r>
              <w:t>Public Services and Utilities</w:t>
            </w:r>
          </w:p>
        </w:tc>
        <w:tc>
          <w:tcPr>
            <w:tcW w:w="5845" w:type="dxa"/>
          </w:tcPr>
          <w:p w14:paraId="5355665E" w14:textId="5FEFCCCC" w:rsidR="00705C32" w:rsidRDefault="00705C32">
            <w:r>
              <w:t xml:space="preserve">While Klickitat County </w:t>
            </w:r>
            <w:r w:rsidR="0049652C">
              <w:t xml:space="preserve">and Klickitat PUD </w:t>
            </w:r>
            <w:r>
              <w:t xml:space="preserve">would be the lead </w:t>
            </w:r>
            <w:r w:rsidR="0049652C">
              <w:t>entities, there is close cooperation between emergency response organizations in this area</w:t>
            </w:r>
            <w:r w:rsidR="004C6465">
              <w:t>, including Goldendale’s police and fire departments</w:t>
            </w:r>
            <w:r w:rsidR="008021F2">
              <w:t xml:space="preserve">.  </w:t>
            </w:r>
            <w:r w:rsidR="00B74636">
              <w:t>Construction and operation issues may require some speciali</w:t>
            </w:r>
            <w:r w:rsidR="008C5E13">
              <w:t>zed additional training, but that is not an unusual requirement.</w:t>
            </w:r>
          </w:p>
        </w:tc>
      </w:tr>
    </w:tbl>
    <w:p w14:paraId="154BF3EF" w14:textId="61237DB3" w:rsidR="004C0318" w:rsidRDefault="004C0318"/>
    <w:p w14:paraId="6474D278" w14:textId="0A8C0288" w:rsidR="002C0017" w:rsidRDefault="00070C8B">
      <w:r>
        <w:lastRenderedPageBreak/>
        <w:t xml:space="preserve">In closing, the City of Goldendale is </w:t>
      </w:r>
      <w:r w:rsidR="00B657BA">
        <w:t xml:space="preserve">in an area that is likely to be key to achieving the Clean Energy Transformation Act’s </w:t>
      </w:r>
      <w:r w:rsidR="009037E9">
        <w:t xml:space="preserve">(CETA) </w:t>
      </w:r>
      <w:r w:rsidR="00B657BA">
        <w:t xml:space="preserve">aggressive goals.  </w:t>
      </w:r>
      <w:r w:rsidR="005C0963">
        <w:t>Variable renewable energy resources</w:t>
      </w:r>
      <w:r w:rsidR="008A5F56">
        <w:t xml:space="preserve">, especially if the state is to achieve </w:t>
      </w:r>
      <w:r w:rsidR="009037E9">
        <w:t>the</w:t>
      </w:r>
      <w:r w:rsidR="008A5F56">
        <w:t xml:space="preserve"> 100% goal by 2045, </w:t>
      </w:r>
      <w:r w:rsidR="0000334C">
        <w:t xml:space="preserve">need the kind of support </w:t>
      </w:r>
      <w:r w:rsidR="00EC1818">
        <w:t xml:space="preserve">a closed-cycle pumped storage hydro project like the Goldendale Energy Storage Project provides.  </w:t>
      </w:r>
      <w:r w:rsidR="008821F3">
        <w:t xml:space="preserve">The technology is thoroughly tested in multiple domestic and international facilities, its life-cycle cost is far below available alternatives, and </w:t>
      </w:r>
      <w:r w:rsidR="00741C58">
        <w:t>it is free of the need to replace depleted batteries</w:t>
      </w:r>
      <w:r w:rsidR="00562575">
        <w:t xml:space="preserve"> – </w:t>
      </w:r>
      <w:r w:rsidR="0091095D">
        <w:t xml:space="preserve">which should be a consideration in both the </w:t>
      </w:r>
      <w:r w:rsidR="002C0017">
        <w:t>alternatives</w:t>
      </w:r>
      <w:r w:rsidR="0091095D">
        <w:t xml:space="preserve"> analysis and life-cycle costing</w:t>
      </w:r>
      <w:r w:rsidR="002C0017">
        <w:t xml:space="preserve"> analyses.</w:t>
      </w:r>
    </w:p>
    <w:p w14:paraId="582A1A8B" w14:textId="77777777" w:rsidR="002C0017" w:rsidRDefault="002C0017"/>
    <w:p w14:paraId="299A1BFA" w14:textId="524692B6" w:rsidR="00070C8B" w:rsidRDefault="00C358C5">
      <w:r>
        <w:t xml:space="preserve">It is the City’s hope that </w:t>
      </w:r>
      <w:r w:rsidR="00566EA3">
        <w:t xml:space="preserve">Ecology’s Section 5 obligation </w:t>
      </w:r>
      <w:r w:rsidR="0049626A">
        <w:t xml:space="preserve">to incorporate CETA’s </w:t>
      </w:r>
      <w:r w:rsidR="00CF0F6F">
        <w:t xml:space="preserve">goals into the department’s </w:t>
      </w:r>
      <w:r w:rsidR="009037E9">
        <w:t xml:space="preserve">planning and decision-making </w:t>
      </w:r>
      <w:r w:rsidR="00CF0F6F">
        <w:t xml:space="preserve">process, as stated in </w:t>
      </w:r>
      <w:r w:rsidR="00566EA3">
        <w:t xml:space="preserve">the statute </w:t>
      </w:r>
      <w:r>
        <w:t>, coupled with the statute’s repeated reference to pumped storage hydro</w:t>
      </w:r>
      <w:r w:rsidR="00044B3C">
        <w:t xml:space="preserve">, </w:t>
      </w:r>
      <w:r w:rsidR="00A875CC">
        <w:t xml:space="preserve">will guide </w:t>
      </w:r>
      <w:r w:rsidR="002135ED">
        <w:t>the department as it prepares this EIS.</w:t>
      </w:r>
    </w:p>
    <w:p w14:paraId="111FB030" w14:textId="07B6DF42" w:rsidR="002135ED" w:rsidRDefault="002135ED"/>
    <w:p w14:paraId="0F177028" w14:textId="1F482597" w:rsidR="002135ED" w:rsidRDefault="002135ED">
      <w:r>
        <w:t>Sincerely</w:t>
      </w:r>
      <w:r w:rsidR="00C17AD7">
        <w:t>,</w:t>
      </w:r>
    </w:p>
    <w:p w14:paraId="2DD6DD62" w14:textId="26F7D60A" w:rsidR="00C17AD7" w:rsidRDefault="00C17AD7"/>
    <w:p w14:paraId="0CDB0485" w14:textId="49490F59" w:rsidR="00C17AD7" w:rsidRDefault="00C17AD7"/>
    <w:p w14:paraId="12DEA98B" w14:textId="031AF5AB" w:rsidR="00C17AD7" w:rsidRDefault="00C17AD7"/>
    <w:p w14:paraId="3C4F4F21" w14:textId="52816DB9" w:rsidR="00C17AD7" w:rsidRDefault="00C17AD7">
      <w:r>
        <w:t>Mike Canon</w:t>
      </w:r>
    </w:p>
    <w:sectPr w:rsidR="00C17AD7" w:rsidSect="007070B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68"/>
    <w:rsid w:val="0000334C"/>
    <w:rsid w:val="00044B3C"/>
    <w:rsid w:val="00070C8B"/>
    <w:rsid w:val="00071DC2"/>
    <w:rsid w:val="00085BC2"/>
    <w:rsid w:val="000C73AD"/>
    <w:rsid w:val="00105744"/>
    <w:rsid w:val="0013587A"/>
    <w:rsid w:val="00163638"/>
    <w:rsid w:val="001642CC"/>
    <w:rsid w:val="001A0868"/>
    <w:rsid w:val="001B0F19"/>
    <w:rsid w:val="001B4297"/>
    <w:rsid w:val="001B506B"/>
    <w:rsid w:val="001C7332"/>
    <w:rsid w:val="001E7A60"/>
    <w:rsid w:val="0020069E"/>
    <w:rsid w:val="00201285"/>
    <w:rsid w:val="002135ED"/>
    <w:rsid w:val="00233501"/>
    <w:rsid w:val="002C0017"/>
    <w:rsid w:val="002C205A"/>
    <w:rsid w:val="0030631E"/>
    <w:rsid w:val="0034552C"/>
    <w:rsid w:val="003518D1"/>
    <w:rsid w:val="003654B5"/>
    <w:rsid w:val="00372BEF"/>
    <w:rsid w:val="0039019D"/>
    <w:rsid w:val="003D6167"/>
    <w:rsid w:val="003D6D31"/>
    <w:rsid w:val="003E74B9"/>
    <w:rsid w:val="004175F7"/>
    <w:rsid w:val="004360D0"/>
    <w:rsid w:val="00464B71"/>
    <w:rsid w:val="00490457"/>
    <w:rsid w:val="0049626A"/>
    <w:rsid w:val="0049652C"/>
    <w:rsid w:val="004A7DFF"/>
    <w:rsid w:val="004A7E77"/>
    <w:rsid w:val="004C0318"/>
    <w:rsid w:val="004C6465"/>
    <w:rsid w:val="00502A35"/>
    <w:rsid w:val="00517650"/>
    <w:rsid w:val="00517752"/>
    <w:rsid w:val="00525200"/>
    <w:rsid w:val="00542044"/>
    <w:rsid w:val="00562575"/>
    <w:rsid w:val="00566EA3"/>
    <w:rsid w:val="0057036C"/>
    <w:rsid w:val="005C0963"/>
    <w:rsid w:val="005F5C05"/>
    <w:rsid w:val="00662B6C"/>
    <w:rsid w:val="00676B84"/>
    <w:rsid w:val="006C40EF"/>
    <w:rsid w:val="006D270C"/>
    <w:rsid w:val="00705C32"/>
    <w:rsid w:val="007070B3"/>
    <w:rsid w:val="007137A7"/>
    <w:rsid w:val="0072079C"/>
    <w:rsid w:val="00741C58"/>
    <w:rsid w:val="0075469E"/>
    <w:rsid w:val="007A06DD"/>
    <w:rsid w:val="007A1CAF"/>
    <w:rsid w:val="007A36AF"/>
    <w:rsid w:val="007D37B9"/>
    <w:rsid w:val="008021F2"/>
    <w:rsid w:val="008050CD"/>
    <w:rsid w:val="00807109"/>
    <w:rsid w:val="00807418"/>
    <w:rsid w:val="00844262"/>
    <w:rsid w:val="00873FB1"/>
    <w:rsid w:val="008821F3"/>
    <w:rsid w:val="00887210"/>
    <w:rsid w:val="00892A42"/>
    <w:rsid w:val="008A5F56"/>
    <w:rsid w:val="008C5E13"/>
    <w:rsid w:val="009037E9"/>
    <w:rsid w:val="0091095D"/>
    <w:rsid w:val="00A71268"/>
    <w:rsid w:val="00A875CC"/>
    <w:rsid w:val="00AB2A94"/>
    <w:rsid w:val="00AB5B27"/>
    <w:rsid w:val="00B43F3D"/>
    <w:rsid w:val="00B55628"/>
    <w:rsid w:val="00B657BA"/>
    <w:rsid w:val="00B74636"/>
    <w:rsid w:val="00B84405"/>
    <w:rsid w:val="00BB753A"/>
    <w:rsid w:val="00BC018F"/>
    <w:rsid w:val="00BC6B76"/>
    <w:rsid w:val="00BF0011"/>
    <w:rsid w:val="00C153D1"/>
    <w:rsid w:val="00C17AD7"/>
    <w:rsid w:val="00C358C5"/>
    <w:rsid w:val="00C45B2F"/>
    <w:rsid w:val="00C60A73"/>
    <w:rsid w:val="00C93E7D"/>
    <w:rsid w:val="00CB065B"/>
    <w:rsid w:val="00CB5131"/>
    <w:rsid w:val="00CF0F6F"/>
    <w:rsid w:val="00D131C6"/>
    <w:rsid w:val="00D25C5E"/>
    <w:rsid w:val="00D60F08"/>
    <w:rsid w:val="00DA4BBB"/>
    <w:rsid w:val="00DB783F"/>
    <w:rsid w:val="00E00BD9"/>
    <w:rsid w:val="00E62D97"/>
    <w:rsid w:val="00E969DD"/>
    <w:rsid w:val="00EB3BA3"/>
    <w:rsid w:val="00EC105D"/>
    <w:rsid w:val="00EC1818"/>
    <w:rsid w:val="00EC3751"/>
    <w:rsid w:val="00EF02F6"/>
    <w:rsid w:val="00F0344B"/>
    <w:rsid w:val="00F03502"/>
    <w:rsid w:val="00F717B6"/>
    <w:rsid w:val="00F77343"/>
    <w:rsid w:val="00FA2AF6"/>
    <w:rsid w:val="00FC447D"/>
    <w:rsid w:val="00FC6D7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E7D9"/>
  <w15:chartTrackingRefBased/>
  <w15:docId w15:val="{C8CB739B-5D22-4B35-9D04-8E06F8E7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332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3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Peck</dc:creator>
  <cp:keywords/>
  <dc:description/>
  <cp:lastModifiedBy>Shelly Enderby</cp:lastModifiedBy>
  <cp:revision>2</cp:revision>
  <cp:lastPrinted>2021-02-10T22:36:00Z</cp:lastPrinted>
  <dcterms:created xsi:type="dcterms:W3CDTF">2021-02-10T22:38:00Z</dcterms:created>
  <dcterms:modified xsi:type="dcterms:W3CDTF">2021-02-10T22:38:00Z</dcterms:modified>
</cp:coreProperties>
</file>