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F0CA" w14:textId="678C567A" w:rsidR="00623814" w:rsidRDefault="00C24D0D" w:rsidP="00DC617B">
      <w:pPr>
        <w:spacing w:after="0" w:line="240" w:lineRule="auto"/>
        <w:contextualSpacing/>
      </w:pPr>
      <w:r w:rsidRPr="00C24D0D">
        <w:t>Unfortunately, many people still view natural gas as a relatively clean transition fuel between coal and renewable energy. While burning natural gas generates less direct CO</w:t>
      </w:r>
      <w:r w:rsidRPr="00C24D0D">
        <w:rPr>
          <w:vertAlign w:val="subscript"/>
        </w:rPr>
        <w:t>2</w:t>
      </w:r>
      <w:r w:rsidRPr="00C24D0D">
        <w:t xml:space="preserve"> emissions, lower mercury and particulate emissions, less fly ash than coal, natural gas is about 90% methane (CH</w:t>
      </w:r>
      <w:r w:rsidRPr="00C24D0D">
        <w:rPr>
          <w:vertAlign w:val="subscript"/>
        </w:rPr>
        <w:t>4</w:t>
      </w:r>
      <w:r w:rsidRPr="00C24D0D">
        <w:t>)</w:t>
      </w:r>
      <w:r>
        <w:t>, some of which leaks into the atmosphere during production, handling, and incomplete combustion. T</w:t>
      </w:r>
      <w:r w:rsidR="00DC617B">
        <w:t>he SEPA Checklist summarizes the Greenhouse Gas (GHG) Life Cycle Analysis (LCA) too favorably for the proposed conversion project.</w:t>
      </w:r>
    </w:p>
    <w:p w14:paraId="1F06E14D" w14:textId="77777777" w:rsidR="00DC617B" w:rsidRDefault="00DC617B" w:rsidP="00DC617B">
      <w:pPr>
        <w:spacing w:after="0" w:line="240" w:lineRule="auto"/>
        <w:contextualSpacing/>
      </w:pPr>
    </w:p>
    <w:p w14:paraId="5D60C9B9" w14:textId="47190FB6" w:rsidR="00DC617B" w:rsidRDefault="00DC617B" w:rsidP="00DC617B">
      <w:pPr>
        <w:spacing w:after="0" w:line="240" w:lineRule="auto"/>
        <w:contextualSpacing/>
      </w:pPr>
      <w:r>
        <w:t xml:space="preserve">First, the LCA uses a Global Warming Potential (GWP) of 28 for a 100-year basis rather than a value of 82 for GWP-20. This minimizes the comparative harm for </w:t>
      </w:r>
      <w:r w:rsidR="00C24D0D">
        <w:t xml:space="preserve">the conversion </w:t>
      </w:r>
      <w:r>
        <w:t xml:space="preserve">project </w:t>
      </w:r>
      <w:r w:rsidR="00C24D0D">
        <w:t>that has</w:t>
      </w:r>
      <w:r>
        <w:t xml:space="preserve"> a limited life.</w:t>
      </w:r>
    </w:p>
    <w:p w14:paraId="6E192315" w14:textId="77777777" w:rsidR="00633D43" w:rsidRDefault="00633D43" w:rsidP="00DC617B">
      <w:pPr>
        <w:spacing w:after="0" w:line="240" w:lineRule="auto"/>
        <w:contextualSpacing/>
      </w:pPr>
    </w:p>
    <w:p w14:paraId="70DFA2C9" w14:textId="644DF733" w:rsidR="00633D43" w:rsidRDefault="00633D43" w:rsidP="00441E90">
      <w:pPr>
        <w:spacing w:after="0" w:line="240" w:lineRule="auto"/>
        <w:contextualSpacing/>
      </w:pPr>
      <w:r>
        <w:t xml:space="preserve">Second, the LCA value in Table 7 </w:t>
      </w:r>
      <w:r w:rsidRPr="00633D43">
        <w:t>of 1</w:t>
      </w:r>
      <w:r w:rsidR="00E767EA">
        <w:t>,</w:t>
      </w:r>
      <w:r w:rsidRPr="00633D43">
        <w:t xml:space="preserve">609 </w:t>
      </w:r>
      <w:proofErr w:type="spellStart"/>
      <w:r w:rsidRPr="00633D43">
        <w:t>lb</w:t>
      </w:r>
      <w:proofErr w:type="spellEnd"/>
      <w:r w:rsidRPr="00633D43">
        <w:t xml:space="preserve"> </w:t>
      </w:r>
      <w:proofErr w:type="gramStart"/>
      <w:r w:rsidRPr="00633D43">
        <w:t>CO</w:t>
      </w:r>
      <w:r w:rsidRPr="00E767EA">
        <w:rPr>
          <w:vertAlign w:val="subscript"/>
        </w:rPr>
        <w:t>2</w:t>
      </w:r>
      <w:r w:rsidRPr="00633D43">
        <w:t>(</w:t>
      </w:r>
      <w:proofErr w:type="gramEnd"/>
      <w:r w:rsidRPr="00633D43">
        <w:t xml:space="preserve">eq)/MWh </w:t>
      </w:r>
      <w:r>
        <w:t xml:space="preserve">for the conversion project </w:t>
      </w:r>
      <w:r w:rsidR="00E767EA">
        <w:t xml:space="preserve">is low compared to 2,580 </w:t>
      </w:r>
      <w:proofErr w:type="spellStart"/>
      <w:r w:rsidR="00E767EA" w:rsidRPr="00633D43">
        <w:t>lb</w:t>
      </w:r>
      <w:proofErr w:type="spellEnd"/>
      <w:r w:rsidR="00E767EA" w:rsidRPr="00633D43">
        <w:t xml:space="preserve"> </w:t>
      </w:r>
      <w:proofErr w:type="gramStart"/>
      <w:r w:rsidR="00E767EA" w:rsidRPr="00633D43">
        <w:t>CO</w:t>
      </w:r>
      <w:r w:rsidR="00E767EA" w:rsidRPr="00E767EA">
        <w:rPr>
          <w:vertAlign w:val="subscript"/>
        </w:rPr>
        <w:t>2</w:t>
      </w:r>
      <w:r w:rsidR="00E767EA" w:rsidRPr="00633D43">
        <w:t>(</w:t>
      </w:r>
      <w:proofErr w:type="gramEnd"/>
      <w:r w:rsidR="00E767EA" w:rsidRPr="00633D43">
        <w:t>eq)/MWh</w:t>
      </w:r>
      <w:r w:rsidR="00E767EA">
        <w:t xml:space="preserve"> for coal. The difference appears to be in the estimated leak rate for upstream production of natural gas</w:t>
      </w:r>
      <w:r w:rsidR="00441E90">
        <w:t xml:space="preserve"> of less than 1%</w:t>
      </w:r>
      <w:r w:rsidR="00E767EA">
        <w:t>. Using a typical value of 3%</w:t>
      </w:r>
      <w:r w:rsidR="00441E90">
        <w:t xml:space="preserve"> with GWP-100</w:t>
      </w:r>
      <w:r w:rsidR="00E767EA">
        <w:t xml:space="preserve">, the total GHG emission factor should be </w:t>
      </w:r>
      <w:r w:rsidR="00441E90">
        <w:t xml:space="preserve">about 2,247 </w:t>
      </w:r>
      <w:proofErr w:type="spellStart"/>
      <w:r w:rsidR="00441E90" w:rsidRPr="00441E90">
        <w:t>lb</w:t>
      </w:r>
      <w:proofErr w:type="spellEnd"/>
      <w:r w:rsidR="00441E90" w:rsidRPr="00441E90">
        <w:t xml:space="preserve"> </w:t>
      </w:r>
      <w:proofErr w:type="gramStart"/>
      <w:r w:rsidR="00441E90" w:rsidRPr="00441E90">
        <w:t>CO</w:t>
      </w:r>
      <w:r w:rsidR="00441E90" w:rsidRPr="00441E90">
        <w:rPr>
          <w:vertAlign w:val="subscript"/>
        </w:rPr>
        <w:t>2</w:t>
      </w:r>
      <w:r w:rsidR="00441E90" w:rsidRPr="00441E90">
        <w:t>(</w:t>
      </w:r>
      <w:proofErr w:type="gramEnd"/>
      <w:r w:rsidR="00441E90" w:rsidRPr="00441E90">
        <w:t>eq)/MWh</w:t>
      </w:r>
      <w:r w:rsidR="00441E90">
        <w:t xml:space="preserve">. With GWP-20 and 3% leak rate, it would be about 3,128 </w:t>
      </w:r>
      <w:proofErr w:type="spellStart"/>
      <w:r w:rsidR="00441E90" w:rsidRPr="00441E90">
        <w:t>lb</w:t>
      </w:r>
      <w:proofErr w:type="spellEnd"/>
      <w:r w:rsidR="00441E90" w:rsidRPr="00441E90">
        <w:t xml:space="preserve"> </w:t>
      </w:r>
      <w:proofErr w:type="gramStart"/>
      <w:r w:rsidR="00441E90" w:rsidRPr="00441E90">
        <w:t>CO</w:t>
      </w:r>
      <w:r w:rsidR="00441E90" w:rsidRPr="00441E90">
        <w:rPr>
          <w:vertAlign w:val="subscript"/>
        </w:rPr>
        <w:t>2</w:t>
      </w:r>
      <w:r w:rsidR="00441E90" w:rsidRPr="00441E90">
        <w:t>(</w:t>
      </w:r>
      <w:proofErr w:type="gramEnd"/>
      <w:r w:rsidR="00441E90" w:rsidRPr="00441E90">
        <w:t>eq)/MWh</w:t>
      </w:r>
      <w:r w:rsidR="00441E90">
        <w:t xml:space="preserve">, a value higher than coal. Estimated values for emission factors are illustrated in Figure 1. </w:t>
      </w:r>
    </w:p>
    <w:p w14:paraId="67C3081A" w14:textId="77777777" w:rsidR="00D700FB" w:rsidRDefault="00D700FB" w:rsidP="00441E90">
      <w:pPr>
        <w:spacing w:after="0" w:line="240" w:lineRule="auto"/>
        <w:contextualSpacing/>
      </w:pPr>
    </w:p>
    <w:p w14:paraId="5C258F72" w14:textId="20233030" w:rsidR="00D700FB" w:rsidRDefault="00781108" w:rsidP="00441E90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00FC6780" wp14:editId="243D7213">
            <wp:extent cx="5943600" cy="4457700"/>
            <wp:effectExtent l="0" t="0" r="0" b="0"/>
            <wp:docPr id="1298684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84764" name="Picture 129868476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07AC8" w14:textId="77777777" w:rsidR="00441E90" w:rsidRDefault="00441E90" w:rsidP="00DC617B">
      <w:pPr>
        <w:spacing w:after="0" w:line="240" w:lineRule="auto"/>
        <w:contextualSpacing/>
      </w:pPr>
    </w:p>
    <w:p w14:paraId="608F8438" w14:textId="3557A78F" w:rsidR="00441E90" w:rsidRDefault="00D700FB" w:rsidP="00DC617B">
      <w:pPr>
        <w:spacing w:after="0" w:line="240" w:lineRule="auto"/>
        <w:contextualSpacing/>
      </w:pPr>
      <w:r>
        <w:lastRenderedPageBreak/>
        <w:t>Third, the comparison to extended use of coal under emergency executive order is inappropriate</w:t>
      </w:r>
      <w:r w:rsidR="00E13528">
        <w:t xml:space="preserve"> and disingenuous</w:t>
      </w:r>
      <w:r>
        <w:t xml:space="preserve">. The emergency orders </w:t>
      </w:r>
      <w:r w:rsidR="009C1FC8">
        <w:t xml:space="preserve">from the Dept. of Energy </w:t>
      </w:r>
      <w:r>
        <w:t xml:space="preserve">under the Trump administration </w:t>
      </w:r>
      <w:r w:rsidR="009C1FC8">
        <w:t>ar</w:t>
      </w:r>
      <w:r>
        <w:t>e not justifiable</w:t>
      </w:r>
      <w:r w:rsidR="009C1FC8">
        <w:t>. T</w:t>
      </w:r>
      <w:r>
        <w:t xml:space="preserve">he duration </w:t>
      </w:r>
      <w:r w:rsidR="009C1FC8">
        <w:t xml:space="preserve">of each order </w:t>
      </w:r>
      <w:r>
        <w:t>is only 3</w:t>
      </w:r>
      <w:r w:rsidR="00E13528">
        <w:t xml:space="preserve"> </w:t>
      </w:r>
      <w:r>
        <w:t>months.</w:t>
      </w:r>
      <w:r w:rsidR="009C1FC8" w:rsidRPr="009C1FC8">
        <w:t xml:space="preserve"> </w:t>
      </w:r>
      <w:r w:rsidR="009C1FC8">
        <w:t>Despite the orders, coal has not been burned anyway</w:t>
      </w:r>
      <w:r w:rsidR="00781108">
        <w:t xml:space="preserve"> because the region had sufficient hydropower during the time of the orders</w:t>
      </w:r>
      <w:r w:rsidR="009C1FC8">
        <w:t>. The State of Washington of Washington sued to stop each of the emergency orders</w:t>
      </w:r>
      <w:r w:rsidR="00781108">
        <w:t xml:space="preserve">, arguing that </w:t>
      </w:r>
      <w:r w:rsidR="00781108" w:rsidRPr="00781108">
        <w:t>there is no emergency requiring the plants to remain available</w:t>
      </w:r>
      <w:r w:rsidR="00781108">
        <w:t>.</w:t>
      </w:r>
    </w:p>
    <w:p w14:paraId="4CAFFE2F" w14:textId="77777777" w:rsidR="00D700FB" w:rsidRDefault="00D700FB" w:rsidP="00DC617B">
      <w:pPr>
        <w:spacing w:after="0" w:line="240" w:lineRule="auto"/>
        <w:contextualSpacing/>
      </w:pPr>
    </w:p>
    <w:p w14:paraId="0A89151C" w14:textId="22DD2251" w:rsidR="00D700FB" w:rsidRDefault="00D700FB" w:rsidP="00DC617B">
      <w:pPr>
        <w:spacing w:after="0" w:line="240" w:lineRule="auto"/>
        <w:contextualSpacing/>
      </w:pPr>
      <w:r>
        <w:t xml:space="preserve">To meet the Climate Commitment Act, a better discussion and commitment to </w:t>
      </w:r>
      <w:r w:rsidR="002009A9">
        <w:t>minimizing</w:t>
      </w:r>
      <w:r>
        <w:t xml:space="preserve"> GHG emissions is needed.</w:t>
      </w:r>
      <w:r w:rsidR="002009A9">
        <w:t xml:space="preserve"> There needs to be stronger disincentive for running the peaking plant. The Cap-and-Invest program is </w:t>
      </w:r>
      <w:r w:rsidR="003F704F">
        <w:t>undermined</w:t>
      </w:r>
      <w:r w:rsidR="002009A9">
        <w:t xml:space="preserve"> when the starting basis for allowances is established at a high value compared to coal.</w:t>
      </w:r>
      <w:r w:rsidR="003F704F" w:rsidRPr="003F704F">
        <w:t xml:space="preserve"> </w:t>
      </w:r>
      <w:r w:rsidR="003F704F">
        <w:t xml:space="preserve">A tiered rate structure </w:t>
      </w:r>
      <w:r w:rsidR="003F704F">
        <w:t xml:space="preserve">should come before </w:t>
      </w:r>
      <w:r w:rsidR="00E13528">
        <w:t xml:space="preserve">starting up more </w:t>
      </w:r>
      <w:r w:rsidR="003F704F">
        <w:t>gas-fired peaking generators.</w:t>
      </w:r>
    </w:p>
    <w:p w14:paraId="78A93B92" w14:textId="77777777" w:rsidR="001C1A54" w:rsidRDefault="001C1A54" w:rsidP="00DC617B">
      <w:pPr>
        <w:spacing w:after="0" w:line="240" w:lineRule="auto"/>
        <w:contextualSpacing/>
      </w:pPr>
    </w:p>
    <w:p w14:paraId="53463258" w14:textId="39D6D6C3" w:rsidR="001C1A54" w:rsidRDefault="001C1A54" w:rsidP="00DC617B">
      <w:pPr>
        <w:spacing w:after="0" w:line="240" w:lineRule="auto"/>
        <w:contextualSpacing/>
      </w:pPr>
      <w:r>
        <w:t>Charles A. Brown, PE</w:t>
      </w:r>
    </w:p>
    <w:p w14:paraId="1926761B" w14:textId="77777777" w:rsidR="00C24D0D" w:rsidRDefault="00C24D0D" w:rsidP="00DC617B">
      <w:pPr>
        <w:spacing w:after="0" w:line="240" w:lineRule="auto"/>
        <w:contextualSpacing/>
      </w:pPr>
    </w:p>
    <w:p w14:paraId="1B7BA3D3" w14:textId="6D6583DB" w:rsidR="00C24D0D" w:rsidRDefault="00C24D0D" w:rsidP="00DC617B">
      <w:pPr>
        <w:spacing w:after="0" w:line="240" w:lineRule="auto"/>
        <w:contextualSpacing/>
      </w:pPr>
      <w:r>
        <w:t>References:</w:t>
      </w:r>
    </w:p>
    <w:p w14:paraId="5A233F50" w14:textId="77777777" w:rsidR="00C24D0D" w:rsidRDefault="00C24D0D" w:rsidP="00DC617B">
      <w:pPr>
        <w:spacing w:after="0" w:line="240" w:lineRule="auto"/>
        <w:contextualSpacing/>
      </w:pPr>
    </w:p>
    <w:p w14:paraId="72BD9B55" w14:textId="324E1DF4" w:rsidR="00C24D0D" w:rsidRDefault="00C24D0D" w:rsidP="00DC617B">
      <w:pPr>
        <w:spacing w:after="0" w:line="240" w:lineRule="auto"/>
        <w:contextualSpacing/>
      </w:pPr>
      <w:r>
        <w:t>Howarth, R. W., “The greenhouse gas footprint of liquefied natural gas (LNG) exported from the United States,</w:t>
      </w:r>
      <w:r w:rsidR="00B16F29">
        <w:t>”</w:t>
      </w:r>
      <w:r>
        <w:t xml:space="preserve"> Energy Science &amp; Engineering, Nov 2024.</w:t>
      </w:r>
      <w:r w:rsidRPr="00C24D0D">
        <w:t xml:space="preserve"> DOI: 10.1002/ese3.1934</w:t>
      </w:r>
    </w:p>
    <w:p w14:paraId="17B76548" w14:textId="77777777" w:rsidR="00C24D0D" w:rsidRDefault="00C24D0D" w:rsidP="00DC617B">
      <w:pPr>
        <w:spacing w:after="0" w:line="240" w:lineRule="auto"/>
        <w:contextualSpacing/>
      </w:pPr>
    </w:p>
    <w:p w14:paraId="2FB1BCEA" w14:textId="5E4D301D" w:rsidR="00C24D0D" w:rsidRDefault="00C24D0D" w:rsidP="00C24D0D">
      <w:pPr>
        <w:spacing w:after="0" w:line="240" w:lineRule="auto"/>
        <w:contextualSpacing/>
      </w:pPr>
      <w:r>
        <w:t>Howarth, R. W., Santoro, R., and Ingraffea</w:t>
      </w:r>
      <w:r w:rsidR="00B16F29">
        <w:t>, A.,</w:t>
      </w:r>
      <w:r>
        <w:t xml:space="preserve"> “Methane and the greenhouse-gas footprint of natural</w:t>
      </w:r>
      <w:r w:rsidR="00B16F29">
        <w:t xml:space="preserve"> </w:t>
      </w:r>
      <w:r>
        <w:t>gas from shale formations</w:t>
      </w:r>
      <w:r w:rsidR="00B16F29">
        <w:t xml:space="preserve">,” Climate Change, March 2011. </w:t>
      </w:r>
      <w:r w:rsidR="00B16F29" w:rsidRPr="00B16F29">
        <w:t>DOI 10.1007/s10584-011-0061-5</w:t>
      </w:r>
    </w:p>
    <w:p w14:paraId="564F5D58" w14:textId="77777777" w:rsidR="00B16F29" w:rsidRDefault="00B16F29" w:rsidP="00C24D0D">
      <w:pPr>
        <w:spacing w:after="0" w:line="240" w:lineRule="auto"/>
        <w:contextualSpacing/>
      </w:pPr>
    </w:p>
    <w:p w14:paraId="13F81272" w14:textId="3CC2A0E2" w:rsidR="00B16F29" w:rsidRDefault="00B16F29" w:rsidP="00C24D0D">
      <w:pPr>
        <w:spacing w:after="0" w:line="240" w:lineRule="auto"/>
        <w:contextualSpacing/>
      </w:pPr>
      <w:r>
        <w:t>John, R., et al., “The Fraud of ‘Clean’ Natural Gas,” Center for Climate Integrity, July 2026.</w:t>
      </w:r>
    </w:p>
    <w:sectPr w:rsidR="00B16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7B"/>
    <w:rsid w:val="00032F94"/>
    <w:rsid w:val="000439A6"/>
    <w:rsid w:val="00051397"/>
    <w:rsid w:val="00077439"/>
    <w:rsid w:val="000D403A"/>
    <w:rsid w:val="001C1A54"/>
    <w:rsid w:val="002009A9"/>
    <w:rsid w:val="003013E9"/>
    <w:rsid w:val="003F704F"/>
    <w:rsid w:val="00422874"/>
    <w:rsid w:val="00441E90"/>
    <w:rsid w:val="00623814"/>
    <w:rsid w:val="00633D43"/>
    <w:rsid w:val="006C74DF"/>
    <w:rsid w:val="006D5637"/>
    <w:rsid w:val="00741600"/>
    <w:rsid w:val="00781108"/>
    <w:rsid w:val="00785005"/>
    <w:rsid w:val="007E3C5E"/>
    <w:rsid w:val="009C1FC8"/>
    <w:rsid w:val="00B16F29"/>
    <w:rsid w:val="00B84F4C"/>
    <w:rsid w:val="00BE0E2D"/>
    <w:rsid w:val="00C24D0D"/>
    <w:rsid w:val="00C76B7D"/>
    <w:rsid w:val="00CB4A12"/>
    <w:rsid w:val="00D700FB"/>
    <w:rsid w:val="00DC617B"/>
    <w:rsid w:val="00E13528"/>
    <w:rsid w:val="00E736CE"/>
    <w:rsid w:val="00E767EA"/>
    <w:rsid w:val="00F5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A203B"/>
  <w15:chartTrackingRefBased/>
  <w15:docId w15:val="{817FC7DD-27D2-42C0-A593-8F4BDBD5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1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and Susan BROWN</dc:creator>
  <cp:keywords/>
  <dc:description/>
  <cp:lastModifiedBy>Charlie and Susan BROWN</cp:lastModifiedBy>
  <cp:revision>5</cp:revision>
  <dcterms:created xsi:type="dcterms:W3CDTF">2026-08-28T21:22:00Z</dcterms:created>
  <dcterms:modified xsi:type="dcterms:W3CDTF">2026-09-03T20:24:00Z</dcterms:modified>
</cp:coreProperties>
</file>