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495" w:type="dxa"/>
        <w:tblLook w:val="04A0" w:firstRow="1" w:lastRow="0" w:firstColumn="1" w:lastColumn="0" w:noHBand="0" w:noVBand="1"/>
      </w:tblPr>
      <w:tblGrid>
        <w:gridCol w:w="2245"/>
        <w:gridCol w:w="2250"/>
        <w:gridCol w:w="9000"/>
      </w:tblGrid>
      <w:tr w:rsidR="00365EB9" w:rsidRPr="000230FC" w14:paraId="6BFB9916" w14:textId="77777777" w:rsidTr="006B5C5D">
        <w:trPr>
          <w:tblHeader/>
        </w:trPr>
        <w:tc>
          <w:tcPr>
            <w:tcW w:w="4495" w:type="dxa"/>
            <w:gridSpan w:val="2"/>
          </w:tcPr>
          <w:p w14:paraId="33B0DE66" w14:textId="24E1FFF4" w:rsidR="00365EB9" w:rsidRPr="000230FC" w:rsidRDefault="00365EB9" w:rsidP="002E2DF9">
            <w:pPr>
              <w:jc w:val="center"/>
              <w:rPr>
                <w:b/>
                <w:bCs/>
                <w:sz w:val="24"/>
                <w:szCs w:val="24"/>
              </w:rPr>
            </w:pPr>
            <w:r w:rsidRPr="000230FC">
              <w:rPr>
                <w:b/>
                <w:bCs/>
                <w:sz w:val="24"/>
                <w:szCs w:val="24"/>
              </w:rPr>
              <w:t>ECOLOGY PRESENTATION-12/10/2</w:t>
            </w:r>
            <w:r w:rsidR="005F721A">
              <w:rPr>
                <w:b/>
                <w:bCs/>
                <w:sz w:val="24"/>
                <w:szCs w:val="24"/>
              </w:rPr>
              <w:t>4</w:t>
            </w:r>
            <w:r w:rsidRPr="000230FC">
              <w:rPr>
                <w:b/>
                <w:bCs/>
                <w:sz w:val="24"/>
                <w:szCs w:val="24"/>
              </w:rPr>
              <w:t xml:space="preserve"> (</w:t>
            </w:r>
            <w:r w:rsidR="005F721A">
              <w:rPr>
                <w:b/>
                <w:bCs/>
                <w:sz w:val="24"/>
                <w:szCs w:val="24"/>
              </w:rPr>
              <w:t>p. 14)</w:t>
            </w:r>
            <w:r w:rsidRPr="000230FC">
              <w:rPr>
                <w:rStyle w:val="FootnoteReference"/>
                <w:b/>
                <w:bCs/>
                <w:sz w:val="24"/>
                <w:szCs w:val="24"/>
              </w:rPr>
              <w:footnoteReference w:id="1"/>
            </w:r>
          </w:p>
        </w:tc>
        <w:tc>
          <w:tcPr>
            <w:tcW w:w="9000" w:type="dxa"/>
          </w:tcPr>
          <w:p w14:paraId="2350C0A7" w14:textId="782DB5AD" w:rsidR="00365EB9" w:rsidRPr="000230FC" w:rsidRDefault="00365EB9" w:rsidP="002E2DF9">
            <w:pPr>
              <w:jc w:val="center"/>
              <w:rPr>
                <w:b/>
                <w:bCs/>
                <w:sz w:val="24"/>
                <w:szCs w:val="24"/>
              </w:rPr>
            </w:pPr>
            <w:r w:rsidRPr="000230FC">
              <w:rPr>
                <w:b/>
                <w:bCs/>
                <w:sz w:val="24"/>
                <w:szCs w:val="24"/>
              </w:rPr>
              <w:t>WRRA COMMENTS-2/</w:t>
            </w:r>
            <w:r w:rsidR="006B5C5D">
              <w:rPr>
                <w:b/>
                <w:bCs/>
                <w:sz w:val="24"/>
                <w:szCs w:val="24"/>
              </w:rPr>
              <w:t>12</w:t>
            </w:r>
            <w:r w:rsidRPr="000230FC">
              <w:rPr>
                <w:b/>
                <w:bCs/>
                <w:sz w:val="24"/>
                <w:szCs w:val="24"/>
              </w:rPr>
              <w:t>/2025</w:t>
            </w:r>
          </w:p>
        </w:tc>
      </w:tr>
      <w:tr w:rsidR="00365EB9" w:rsidRPr="000230FC" w14:paraId="4112485A" w14:textId="77777777" w:rsidTr="006B5C5D">
        <w:trPr>
          <w:tblHeader/>
        </w:trPr>
        <w:tc>
          <w:tcPr>
            <w:tcW w:w="2245" w:type="dxa"/>
          </w:tcPr>
          <w:p w14:paraId="3D4B75D2" w14:textId="34CE3CAD" w:rsidR="00365EB9" w:rsidRPr="000230FC" w:rsidRDefault="00365EB9" w:rsidP="002E2DF9">
            <w:pPr>
              <w:jc w:val="center"/>
              <w:rPr>
                <w:b/>
                <w:bCs/>
                <w:sz w:val="24"/>
                <w:szCs w:val="24"/>
              </w:rPr>
            </w:pPr>
            <w:r w:rsidRPr="000230FC">
              <w:rPr>
                <w:b/>
                <w:bCs/>
                <w:sz w:val="24"/>
                <w:szCs w:val="24"/>
              </w:rPr>
              <w:t>Myth</w:t>
            </w:r>
          </w:p>
        </w:tc>
        <w:tc>
          <w:tcPr>
            <w:tcW w:w="2250" w:type="dxa"/>
          </w:tcPr>
          <w:p w14:paraId="12F3DD06" w14:textId="66FA9229" w:rsidR="00365EB9" w:rsidRPr="000230FC" w:rsidRDefault="00365EB9" w:rsidP="002E2DF9">
            <w:pPr>
              <w:jc w:val="center"/>
              <w:rPr>
                <w:b/>
                <w:bCs/>
                <w:sz w:val="24"/>
                <w:szCs w:val="24"/>
              </w:rPr>
            </w:pPr>
            <w:r w:rsidRPr="000230FC">
              <w:rPr>
                <w:b/>
                <w:bCs/>
                <w:sz w:val="24"/>
                <w:szCs w:val="24"/>
              </w:rPr>
              <w:t>Fact</w:t>
            </w:r>
          </w:p>
        </w:tc>
        <w:tc>
          <w:tcPr>
            <w:tcW w:w="9000" w:type="dxa"/>
          </w:tcPr>
          <w:p w14:paraId="3072D997" w14:textId="77777777" w:rsidR="00365EB9" w:rsidRPr="000230FC" w:rsidRDefault="00365EB9" w:rsidP="002E2DF9">
            <w:pPr>
              <w:jc w:val="center"/>
              <w:rPr>
                <w:b/>
                <w:bCs/>
                <w:sz w:val="24"/>
                <w:szCs w:val="24"/>
              </w:rPr>
            </w:pPr>
          </w:p>
        </w:tc>
      </w:tr>
      <w:tr w:rsidR="00365EB9" w:rsidRPr="000230FC" w14:paraId="14086ABB" w14:textId="77777777" w:rsidTr="006B5C5D">
        <w:tc>
          <w:tcPr>
            <w:tcW w:w="2245" w:type="dxa"/>
          </w:tcPr>
          <w:p w14:paraId="756E7E02" w14:textId="35C61C84" w:rsidR="00365EB9" w:rsidRPr="000230FC" w:rsidRDefault="00365EB9" w:rsidP="00365EB9">
            <w:pPr>
              <w:rPr>
                <w:sz w:val="24"/>
                <w:szCs w:val="24"/>
              </w:rPr>
            </w:pPr>
            <w:r w:rsidRPr="000230FC">
              <w:rPr>
                <w:sz w:val="24"/>
                <w:szCs w:val="24"/>
              </w:rPr>
              <w:t>Manufacturers must sell a certain number of zero-emission vehicles before being allowed to sell diesel or gas-vehicles</w:t>
            </w:r>
          </w:p>
        </w:tc>
        <w:tc>
          <w:tcPr>
            <w:tcW w:w="2250" w:type="dxa"/>
          </w:tcPr>
          <w:p w14:paraId="2AE50059" w14:textId="0C40C3D5" w:rsidR="00365EB9" w:rsidRPr="000230FC" w:rsidRDefault="00365EB9" w:rsidP="00365EB9">
            <w:pPr>
              <w:rPr>
                <w:sz w:val="24"/>
                <w:szCs w:val="24"/>
              </w:rPr>
            </w:pPr>
            <w:r w:rsidRPr="000230FC">
              <w:rPr>
                <w:sz w:val="24"/>
                <w:szCs w:val="24"/>
              </w:rPr>
              <w:t>Manufacturers have multiple compliance options</w:t>
            </w:r>
          </w:p>
        </w:tc>
        <w:tc>
          <w:tcPr>
            <w:tcW w:w="9000" w:type="dxa"/>
          </w:tcPr>
          <w:p w14:paraId="63392759" w14:textId="141B8330" w:rsidR="00365EB9" w:rsidRDefault="00365EB9" w:rsidP="00365EB9">
            <w:pPr>
              <w:rPr>
                <w:sz w:val="24"/>
                <w:szCs w:val="24"/>
              </w:rPr>
            </w:pPr>
            <w:r w:rsidRPr="000230FC">
              <w:rPr>
                <w:sz w:val="24"/>
                <w:szCs w:val="24"/>
              </w:rPr>
              <w:t xml:space="preserve">Ecology’s claim </w:t>
            </w:r>
            <w:r w:rsidR="008D530D">
              <w:rPr>
                <w:sz w:val="24"/>
                <w:szCs w:val="24"/>
              </w:rPr>
              <w:t xml:space="preserve">of a “Fact” </w:t>
            </w:r>
            <w:r w:rsidRPr="000230FC">
              <w:rPr>
                <w:sz w:val="24"/>
                <w:szCs w:val="24"/>
              </w:rPr>
              <w:t xml:space="preserve">is not accurate. Despite the claim of “multiple compliance options,” for manufacturers, the reality on the street is that </w:t>
            </w:r>
            <w:r w:rsidR="00D6635E" w:rsidRPr="000230FC">
              <w:rPr>
                <w:sz w:val="24"/>
                <w:szCs w:val="24"/>
              </w:rPr>
              <w:t xml:space="preserve">the major truck OEMs have communicated to their dealers the number of EVs that must be sold as a condition of selling ICE vehicles. Dealers that cannot meet the minimum EV sales targets are restricted in their sales of CARB Omnibus-compliant ICE vehicles (which are limited due to the “legacy engine” requirements that the OEMs agreed to implement). The bottom line is that manufacturers and CARB have created a situation where EV quotas must be </w:t>
            </w:r>
            <w:proofErr w:type="gramStart"/>
            <w:r w:rsidR="00D6635E" w:rsidRPr="000230FC">
              <w:rPr>
                <w:sz w:val="24"/>
                <w:szCs w:val="24"/>
              </w:rPr>
              <w:t>met</w:t>
            </w:r>
            <w:proofErr w:type="gramEnd"/>
            <w:r w:rsidR="00D6635E" w:rsidRPr="000230FC">
              <w:rPr>
                <w:sz w:val="24"/>
                <w:szCs w:val="24"/>
              </w:rPr>
              <w:t xml:space="preserve"> or ICE </w:t>
            </w:r>
            <w:r w:rsidR="00EF6CEE" w:rsidRPr="000230FC">
              <w:rPr>
                <w:sz w:val="24"/>
                <w:szCs w:val="24"/>
              </w:rPr>
              <w:t>engines</w:t>
            </w:r>
            <w:r w:rsidR="00D6635E" w:rsidRPr="000230FC">
              <w:rPr>
                <w:sz w:val="24"/>
                <w:szCs w:val="24"/>
              </w:rPr>
              <w:t xml:space="preserve"> cannot be sold. Dealers are imposing EV sales as a ratio of EV sales to ICE sales notwithstanding </w:t>
            </w:r>
            <w:r w:rsidR="005F4F56">
              <w:rPr>
                <w:sz w:val="24"/>
                <w:szCs w:val="24"/>
              </w:rPr>
              <w:t xml:space="preserve">the </w:t>
            </w:r>
            <w:r w:rsidR="00D6635E" w:rsidRPr="000230FC">
              <w:rPr>
                <w:sz w:val="24"/>
                <w:szCs w:val="24"/>
              </w:rPr>
              <w:t>“multiple compliance options” contained in the ACT Regulation.</w:t>
            </w:r>
          </w:p>
          <w:p w14:paraId="7663A91A" w14:textId="77777777" w:rsidR="00E51BB8" w:rsidRDefault="00E51BB8" w:rsidP="00365EB9">
            <w:pPr>
              <w:rPr>
                <w:sz w:val="24"/>
                <w:szCs w:val="24"/>
              </w:rPr>
            </w:pPr>
          </w:p>
          <w:p w14:paraId="0E99B318" w14:textId="6074CB72" w:rsidR="00E51BB8" w:rsidRDefault="008D530D" w:rsidP="00E51BB8">
            <w:pPr>
              <w:rPr>
                <w:sz w:val="24"/>
                <w:szCs w:val="24"/>
              </w:rPr>
            </w:pPr>
            <w:r>
              <w:rPr>
                <w:sz w:val="24"/>
                <w:szCs w:val="24"/>
              </w:rPr>
              <w:t xml:space="preserve">The California impacts of ACT </w:t>
            </w:r>
            <w:r w:rsidR="00EF6CEE">
              <w:rPr>
                <w:sz w:val="24"/>
                <w:szCs w:val="24"/>
              </w:rPr>
              <w:t xml:space="preserve">will </w:t>
            </w:r>
            <w:r>
              <w:rPr>
                <w:sz w:val="24"/>
                <w:szCs w:val="24"/>
              </w:rPr>
              <w:t>befall Washington State unless the course is corrected b</w:t>
            </w:r>
            <w:r w:rsidR="00E51BB8">
              <w:rPr>
                <w:sz w:val="24"/>
                <w:szCs w:val="24"/>
              </w:rPr>
              <w:t xml:space="preserve">ecause </w:t>
            </w:r>
            <w:r w:rsidRPr="008D530D">
              <w:rPr>
                <w:sz w:val="24"/>
                <w:szCs w:val="24"/>
              </w:rPr>
              <w:t>Chapter 173-423 WAC</w:t>
            </w:r>
            <w:r>
              <w:rPr>
                <w:sz w:val="24"/>
                <w:szCs w:val="24"/>
              </w:rPr>
              <w:t xml:space="preserve"> as it currently exists</w:t>
            </w:r>
            <w:r w:rsidRPr="008D530D">
              <w:rPr>
                <w:sz w:val="24"/>
                <w:szCs w:val="24"/>
              </w:rPr>
              <w:t xml:space="preserve"> </w:t>
            </w:r>
            <w:r>
              <w:rPr>
                <w:sz w:val="24"/>
                <w:szCs w:val="24"/>
              </w:rPr>
              <w:t xml:space="preserve">requires </w:t>
            </w:r>
            <w:r w:rsidR="00E51BB8">
              <w:rPr>
                <w:sz w:val="24"/>
                <w:szCs w:val="24"/>
              </w:rPr>
              <w:t>the Dept of Ecology</w:t>
            </w:r>
            <w:r>
              <w:rPr>
                <w:sz w:val="24"/>
                <w:szCs w:val="24"/>
              </w:rPr>
              <w:t xml:space="preserve"> to</w:t>
            </w:r>
            <w:r w:rsidR="00E51BB8">
              <w:rPr>
                <w:sz w:val="24"/>
                <w:szCs w:val="24"/>
              </w:rPr>
              <w:t xml:space="preserve"> </w:t>
            </w:r>
            <w:r>
              <w:rPr>
                <w:sz w:val="24"/>
                <w:szCs w:val="24"/>
              </w:rPr>
              <w:t>foll</w:t>
            </w:r>
            <w:r w:rsidR="00E51BB8">
              <w:rPr>
                <w:sz w:val="24"/>
                <w:szCs w:val="24"/>
              </w:rPr>
              <w:t>ow CARB</w:t>
            </w:r>
            <w:r>
              <w:rPr>
                <w:sz w:val="24"/>
                <w:szCs w:val="24"/>
              </w:rPr>
              <w:t xml:space="preserve"> emission standards. As provided in written testimony to CARB on 10/24/2024 by a California truck dealer typically sells over 400 diesel trucks per </w:t>
            </w:r>
            <w:proofErr w:type="gramStart"/>
            <w:r>
              <w:rPr>
                <w:sz w:val="24"/>
                <w:szCs w:val="24"/>
              </w:rPr>
              <w:t xml:space="preserve">year, </w:t>
            </w:r>
            <w:r w:rsidR="00E51BB8">
              <w:rPr>
                <w:sz w:val="24"/>
                <w:szCs w:val="24"/>
              </w:rPr>
              <w:t xml:space="preserve"> “</w:t>
            </w:r>
            <w:proofErr w:type="gramEnd"/>
            <w:r w:rsidR="00E51BB8" w:rsidRPr="00E51BB8">
              <w:rPr>
                <w:sz w:val="24"/>
                <w:szCs w:val="24"/>
              </w:rPr>
              <w:t>In 2025 we must register 1 EV to earn the right to order 1 diesel truck. Customers are gun shy on purchasing EVs. Because I have sold zero EVs we will be able to order zero diesel trucks from either brand in 2025.</w:t>
            </w:r>
            <w:r w:rsidR="00E51BB8">
              <w:rPr>
                <w:sz w:val="24"/>
                <w:szCs w:val="24"/>
              </w:rPr>
              <w:t>”</w:t>
            </w:r>
            <w:r>
              <w:rPr>
                <w:rStyle w:val="FootnoteReference"/>
                <w:sz w:val="24"/>
                <w:szCs w:val="24"/>
              </w:rPr>
              <w:footnoteReference w:id="2"/>
            </w:r>
            <w:r w:rsidR="006B5C5D">
              <w:rPr>
                <w:sz w:val="24"/>
                <w:szCs w:val="24"/>
              </w:rPr>
              <w:t xml:space="preserve"> </w:t>
            </w:r>
            <w:r w:rsidR="0007174B">
              <w:rPr>
                <w:sz w:val="24"/>
                <w:szCs w:val="24"/>
              </w:rPr>
              <w:t xml:space="preserve">Manufacturers, through their dealer networks are forcing EVs to be purchased by fleet end users </w:t>
            </w:r>
            <w:proofErr w:type="gramStart"/>
            <w:r w:rsidR="0007174B">
              <w:rPr>
                <w:sz w:val="24"/>
                <w:szCs w:val="24"/>
              </w:rPr>
              <w:t>in order to</w:t>
            </w:r>
            <w:proofErr w:type="gramEnd"/>
            <w:r w:rsidR="0007174B">
              <w:rPr>
                <w:sz w:val="24"/>
                <w:szCs w:val="24"/>
              </w:rPr>
              <w:t xml:space="preserve"> purchase ICE vehicles.</w:t>
            </w:r>
          </w:p>
          <w:p w14:paraId="2E4B2648" w14:textId="19003606" w:rsidR="00EF6CEE" w:rsidRPr="000230FC" w:rsidRDefault="00EF6CEE" w:rsidP="00365EB9">
            <w:pPr>
              <w:rPr>
                <w:sz w:val="24"/>
                <w:szCs w:val="24"/>
              </w:rPr>
            </w:pPr>
          </w:p>
        </w:tc>
      </w:tr>
      <w:tr w:rsidR="00365EB9" w:rsidRPr="000230FC" w14:paraId="05855E18" w14:textId="77777777" w:rsidTr="006B5C5D">
        <w:tc>
          <w:tcPr>
            <w:tcW w:w="2245" w:type="dxa"/>
          </w:tcPr>
          <w:p w14:paraId="21F341DB" w14:textId="2BA5679F" w:rsidR="00365EB9" w:rsidRPr="000230FC" w:rsidRDefault="00365EB9" w:rsidP="00365EB9">
            <w:pPr>
              <w:rPr>
                <w:sz w:val="24"/>
                <w:szCs w:val="24"/>
              </w:rPr>
            </w:pPr>
            <w:r w:rsidRPr="000230FC">
              <w:rPr>
                <w:sz w:val="24"/>
                <w:szCs w:val="24"/>
              </w:rPr>
              <w:t>Fleets must purchase zero-emission vehicles starting next year</w:t>
            </w:r>
          </w:p>
        </w:tc>
        <w:tc>
          <w:tcPr>
            <w:tcW w:w="2250" w:type="dxa"/>
          </w:tcPr>
          <w:p w14:paraId="0C3231B3" w14:textId="0384FCCE" w:rsidR="00365EB9" w:rsidRPr="000230FC" w:rsidRDefault="00365EB9" w:rsidP="00365EB9">
            <w:pPr>
              <w:rPr>
                <w:sz w:val="24"/>
                <w:szCs w:val="24"/>
              </w:rPr>
            </w:pPr>
            <w:r w:rsidRPr="000230FC">
              <w:rPr>
                <w:sz w:val="24"/>
                <w:szCs w:val="24"/>
              </w:rPr>
              <w:t>ACT only regulates manufacturers</w:t>
            </w:r>
          </w:p>
        </w:tc>
        <w:tc>
          <w:tcPr>
            <w:tcW w:w="9000" w:type="dxa"/>
          </w:tcPr>
          <w:p w14:paraId="473BDD02" w14:textId="06890801" w:rsidR="00EF6CEE" w:rsidRDefault="006B5C5D" w:rsidP="00365EB9">
            <w:pPr>
              <w:rPr>
                <w:sz w:val="24"/>
                <w:szCs w:val="24"/>
              </w:rPr>
            </w:pPr>
            <w:r w:rsidRPr="000230FC">
              <w:rPr>
                <w:sz w:val="24"/>
                <w:szCs w:val="24"/>
              </w:rPr>
              <w:t xml:space="preserve">Ecology’s claim is technically correct but </w:t>
            </w:r>
            <w:r>
              <w:rPr>
                <w:sz w:val="24"/>
                <w:szCs w:val="24"/>
              </w:rPr>
              <w:t>misses the point that fleet purchasers will be forced to purchase EVs to meet ACT requirements based on how California and Oregon have implemented ACT starting in 2024 and 2025, respectively.</w:t>
            </w:r>
            <w:r w:rsidR="00B91601" w:rsidRPr="000230FC">
              <w:rPr>
                <w:sz w:val="24"/>
                <w:szCs w:val="24"/>
              </w:rPr>
              <w:t xml:space="preserve"> CARB has documented what </w:t>
            </w:r>
            <w:r w:rsidR="00EF6CEE">
              <w:rPr>
                <w:sz w:val="24"/>
                <w:szCs w:val="24"/>
              </w:rPr>
              <w:t>California</w:t>
            </w:r>
            <w:r w:rsidR="00B91601" w:rsidRPr="000230FC">
              <w:rPr>
                <w:sz w:val="24"/>
                <w:szCs w:val="24"/>
              </w:rPr>
              <w:t xml:space="preserve"> fleets have experienced with manufacturers and dealers forcing EV purchases for fleet operators seeking to purchase internal combustion engines (ICE). </w:t>
            </w:r>
            <w:r w:rsidR="00365EB9" w:rsidRPr="000230FC">
              <w:rPr>
                <w:sz w:val="24"/>
                <w:szCs w:val="24"/>
              </w:rPr>
              <w:t>“</w:t>
            </w:r>
            <w:r w:rsidR="00B91601" w:rsidRPr="000230FC">
              <w:rPr>
                <w:sz w:val="24"/>
                <w:szCs w:val="24"/>
              </w:rPr>
              <w:t xml:space="preserve">The purpose for these ratios varies depends based on the manufacturer. Some are using these ratios </w:t>
            </w:r>
            <w:proofErr w:type="gramStart"/>
            <w:r w:rsidR="00B91601" w:rsidRPr="000230FC">
              <w:rPr>
                <w:sz w:val="24"/>
                <w:szCs w:val="24"/>
              </w:rPr>
              <w:t>in order to</w:t>
            </w:r>
            <w:proofErr w:type="gramEnd"/>
            <w:r w:rsidR="00B91601" w:rsidRPr="000230FC">
              <w:rPr>
                <w:sz w:val="24"/>
                <w:szCs w:val="24"/>
              </w:rPr>
              <w:t xml:space="preserve"> meet their percentage sales requirement under the ACT regulation and </w:t>
            </w:r>
            <w:r w:rsidR="00B91601" w:rsidRPr="000230FC">
              <w:rPr>
                <w:sz w:val="24"/>
                <w:szCs w:val="24"/>
              </w:rPr>
              <w:lastRenderedPageBreak/>
              <w:t>as a result are requiring a ratio of roughly 1 ZEV to 10 to 15 ICE vehicles, which essentially pushes the ACT regulation’s requirement onto the dealership or fleet. In other cases, manufacturers are requiring ZEV sales in order to generate NOx credits as they did not plan to have an HD Omnibus-compliant engine and are instead setting ratios of 1 ZEV to 1 to 3 ICE vehicles in order to achieve compliance.”</w:t>
            </w:r>
            <w:r w:rsidR="00B91601" w:rsidRPr="000230FC">
              <w:rPr>
                <w:rStyle w:val="FootnoteReference"/>
                <w:sz w:val="24"/>
                <w:szCs w:val="24"/>
              </w:rPr>
              <w:footnoteReference w:id="3"/>
            </w:r>
            <w:r w:rsidR="00EF6CEE">
              <w:rPr>
                <w:sz w:val="24"/>
                <w:szCs w:val="24"/>
              </w:rPr>
              <w:t xml:space="preserve"> So while Ecology is correct that the letter of the ACT Regulation as adopted points to manufacturers, there are severe impacts on fleet operators that should not be ignored.</w:t>
            </w:r>
          </w:p>
          <w:p w14:paraId="7CA949E9" w14:textId="2DE6CD53" w:rsidR="000230FC" w:rsidRPr="000230FC" w:rsidRDefault="000230FC" w:rsidP="00365EB9">
            <w:pPr>
              <w:rPr>
                <w:sz w:val="24"/>
                <w:szCs w:val="24"/>
              </w:rPr>
            </w:pPr>
          </w:p>
        </w:tc>
      </w:tr>
      <w:tr w:rsidR="00365EB9" w:rsidRPr="000230FC" w14:paraId="75962BCF" w14:textId="77777777" w:rsidTr="006B5C5D">
        <w:tc>
          <w:tcPr>
            <w:tcW w:w="2245" w:type="dxa"/>
          </w:tcPr>
          <w:p w14:paraId="6877684D" w14:textId="1FE32D99" w:rsidR="00365EB9" w:rsidRPr="000230FC" w:rsidRDefault="00365EB9" w:rsidP="00365EB9">
            <w:pPr>
              <w:rPr>
                <w:sz w:val="24"/>
                <w:szCs w:val="24"/>
              </w:rPr>
            </w:pPr>
            <w:r w:rsidRPr="000230FC">
              <w:rPr>
                <w:sz w:val="24"/>
                <w:szCs w:val="24"/>
              </w:rPr>
              <w:lastRenderedPageBreak/>
              <w:t>ACT is banning the sale of [insert vehicle here]</w:t>
            </w:r>
          </w:p>
        </w:tc>
        <w:tc>
          <w:tcPr>
            <w:tcW w:w="2250" w:type="dxa"/>
          </w:tcPr>
          <w:p w14:paraId="47E94AE8" w14:textId="69591A5A" w:rsidR="00365EB9" w:rsidRPr="000230FC" w:rsidRDefault="00365EB9" w:rsidP="00365EB9">
            <w:pPr>
              <w:rPr>
                <w:sz w:val="24"/>
                <w:szCs w:val="24"/>
              </w:rPr>
            </w:pPr>
            <w:r w:rsidRPr="000230FC">
              <w:rPr>
                <w:sz w:val="24"/>
                <w:szCs w:val="24"/>
              </w:rPr>
              <w:t>ACT does not ban the sale of any kind of vehicle</w:t>
            </w:r>
          </w:p>
        </w:tc>
        <w:tc>
          <w:tcPr>
            <w:tcW w:w="9000" w:type="dxa"/>
          </w:tcPr>
          <w:p w14:paraId="317175A0" w14:textId="2C2F6F02" w:rsidR="006B5C5D" w:rsidRDefault="002E2DF9" w:rsidP="00365EB9">
            <w:pPr>
              <w:rPr>
                <w:sz w:val="24"/>
                <w:szCs w:val="24"/>
              </w:rPr>
            </w:pPr>
            <w:r w:rsidRPr="000230FC">
              <w:rPr>
                <w:sz w:val="24"/>
                <w:szCs w:val="24"/>
              </w:rPr>
              <w:t>Ecology’s claim is technically correct but in</w:t>
            </w:r>
            <w:r w:rsidR="001022A0">
              <w:rPr>
                <w:sz w:val="24"/>
                <w:szCs w:val="24"/>
              </w:rPr>
              <w:t>sufficient</w:t>
            </w:r>
            <w:r w:rsidRPr="000230FC">
              <w:rPr>
                <w:sz w:val="24"/>
                <w:szCs w:val="24"/>
              </w:rPr>
              <w:t xml:space="preserve"> when considering the purchase side of a truck dealer/fleet operator relationship. </w:t>
            </w:r>
            <w:r w:rsidR="001022A0">
              <w:rPr>
                <w:sz w:val="24"/>
                <w:szCs w:val="24"/>
              </w:rPr>
              <w:t xml:space="preserve">The </w:t>
            </w:r>
            <w:r w:rsidRPr="000230FC">
              <w:rPr>
                <w:sz w:val="24"/>
                <w:szCs w:val="24"/>
              </w:rPr>
              <w:t xml:space="preserve">ACT results in a significant imposition on the </w:t>
            </w:r>
            <w:r w:rsidR="00653067" w:rsidRPr="000230FC">
              <w:rPr>
                <w:sz w:val="24"/>
                <w:szCs w:val="24"/>
              </w:rPr>
              <w:t xml:space="preserve">traditional </w:t>
            </w:r>
            <w:r w:rsidRPr="000230FC">
              <w:rPr>
                <w:sz w:val="24"/>
                <w:szCs w:val="24"/>
              </w:rPr>
              <w:t xml:space="preserve">buying patterns of fleet operators because the forced ratio of EV to ICE purchases </w:t>
            </w:r>
            <w:r w:rsidR="00653067" w:rsidRPr="000230FC">
              <w:rPr>
                <w:sz w:val="24"/>
                <w:szCs w:val="24"/>
              </w:rPr>
              <w:t xml:space="preserve">is specific to the OEM and dealer. For example, the typical Washington-based long-haul truckload carrier engaged in goods movement in the western states is likely compelled to purchase EV trucks that make no economic or practical sense for its business operations. At the ratio of 1 ZEV to 3 ICE that CARB identified (above) a fleet sourcing diesel tractors with a range in excess of 1,000 miles and carrying capacity of approximately 60,000 </w:t>
            </w:r>
            <w:proofErr w:type="spellStart"/>
            <w:r w:rsidR="00653067" w:rsidRPr="000230FC">
              <w:rPr>
                <w:sz w:val="24"/>
                <w:szCs w:val="24"/>
              </w:rPr>
              <w:t>lbs</w:t>
            </w:r>
            <w:proofErr w:type="spellEnd"/>
            <w:r w:rsidR="00653067" w:rsidRPr="000230FC">
              <w:rPr>
                <w:sz w:val="24"/>
                <w:szCs w:val="24"/>
              </w:rPr>
              <w:t xml:space="preserve"> would be forced to buy either: a) a tractor that costs two to three times more than diesel and carries 8,000 to 10,000 </w:t>
            </w:r>
            <w:proofErr w:type="spellStart"/>
            <w:r w:rsidR="00653067" w:rsidRPr="000230FC">
              <w:rPr>
                <w:sz w:val="24"/>
                <w:szCs w:val="24"/>
              </w:rPr>
              <w:t>lbs</w:t>
            </w:r>
            <w:proofErr w:type="spellEnd"/>
            <w:r w:rsidR="00653067" w:rsidRPr="000230FC">
              <w:rPr>
                <w:sz w:val="24"/>
                <w:szCs w:val="24"/>
              </w:rPr>
              <w:t xml:space="preserve"> less cargo, or b) another EV model </w:t>
            </w:r>
            <w:r w:rsidR="000230FC" w:rsidRPr="000230FC">
              <w:rPr>
                <w:sz w:val="24"/>
                <w:szCs w:val="24"/>
              </w:rPr>
              <w:t>that is made by that specific OEM but may not meet the business needs (e.g. Kenworth Truck Company offers both a Class 8 EV tractor and a Class 7 EV box truck but a long-haul carrier has little or no use for a Class 7 EV box truck</w:t>
            </w:r>
            <w:r w:rsidR="000230FC">
              <w:rPr>
                <w:sz w:val="24"/>
                <w:szCs w:val="24"/>
              </w:rPr>
              <w:t>)</w:t>
            </w:r>
            <w:r w:rsidR="000230FC" w:rsidRPr="000230FC">
              <w:rPr>
                <w:sz w:val="24"/>
                <w:szCs w:val="24"/>
              </w:rPr>
              <w:t>.</w:t>
            </w:r>
            <w:r w:rsidR="00EF6CEE">
              <w:rPr>
                <w:sz w:val="24"/>
                <w:szCs w:val="24"/>
              </w:rPr>
              <w:t xml:space="preserve"> </w:t>
            </w:r>
          </w:p>
          <w:p w14:paraId="4D3B11D8" w14:textId="77777777" w:rsidR="006B5C5D" w:rsidRDefault="006B5C5D" w:rsidP="00365EB9">
            <w:pPr>
              <w:rPr>
                <w:sz w:val="24"/>
                <w:szCs w:val="24"/>
              </w:rPr>
            </w:pPr>
          </w:p>
          <w:p w14:paraId="5BEB8690" w14:textId="10072841" w:rsidR="00365EB9" w:rsidRPr="000230FC" w:rsidRDefault="00EF6CEE" w:rsidP="00365EB9">
            <w:pPr>
              <w:rPr>
                <w:sz w:val="24"/>
                <w:szCs w:val="24"/>
              </w:rPr>
            </w:pPr>
            <w:proofErr w:type="gramStart"/>
            <w:r>
              <w:rPr>
                <w:sz w:val="24"/>
                <w:szCs w:val="24"/>
              </w:rPr>
              <w:t>So</w:t>
            </w:r>
            <w:proofErr w:type="gramEnd"/>
            <w:r>
              <w:rPr>
                <w:sz w:val="24"/>
                <w:szCs w:val="24"/>
              </w:rPr>
              <w:t xml:space="preserve"> while ACT is not an outright ban on specific vehicles it is currently a disruptive force that has anti-consumer consequences on ALL purchasers of vehicles &gt;8,500 </w:t>
            </w:r>
            <w:proofErr w:type="spellStart"/>
            <w:r>
              <w:rPr>
                <w:sz w:val="24"/>
                <w:szCs w:val="24"/>
              </w:rPr>
              <w:t>lb</w:t>
            </w:r>
            <w:proofErr w:type="spellEnd"/>
            <w:r>
              <w:rPr>
                <w:sz w:val="24"/>
                <w:szCs w:val="24"/>
              </w:rPr>
              <w:t xml:space="preserve"> GVWR and larger</w:t>
            </w:r>
            <w:r w:rsidR="00553E2E">
              <w:rPr>
                <w:sz w:val="24"/>
                <w:szCs w:val="24"/>
              </w:rPr>
              <w:t xml:space="preserve"> in the state. It should be noted that while the now withdrawn CARB ACF </w:t>
            </w:r>
            <w:r w:rsidR="001022A0">
              <w:rPr>
                <w:sz w:val="24"/>
                <w:szCs w:val="24"/>
              </w:rPr>
              <w:t xml:space="preserve">would have </w:t>
            </w:r>
            <w:r w:rsidR="00553E2E">
              <w:rPr>
                <w:sz w:val="24"/>
                <w:szCs w:val="24"/>
              </w:rPr>
              <w:t>regulated fleet sizes of 50 trucks or more or $50 million or more in revenue, ACT regulate</w:t>
            </w:r>
            <w:r w:rsidR="001022A0">
              <w:rPr>
                <w:sz w:val="24"/>
                <w:szCs w:val="24"/>
              </w:rPr>
              <w:t>s</w:t>
            </w:r>
            <w:r w:rsidR="00553E2E">
              <w:rPr>
                <w:sz w:val="24"/>
                <w:szCs w:val="24"/>
              </w:rPr>
              <w:t xml:space="preserve"> all major truck and bus OEMs and purchasers of one or more ICE vehicles are impacted by ACT.</w:t>
            </w:r>
          </w:p>
        </w:tc>
      </w:tr>
    </w:tbl>
    <w:p w14:paraId="28E6EB78" w14:textId="77777777" w:rsidR="00D52B4A" w:rsidRDefault="00D52B4A" w:rsidP="006B5C5D"/>
    <w:sectPr w:rsidR="00D52B4A" w:rsidSect="006B5C5D">
      <w:headerReference w:type="default" r:id="rId7"/>
      <w:footerReference w:type="default" r:id="rId8"/>
      <w:pgSz w:w="15840" w:h="12240" w:orient="landscape"/>
      <w:pgMar w:top="900" w:right="1440" w:bottom="1440" w:left="1440" w:header="360" w:footer="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D3C89" w14:textId="77777777" w:rsidR="00365EB9" w:rsidRDefault="00365EB9" w:rsidP="00365EB9">
      <w:pPr>
        <w:spacing w:after="0" w:line="240" w:lineRule="auto"/>
      </w:pPr>
      <w:r>
        <w:separator/>
      </w:r>
    </w:p>
  </w:endnote>
  <w:endnote w:type="continuationSeparator" w:id="0">
    <w:p w14:paraId="74FED3CF" w14:textId="77777777" w:rsidR="00365EB9" w:rsidRDefault="00365EB9" w:rsidP="00365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9278910"/>
      <w:docPartObj>
        <w:docPartGallery w:val="Page Numbers (Bottom of Page)"/>
        <w:docPartUnique/>
      </w:docPartObj>
    </w:sdtPr>
    <w:sdtEndPr>
      <w:rPr>
        <w:noProof/>
      </w:rPr>
    </w:sdtEndPr>
    <w:sdtContent>
      <w:p w14:paraId="5263C574" w14:textId="77777777" w:rsidR="000230FC" w:rsidRDefault="000230FC">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5D136A61" w14:textId="5A73E658" w:rsidR="000230FC" w:rsidRDefault="000230FC">
        <w:pPr>
          <w:pStyle w:val="Footer"/>
          <w:jc w:val="center"/>
        </w:pPr>
        <w:r>
          <w:t>Prepared by Sean Edgar for WRRA</w:t>
        </w:r>
      </w:p>
    </w:sdtContent>
  </w:sdt>
  <w:p w14:paraId="37657815" w14:textId="3CECA219" w:rsidR="000230FC" w:rsidRDefault="00023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EBCA8" w14:textId="77777777" w:rsidR="00365EB9" w:rsidRDefault="00365EB9" w:rsidP="00365EB9">
      <w:pPr>
        <w:spacing w:after="0" w:line="240" w:lineRule="auto"/>
      </w:pPr>
      <w:r>
        <w:separator/>
      </w:r>
    </w:p>
  </w:footnote>
  <w:footnote w:type="continuationSeparator" w:id="0">
    <w:p w14:paraId="54A800D4" w14:textId="77777777" w:rsidR="00365EB9" w:rsidRDefault="00365EB9" w:rsidP="00365EB9">
      <w:pPr>
        <w:spacing w:after="0" w:line="240" w:lineRule="auto"/>
      </w:pPr>
      <w:r>
        <w:continuationSeparator/>
      </w:r>
    </w:p>
  </w:footnote>
  <w:footnote w:id="1">
    <w:p w14:paraId="3C1C62A9" w14:textId="75AE2E3B" w:rsidR="00365EB9" w:rsidRDefault="00365EB9">
      <w:pPr>
        <w:pStyle w:val="FootnoteText"/>
      </w:pPr>
      <w:r>
        <w:rPr>
          <w:rStyle w:val="FootnoteReference"/>
        </w:rPr>
        <w:footnoteRef/>
      </w:r>
      <w:r>
        <w:t xml:space="preserve"> </w:t>
      </w:r>
      <w:hyperlink r:id="rId1" w:history="1">
        <w:r w:rsidR="008D530D" w:rsidRPr="00005BD8">
          <w:rPr>
            <w:rStyle w:val="Hyperlink"/>
          </w:rPr>
          <w:t>https://ecology.wa.gov/getattachment/f02cbc2a-6346-44df-b014-1bb3883ea82e/Clean-Vehicles-Program-Rulemaking-Public-Info-Session-Dec-10-2024.pdf</w:t>
        </w:r>
      </w:hyperlink>
    </w:p>
    <w:p w14:paraId="616C2FD2" w14:textId="77777777" w:rsidR="008D530D" w:rsidRDefault="008D530D">
      <w:pPr>
        <w:pStyle w:val="FootnoteText"/>
      </w:pPr>
    </w:p>
  </w:footnote>
  <w:footnote w:id="2">
    <w:p w14:paraId="59A304B4" w14:textId="040A2037" w:rsidR="008D530D" w:rsidRDefault="008D530D">
      <w:pPr>
        <w:pStyle w:val="FootnoteText"/>
      </w:pPr>
      <w:r>
        <w:rPr>
          <w:rStyle w:val="FootnoteReference"/>
        </w:rPr>
        <w:footnoteRef/>
      </w:r>
      <w:r>
        <w:t xml:space="preserve"> </w:t>
      </w:r>
      <w:hyperlink r:id="rId2" w:history="1">
        <w:r w:rsidRPr="00005BD8">
          <w:rPr>
            <w:rStyle w:val="Hyperlink"/>
          </w:rPr>
          <w:t>https://www.arb.ca.gov/lispub/comm/iframe_bccomdisp.php?listname=actzepcert2024&amp;comment_num=75&amp;virt_num=4</w:t>
        </w:r>
      </w:hyperlink>
    </w:p>
    <w:p w14:paraId="08D6DDA0" w14:textId="77777777" w:rsidR="008D530D" w:rsidRDefault="008D530D">
      <w:pPr>
        <w:pStyle w:val="FootnoteText"/>
      </w:pPr>
    </w:p>
  </w:footnote>
  <w:footnote w:id="3">
    <w:p w14:paraId="71A57CD9" w14:textId="39E2C943" w:rsidR="00B91601" w:rsidRDefault="00B91601">
      <w:pPr>
        <w:pStyle w:val="FootnoteText"/>
      </w:pPr>
      <w:r>
        <w:rPr>
          <w:rStyle w:val="FootnoteReference"/>
        </w:rPr>
        <w:footnoteRef/>
      </w:r>
      <w:r>
        <w:t xml:space="preserve"> </w:t>
      </w:r>
      <w:hyperlink r:id="rId3" w:history="1">
        <w:r w:rsidRPr="00D168E9">
          <w:rPr>
            <w:rStyle w:val="Hyperlink"/>
          </w:rPr>
          <w:t>https://ww2.arb.ca.gov/sites/default/files/2024-09/240925_actmemo_ADA_0.pdf</w:t>
        </w:r>
      </w:hyperlink>
      <w:r>
        <w:t xml:space="preserve"> at p.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B4D3F" w14:textId="3364C005" w:rsidR="000230FC" w:rsidRPr="000230FC" w:rsidRDefault="000230FC" w:rsidP="000230FC">
    <w:pPr>
      <w:pStyle w:val="Header"/>
      <w:jc w:val="center"/>
      <w:rPr>
        <w:b/>
        <w:bCs/>
        <w:sz w:val="28"/>
        <w:szCs w:val="28"/>
      </w:rPr>
    </w:pPr>
    <w:r w:rsidRPr="000230FC">
      <w:rPr>
        <w:b/>
        <w:bCs/>
        <w:sz w:val="28"/>
        <w:szCs w:val="28"/>
      </w:rPr>
      <w:t>ATTACHMENT</w:t>
    </w:r>
  </w:p>
  <w:p w14:paraId="70B5878B" w14:textId="051E4C82" w:rsidR="000230FC" w:rsidRDefault="000230FC" w:rsidP="000230FC">
    <w:pPr>
      <w:pStyle w:val="Header"/>
      <w:jc w:val="center"/>
      <w:rPr>
        <w:b/>
        <w:bCs/>
        <w:sz w:val="28"/>
        <w:szCs w:val="28"/>
      </w:rPr>
    </w:pPr>
    <w:r w:rsidRPr="000230FC">
      <w:rPr>
        <w:b/>
        <w:bCs/>
        <w:sz w:val="28"/>
        <w:szCs w:val="28"/>
      </w:rPr>
      <w:t>WRRA Comments on WA Dept of Ecology’s Clean Vehicles Program rulemaking public information session</w:t>
    </w:r>
  </w:p>
  <w:p w14:paraId="60E8DB82" w14:textId="77777777" w:rsidR="000230FC" w:rsidRPr="00553E2E" w:rsidRDefault="000230FC" w:rsidP="000230FC">
    <w:pPr>
      <w:pStyle w:val="Header"/>
      <w:jc w:val="center"/>
      <w:rPr>
        <w:b/>
        <w:bCs/>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EB9"/>
    <w:rsid w:val="000230FC"/>
    <w:rsid w:val="0007174B"/>
    <w:rsid w:val="001022A0"/>
    <w:rsid w:val="002B69B5"/>
    <w:rsid w:val="002E2DF9"/>
    <w:rsid w:val="00365EB9"/>
    <w:rsid w:val="00553E2E"/>
    <w:rsid w:val="005D6B27"/>
    <w:rsid w:val="005F4F56"/>
    <w:rsid w:val="005F721A"/>
    <w:rsid w:val="00603B37"/>
    <w:rsid w:val="00653067"/>
    <w:rsid w:val="006B5C5D"/>
    <w:rsid w:val="00702565"/>
    <w:rsid w:val="00842C14"/>
    <w:rsid w:val="008D530D"/>
    <w:rsid w:val="008F659C"/>
    <w:rsid w:val="00B91601"/>
    <w:rsid w:val="00C908B3"/>
    <w:rsid w:val="00C954BB"/>
    <w:rsid w:val="00D52B4A"/>
    <w:rsid w:val="00D6635E"/>
    <w:rsid w:val="00D677A0"/>
    <w:rsid w:val="00E06E38"/>
    <w:rsid w:val="00E51BB8"/>
    <w:rsid w:val="00EF6CEE"/>
    <w:rsid w:val="00F559A9"/>
    <w:rsid w:val="00FD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D8E8C1"/>
  <w15:chartTrackingRefBased/>
  <w15:docId w15:val="{82594B47-3E72-485D-9630-1F3584FC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E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65E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5EB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5EB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5EB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5E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5E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E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E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E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5E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5E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5E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5E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5E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E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E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EB9"/>
    <w:rPr>
      <w:rFonts w:eastAsiaTheme="majorEastAsia" w:cstheme="majorBidi"/>
      <w:color w:val="272727" w:themeColor="text1" w:themeTint="D8"/>
    </w:rPr>
  </w:style>
  <w:style w:type="paragraph" w:styleId="Title">
    <w:name w:val="Title"/>
    <w:basedOn w:val="Normal"/>
    <w:next w:val="Normal"/>
    <w:link w:val="TitleChar"/>
    <w:uiPriority w:val="10"/>
    <w:qFormat/>
    <w:rsid w:val="00365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E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E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E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EB9"/>
    <w:pPr>
      <w:spacing w:before="160"/>
      <w:jc w:val="center"/>
    </w:pPr>
    <w:rPr>
      <w:i/>
      <w:iCs/>
      <w:color w:val="404040" w:themeColor="text1" w:themeTint="BF"/>
    </w:rPr>
  </w:style>
  <w:style w:type="character" w:customStyle="1" w:styleId="QuoteChar">
    <w:name w:val="Quote Char"/>
    <w:basedOn w:val="DefaultParagraphFont"/>
    <w:link w:val="Quote"/>
    <w:uiPriority w:val="29"/>
    <w:rsid w:val="00365EB9"/>
    <w:rPr>
      <w:i/>
      <w:iCs/>
      <w:color w:val="404040" w:themeColor="text1" w:themeTint="BF"/>
    </w:rPr>
  </w:style>
  <w:style w:type="paragraph" w:styleId="ListParagraph">
    <w:name w:val="List Paragraph"/>
    <w:basedOn w:val="Normal"/>
    <w:uiPriority w:val="34"/>
    <w:qFormat/>
    <w:rsid w:val="00365EB9"/>
    <w:pPr>
      <w:ind w:left="720"/>
      <w:contextualSpacing/>
    </w:pPr>
  </w:style>
  <w:style w:type="character" w:styleId="IntenseEmphasis">
    <w:name w:val="Intense Emphasis"/>
    <w:basedOn w:val="DefaultParagraphFont"/>
    <w:uiPriority w:val="21"/>
    <w:qFormat/>
    <w:rsid w:val="00365EB9"/>
    <w:rPr>
      <w:i/>
      <w:iCs/>
      <w:color w:val="2F5496" w:themeColor="accent1" w:themeShade="BF"/>
    </w:rPr>
  </w:style>
  <w:style w:type="paragraph" w:styleId="IntenseQuote">
    <w:name w:val="Intense Quote"/>
    <w:basedOn w:val="Normal"/>
    <w:next w:val="Normal"/>
    <w:link w:val="IntenseQuoteChar"/>
    <w:uiPriority w:val="30"/>
    <w:qFormat/>
    <w:rsid w:val="00365E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5EB9"/>
    <w:rPr>
      <w:i/>
      <w:iCs/>
      <w:color w:val="2F5496" w:themeColor="accent1" w:themeShade="BF"/>
    </w:rPr>
  </w:style>
  <w:style w:type="character" w:styleId="IntenseReference">
    <w:name w:val="Intense Reference"/>
    <w:basedOn w:val="DefaultParagraphFont"/>
    <w:uiPriority w:val="32"/>
    <w:qFormat/>
    <w:rsid w:val="00365EB9"/>
    <w:rPr>
      <w:b/>
      <w:bCs/>
      <w:smallCaps/>
      <w:color w:val="2F5496" w:themeColor="accent1" w:themeShade="BF"/>
      <w:spacing w:val="5"/>
    </w:rPr>
  </w:style>
  <w:style w:type="table" w:styleId="TableGrid">
    <w:name w:val="Table Grid"/>
    <w:basedOn w:val="TableNormal"/>
    <w:uiPriority w:val="39"/>
    <w:rsid w:val="0036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65E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5EB9"/>
    <w:rPr>
      <w:sz w:val="20"/>
      <w:szCs w:val="20"/>
    </w:rPr>
  </w:style>
  <w:style w:type="character" w:styleId="FootnoteReference">
    <w:name w:val="footnote reference"/>
    <w:basedOn w:val="DefaultParagraphFont"/>
    <w:uiPriority w:val="99"/>
    <w:semiHidden/>
    <w:unhideWhenUsed/>
    <w:rsid w:val="00365EB9"/>
    <w:rPr>
      <w:vertAlign w:val="superscript"/>
    </w:rPr>
  </w:style>
  <w:style w:type="character" w:styleId="Hyperlink">
    <w:name w:val="Hyperlink"/>
    <w:basedOn w:val="DefaultParagraphFont"/>
    <w:uiPriority w:val="99"/>
    <w:unhideWhenUsed/>
    <w:rsid w:val="00B91601"/>
    <w:rPr>
      <w:color w:val="0563C1" w:themeColor="hyperlink"/>
      <w:u w:val="single"/>
    </w:rPr>
  </w:style>
  <w:style w:type="character" w:styleId="UnresolvedMention">
    <w:name w:val="Unresolved Mention"/>
    <w:basedOn w:val="DefaultParagraphFont"/>
    <w:uiPriority w:val="99"/>
    <w:semiHidden/>
    <w:unhideWhenUsed/>
    <w:rsid w:val="00B91601"/>
    <w:rPr>
      <w:color w:val="605E5C"/>
      <w:shd w:val="clear" w:color="auto" w:fill="E1DFDD"/>
    </w:rPr>
  </w:style>
  <w:style w:type="paragraph" w:styleId="Header">
    <w:name w:val="header"/>
    <w:basedOn w:val="Normal"/>
    <w:link w:val="HeaderChar"/>
    <w:uiPriority w:val="99"/>
    <w:unhideWhenUsed/>
    <w:rsid w:val="00023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0FC"/>
  </w:style>
  <w:style w:type="paragraph" w:styleId="Footer">
    <w:name w:val="footer"/>
    <w:basedOn w:val="Normal"/>
    <w:link w:val="FooterChar"/>
    <w:uiPriority w:val="99"/>
    <w:unhideWhenUsed/>
    <w:rsid w:val="00023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2.arb.ca.gov/sites/default/files/2024-09/240925_actmemo_ADA_0.pdf" TargetMode="External"/><Relationship Id="rId2" Type="http://schemas.openxmlformats.org/officeDocument/2006/relationships/hyperlink" Target="https://www.arb.ca.gov/lispub/comm/iframe_bccomdisp.php?listname=actzepcert2024&amp;comment_num=75&amp;virt_num=4" TargetMode="External"/><Relationship Id="rId1" Type="http://schemas.openxmlformats.org/officeDocument/2006/relationships/hyperlink" Target="https://ecology.wa.gov/getattachment/f02cbc2a-6346-44df-b014-1bb3883ea82e/Clean-Vehicles-Program-Rulemaking-Public-Info-Session-Dec-10-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12602-1F25-48A9-B365-02EEF62D4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Edgar</dc:creator>
  <cp:keywords/>
  <dc:description/>
  <cp:lastModifiedBy>WRRA</cp:lastModifiedBy>
  <cp:revision>2</cp:revision>
  <dcterms:created xsi:type="dcterms:W3CDTF">2025-02-14T20:36:00Z</dcterms:created>
  <dcterms:modified xsi:type="dcterms:W3CDTF">2025-02-14T20:36:00Z</dcterms:modified>
</cp:coreProperties>
</file>