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E14B" w14:textId="2F0B40BB" w:rsidR="00A93D98" w:rsidRPr="00A93D98" w:rsidRDefault="00A93D98" w:rsidP="00A93D98">
      <w:r>
        <w:rPr>
          <w:i/>
          <w:iCs/>
        </w:rPr>
        <w:t xml:space="preserve"> </w:t>
      </w:r>
      <w:r w:rsidRPr="00A93D98">
        <w:rPr>
          <w:i/>
          <w:iCs/>
        </w:rPr>
        <w:t>Submitted via </w:t>
      </w:r>
      <w:r>
        <w:rPr>
          <w:i/>
          <w:iCs/>
        </w:rPr>
        <w:t>DOE Public Comment Input</w:t>
      </w:r>
      <w:r w:rsidR="00545E6A">
        <w:rPr>
          <w:i/>
          <w:iCs/>
        </w:rPr>
        <w:t xml:space="preserve"> submittal portal</w:t>
      </w:r>
    </w:p>
    <w:p w14:paraId="38013191" w14:textId="7DB44570" w:rsidR="00A93D98" w:rsidRDefault="00A93D98" w:rsidP="00A93D98">
      <w:r>
        <w:t xml:space="preserve">RE: Cap and Invest: Centralized electricity markets comment period </w:t>
      </w:r>
    </w:p>
    <w:p w14:paraId="309E662D" w14:textId="307DA29D" w:rsidR="00A93D98" w:rsidRPr="00A93D98" w:rsidRDefault="00A93D98" w:rsidP="00A93D98">
      <w:proofErr w:type="gramStart"/>
      <w:r>
        <w:t>DUE :</w:t>
      </w:r>
      <w:proofErr w:type="gramEnd"/>
      <w:r>
        <w:t xml:space="preserve"> </w:t>
      </w:r>
      <w:r w:rsidRPr="00A93D98">
        <w:rPr>
          <w:b/>
          <w:bCs/>
        </w:rPr>
        <w:t>11:59 on Feb 20, 2026</w:t>
      </w:r>
    </w:p>
    <w:p w14:paraId="507B4BF7" w14:textId="1B6F8E84" w:rsidR="00A93D98" w:rsidRDefault="00A93D98" w:rsidP="00A93D98">
      <w:r w:rsidRPr="00A93D98">
        <w:t>Inland Power and Light Co. (IPL) </w:t>
      </w:r>
      <w:proofErr w:type="gramStart"/>
      <w:r w:rsidRPr="00A93D98">
        <w:t>submits</w:t>
      </w:r>
      <w:proofErr w:type="gramEnd"/>
      <w:r w:rsidRPr="00A93D98">
        <w:t> these comments in response</w:t>
      </w:r>
      <w:r w:rsidR="006B4F1D" w:rsidRPr="00A93D98">
        <w:t xml:space="preserve"> to</w:t>
      </w:r>
      <w:r w:rsidRPr="00A93D98">
        <w:t xml:space="preserve"> </w:t>
      </w:r>
      <w:r>
        <w:t xml:space="preserve">the Department of Ecology’s request for comments to aid development of potential reporting rules and guidance for imported electricity as part of the </w:t>
      </w:r>
      <w:r w:rsidRPr="00A93D98">
        <w:rPr>
          <w:u w:val="single"/>
        </w:rPr>
        <w:t>Cap-and-Invest Program Updates and Linkage Rulemaking</w:t>
      </w:r>
      <w:r w:rsidRPr="00A93D98">
        <w:t xml:space="preserve">. IPL </w:t>
      </w:r>
      <w:r>
        <w:t xml:space="preserve">is </w:t>
      </w:r>
      <w:proofErr w:type="gramStart"/>
      <w:r>
        <w:t>a MJRP</w:t>
      </w:r>
      <w:proofErr w:type="gramEnd"/>
      <w:r>
        <w:t xml:space="preserve"> with distribution service under a single POR in both Washington and Idaho, located within the Bonneville Power Administration’s</w:t>
      </w:r>
      <w:r w:rsidR="00692E3D">
        <w:t xml:space="preserve"> (BPA)</w:t>
      </w:r>
      <w:r>
        <w:t xml:space="preserve"> balancing authority, who engages in market purchases for our load needs</w:t>
      </w:r>
      <w:r w:rsidR="009B04E9">
        <w:t xml:space="preserve"> t</w:t>
      </w:r>
      <w:r w:rsidR="005175B5">
        <w:t>hat are</w:t>
      </w:r>
      <w:r>
        <w:t xml:space="preserve"> </w:t>
      </w:r>
      <w:r w:rsidR="00D167F9">
        <w:t>a</w:t>
      </w:r>
      <w:r w:rsidR="00996981">
        <w:t>bove wh</w:t>
      </w:r>
      <w:r w:rsidR="00183A61">
        <w:t xml:space="preserve">at </w:t>
      </w:r>
      <w:r w:rsidR="00FB5601">
        <w:t>we a</w:t>
      </w:r>
      <w:r w:rsidR="00A3160C">
        <w:t>re</w:t>
      </w:r>
      <w:r w:rsidR="00F42F19">
        <w:t xml:space="preserve"> </w:t>
      </w:r>
      <w:r>
        <w:t>served by BPA.</w:t>
      </w:r>
      <w:r w:rsidR="00D217AC">
        <w:t xml:space="preserve">  Additionally, as a consumer</w:t>
      </w:r>
      <w:r w:rsidR="007B3873">
        <w:t>-</w:t>
      </w:r>
      <w:r w:rsidR="00D217AC">
        <w:t>owned utility, our local governing bo</w:t>
      </w:r>
      <w:r w:rsidR="007B7236">
        <w:t xml:space="preserve">ard has rate authority, not the Washington </w:t>
      </w:r>
      <w:r w:rsidR="00E94950">
        <w:t xml:space="preserve">UTC </w:t>
      </w:r>
      <w:r w:rsidR="007B7236">
        <w:t xml:space="preserve">or Idaho PUC.  </w:t>
      </w:r>
    </w:p>
    <w:p w14:paraId="3C2615D7" w14:textId="21350C95" w:rsidR="00A93D98" w:rsidRPr="00A93D98" w:rsidRDefault="00286994" w:rsidP="00A93D98">
      <w:r>
        <w:t xml:space="preserve">As </w:t>
      </w:r>
      <w:r w:rsidR="00B401F6">
        <w:t>additional</w:t>
      </w:r>
      <w:r w:rsidRPr="00A93D98">
        <w:t xml:space="preserve"> </w:t>
      </w:r>
      <w:r w:rsidR="00A93D98" w:rsidRPr="00A93D98">
        <w:t xml:space="preserve">context for our view on these matters, IPL provides electric service to approximately 46,000 meters in eastern Washington and northern Idaho. Our load is around 75% residential. </w:t>
      </w:r>
      <w:r w:rsidR="005E06FA">
        <w:t>Many</w:t>
      </w:r>
      <w:r w:rsidR="00A93D98" w:rsidRPr="00A93D98">
        <w:t xml:space="preserve"> of our members reside in very rural areas that are economically depressed. </w:t>
      </w:r>
    </w:p>
    <w:p w14:paraId="6F30DB08" w14:textId="52F7131F" w:rsidR="00387DBD" w:rsidRPr="00C719D9" w:rsidRDefault="00A93D98" w:rsidP="009C573F">
      <w:r w:rsidRPr="00A93D98">
        <w:rPr>
          <w:b/>
          <w:bCs/>
        </w:rPr>
        <w:t xml:space="preserve">IPL </w:t>
      </w:r>
      <w:r w:rsidR="00C70F0B">
        <w:rPr>
          <w:b/>
          <w:bCs/>
        </w:rPr>
        <w:t xml:space="preserve">has ongoing concerns about the administrative burden resulting from </w:t>
      </w:r>
      <w:r w:rsidR="00576F25">
        <w:rPr>
          <w:b/>
          <w:bCs/>
        </w:rPr>
        <w:t>Linkage Rulemaking</w:t>
      </w:r>
      <w:r w:rsidRPr="00A93D98">
        <w:rPr>
          <w:b/>
          <w:bCs/>
        </w:rPr>
        <w:t>. </w:t>
      </w:r>
      <w:r w:rsidR="00F04C72">
        <w:t xml:space="preserve">As a </w:t>
      </w:r>
      <w:r w:rsidR="00796D5A">
        <w:t>consumer-owned</w:t>
      </w:r>
      <w:r w:rsidR="00F04C72">
        <w:t xml:space="preserve"> cooperative with members in both Washington and Idaho, it is the duty of our duly elected bo</w:t>
      </w:r>
      <w:r w:rsidR="00C1295C">
        <w:t>ard to ensure that Linkage Rulemaking does not s</w:t>
      </w:r>
      <w:r w:rsidR="0044344E">
        <w:t xml:space="preserve">ubject our Idaho load to administrative and financial burdens </w:t>
      </w:r>
      <w:r w:rsidR="000B5636">
        <w:t>due to regulations that exceed Washington and California’s jurisdiction.</w:t>
      </w:r>
      <w:r w:rsidR="00295880">
        <w:t xml:space="preserve"> As more California and Washington reg</w:t>
      </w:r>
      <w:r w:rsidR="00601E31">
        <w:t xml:space="preserve">ulation complexities arise, the more administratively burdensome </w:t>
      </w:r>
      <w:r w:rsidR="009C573F">
        <w:t xml:space="preserve">reporting will become.  </w:t>
      </w:r>
    </w:p>
    <w:p w14:paraId="04C808BE" w14:textId="178A76DE" w:rsidR="00BF3638" w:rsidRDefault="009C573F" w:rsidP="001A3112">
      <w:r w:rsidRPr="00A93D98">
        <w:rPr>
          <w:b/>
          <w:bCs/>
        </w:rPr>
        <w:t xml:space="preserve">IPL </w:t>
      </w:r>
      <w:r>
        <w:rPr>
          <w:b/>
          <w:bCs/>
        </w:rPr>
        <w:t>does not recognize California or Washington as having authority</w:t>
      </w:r>
      <w:r w:rsidR="00191EF9">
        <w:rPr>
          <w:b/>
          <w:bCs/>
        </w:rPr>
        <w:t xml:space="preserve"> t</w:t>
      </w:r>
      <w:r w:rsidR="004645B2">
        <w:rPr>
          <w:b/>
          <w:bCs/>
        </w:rPr>
        <w:t>o</w:t>
      </w:r>
      <w:r>
        <w:rPr>
          <w:b/>
          <w:bCs/>
        </w:rPr>
        <w:t xml:space="preserve"> </w:t>
      </w:r>
      <w:r w:rsidR="00524437">
        <w:rPr>
          <w:b/>
          <w:bCs/>
        </w:rPr>
        <w:t xml:space="preserve">regulate our Idaho members.  </w:t>
      </w:r>
      <w:r w:rsidR="00BA4D7B">
        <w:t xml:space="preserve">IPL serves members in Washington and Idaho. </w:t>
      </w:r>
      <w:r w:rsidR="00F96D84">
        <w:t>IPL receives delivery of energ</w:t>
      </w:r>
      <w:r w:rsidR="00193F95">
        <w:t>y</w:t>
      </w:r>
      <w:r w:rsidR="00F96D84">
        <w:t xml:space="preserve"> from BPA</w:t>
      </w:r>
      <w:r w:rsidR="00F67C88">
        <w:t xml:space="preserve"> and non</w:t>
      </w:r>
      <w:r w:rsidR="00E95366">
        <w:t>-</w:t>
      </w:r>
      <w:r w:rsidR="00F67C88">
        <w:t xml:space="preserve">specified energy from market </w:t>
      </w:r>
      <w:r w:rsidR="00E95366">
        <w:t>participants</w:t>
      </w:r>
      <w:r w:rsidR="00F96D84">
        <w:t>.</w:t>
      </w:r>
      <w:r w:rsidR="00DE0907">
        <w:t xml:space="preserve"> </w:t>
      </w:r>
      <w:r w:rsidR="00F96D84">
        <w:t>IPL’s customers in Idaho and Washington are both</w:t>
      </w:r>
      <w:r w:rsidR="002C6AF7">
        <w:t xml:space="preserve"> </w:t>
      </w:r>
      <w:r w:rsidR="00DE0907">
        <w:t xml:space="preserve">served </w:t>
      </w:r>
      <w:r w:rsidR="00E95366">
        <w:t>within</w:t>
      </w:r>
      <w:r w:rsidR="00DE0907">
        <w:t xml:space="preserve"> </w:t>
      </w:r>
      <w:r w:rsidR="00E95366">
        <w:t>a federal power administration’s (</w:t>
      </w:r>
      <w:r w:rsidR="00DE0907">
        <w:t>BPA’s</w:t>
      </w:r>
      <w:r w:rsidR="00E95366">
        <w:t>)</w:t>
      </w:r>
      <w:r w:rsidR="00DE0907">
        <w:t xml:space="preserve"> balancing authority. </w:t>
      </w:r>
      <w:r w:rsidR="001D2F01">
        <w:t xml:space="preserve">BPA does not distinguish between IPL’s members within Washington or Idaho and </w:t>
      </w:r>
      <w:r w:rsidR="001766A6">
        <w:t xml:space="preserve">BPA does not submit an e-tag for </w:t>
      </w:r>
      <w:r w:rsidR="00C60AD3">
        <w:t>transactions</w:t>
      </w:r>
      <w:r w:rsidR="001D2F01">
        <w:t xml:space="preserve"> provided to serve IPL’s members </w:t>
      </w:r>
      <w:r w:rsidR="00C60AD3">
        <w:t xml:space="preserve">since the POD </w:t>
      </w:r>
      <w:r w:rsidR="001D2F01">
        <w:t xml:space="preserve">is </w:t>
      </w:r>
      <w:r w:rsidR="00C60AD3">
        <w:t xml:space="preserve">within </w:t>
      </w:r>
      <w:r w:rsidR="001D2F01">
        <w:t xml:space="preserve">BPA </w:t>
      </w:r>
      <w:r w:rsidR="00C60AD3">
        <w:t>system</w:t>
      </w:r>
      <w:r w:rsidR="001D2F01">
        <w:t xml:space="preserve">. </w:t>
      </w:r>
      <w:r w:rsidR="001560F7">
        <w:t xml:space="preserve">Because IPL’s customers in Washington and Idaho are </w:t>
      </w:r>
      <w:r w:rsidR="007F52B2">
        <w:t xml:space="preserve">treated the same by </w:t>
      </w:r>
      <w:r w:rsidR="00344713">
        <w:t xml:space="preserve">the federal government through </w:t>
      </w:r>
      <w:r w:rsidR="007F52B2">
        <w:t xml:space="preserve">BPA, </w:t>
      </w:r>
      <w:r w:rsidR="00C73C4D">
        <w:t xml:space="preserve">they are treated the same by Inland Power. </w:t>
      </w:r>
    </w:p>
    <w:p w14:paraId="1B32C598" w14:textId="10191CB4" w:rsidR="00214F04" w:rsidRDefault="00551F42" w:rsidP="001A3112">
      <w:r>
        <w:t xml:space="preserve">Washington regulation that would penalize </w:t>
      </w:r>
      <w:r w:rsidR="00214F04">
        <w:t xml:space="preserve">Idaho flowing into Idaho </w:t>
      </w:r>
      <w:r w:rsidR="00344713">
        <w:t xml:space="preserve">or increase costs for Idaho members violates the Commerce Clause of the United States Constitution. </w:t>
      </w:r>
      <w:r w:rsidR="00CB06A9" w:rsidRPr="001A3112">
        <w:t>The United States Constitution</w:t>
      </w:r>
      <w:r w:rsidR="00CB06A9">
        <w:t xml:space="preserve"> </w:t>
      </w:r>
      <w:r w:rsidR="001A3112">
        <w:t xml:space="preserve">places the power to regulate commerce between the states with Congress. </w:t>
      </w:r>
      <w:r w:rsidR="001A3112" w:rsidRPr="007B77D2">
        <w:rPr>
          <w:i/>
        </w:rPr>
        <w:t>See</w:t>
      </w:r>
      <w:r w:rsidR="00CB06A9">
        <w:rPr>
          <w:b/>
          <w:bCs/>
        </w:rPr>
        <w:t xml:space="preserve"> </w:t>
      </w:r>
      <w:hyperlink r:id="rId7" w:history="1">
        <w:r w:rsidR="001A3112" w:rsidRPr="001A3112">
          <w:rPr>
            <w:rStyle w:val="Hyperlink"/>
          </w:rPr>
          <w:t>US Const. Art. I, § 8, Cl 3</w:t>
        </w:r>
      </w:hyperlink>
      <w:r w:rsidR="0090001D">
        <w:t xml:space="preserve">; </w:t>
      </w:r>
      <w:hyperlink r:id="rId8" w:history="1">
        <w:r w:rsidR="00F27541" w:rsidRPr="007B77D2">
          <w:rPr>
            <w:rStyle w:val="Hyperlink"/>
            <w:i/>
            <w:iCs/>
          </w:rPr>
          <w:t>PacifiCorp v. Wash. Utils. &amp; Transp. Comm'n</w:t>
        </w:r>
        <w:r w:rsidR="00F27541" w:rsidRPr="00F27541">
          <w:rPr>
            <w:rStyle w:val="Hyperlink"/>
          </w:rPr>
          <w:t xml:space="preserve">, </w:t>
        </w:r>
        <w:r w:rsidR="00F27541" w:rsidRPr="00F27541">
          <w:rPr>
            <w:rStyle w:val="Hyperlink"/>
          </w:rPr>
          <w:lastRenderedPageBreak/>
          <w:t xml:space="preserve">194 </w:t>
        </w:r>
        <w:proofErr w:type="spellStart"/>
        <w:r w:rsidR="00F27541" w:rsidRPr="00F27541">
          <w:rPr>
            <w:rStyle w:val="Hyperlink"/>
          </w:rPr>
          <w:t>Wn</w:t>
        </w:r>
        <w:proofErr w:type="spellEnd"/>
        <w:r w:rsidR="00F27541" w:rsidRPr="00F27541">
          <w:rPr>
            <w:rStyle w:val="Hyperlink"/>
          </w:rPr>
          <w:t>. App. 571, 602, 376 P.3d 389, 404 (2016)</w:t>
        </w:r>
      </w:hyperlink>
      <w:r w:rsidR="00F2009C">
        <w:t xml:space="preserve">. </w:t>
      </w:r>
      <w:r w:rsidR="00910C43">
        <w:t xml:space="preserve">In addition, </w:t>
      </w:r>
      <w:r w:rsidR="00492F28">
        <w:t>the “</w:t>
      </w:r>
      <w:r w:rsidR="00492F28" w:rsidRPr="00492F28">
        <w:t>Dormant Commerce Clause is the negative implication of the Commerce Clause and prohibits states from enacting laws that discriminate against or unduly burden interstate commerce.</w:t>
      </w:r>
      <w:r w:rsidR="00EB73D1">
        <w:t xml:space="preserve">” </w:t>
      </w:r>
      <w:r w:rsidR="00492F28" w:rsidRPr="007B77D2">
        <w:rPr>
          <w:i/>
          <w:iCs/>
        </w:rPr>
        <w:t>PacifiCorp</w:t>
      </w:r>
      <w:r w:rsidR="00492F28" w:rsidRPr="007B77D2">
        <w:t xml:space="preserve">, 194 </w:t>
      </w:r>
      <w:proofErr w:type="spellStart"/>
      <w:r w:rsidR="00492F28" w:rsidRPr="007B77D2">
        <w:t>Wn</w:t>
      </w:r>
      <w:proofErr w:type="spellEnd"/>
      <w:r w:rsidR="00492F28" w:rsidRPr="007B77D2">
        <w:t xml:space="preserve">. App. </w:t>
      </w:r>
      <w:r w:rsidR="00EB73D1" w:rsidRPr="007B77D2">
        <w:t xml:space="preserve">at </w:t>
      </w:r>
      <w:r w:rsidR="00492F28" w:rsidRPr="007B77D2">
        <w:t>602</w:t>
      </w:r>
      <w:r w:rsidR="00EB73D1">
        <w:t xml:space="preserve">. </w:t>
      </w:r>
      <w:r w:rsidR="009C5585">
        <w:t xml:space="preserve">In short, </w:t>
      </w:r>
      <w:r w:rsidR="009933FD">
        <w:t xml:space="preserve">Washington state does not have the authority to regulate </w:t>
      </w:r>
      <w:r w:rsidR="00E04D44">
        <w:t xml:space="preserve">IPL’s Idaho members or create any </w:t>
      </w:r>
      <w:r w:rsidR="00714404">
        <w:t xml:space="preserve">additional </w:t>
      </w:r>
      <w:r w:rsidR="00E04D44">
        <w:t xml:space="preserve">costs for IPL’s Idaho members. </w:t>
      </w:r>
    </w:p>
    <w:p w14:paraId="7AE1135F" w14:textId="3ABA821A" w:rsidR="008C3A67" w:rsidRDefault="003E5056" w:rsidP="00473755">
      <w:r>
        <w:t xml:space="preserve">In </w:t>
      </w:r>
      <w:r w:rsidRPr="007B77D2">
        <w:rPr>
          <w:i/>
          <w:iCs/>
        </w:rPr>
        <w:t>PacifiCorp</w:t>
      </w:r>
      <w:r>
        <w:t xml:space="preserve">, </w:t>
      </w:r>
      <w:r w:rsidR="007B77D2">
        <w:t>the issue regarding whether one or more state’s public utilities commissio</w:t>
      </w:r>
      <w:r w:rsidR="005C0DDD">
        <w:t>n’s</w:t>
      </w:r>
      <w:r w:rsidR="007B77D2">
        <w:t xml:space="preserve"> decisions can </w:t>
      </w:r>
      <w:r w:rsidR="005A5D63">
        <w:t xml:space="preserve">control the decisions made by the Washington Utilities and Transportation Commission (WUTC). While the PacifiCorp </w:t>
      </w:r>
      <w:r w:rsidR="008566EF">
        <w:t xml:space="preserve">case concerned rate making authority of the WUTC over </w:t>
      </w:r>
      <w:r w:rsidR="008C3A67">
        <w:t>investor-owned</w:t>
      </w:r>
      <w:r w:rsidR="008566EF">
        <w:t xml:space="preserve"> utilities,</w:t>
      </w:r>
      <w:r w:rsidR="003C204A">
        <w:t xml:space="preserve"> </w:t>
      </w:r>
      <w:r w:rsidR="008C3A67">
        <w:t xml:space="preserve">and the WUTC </w:t>
      </w:r>
      <w:r w:rsidR="00017EF3">
        <w:t xml:space="preserve">does not have </w:t>
      </w:r>
      <w:r w:rsidR="008C3A67">
        <w:t>rate making or regulatory authority over IPL, the case is informative regarding whether one state can regulate another state’s energy policy</w:t>
      </w:r>
      <w:r w:rsidR="00017EF3">
        <w:t xml:space="preserve"> or control costs to another state’s customers. </w:t>
      </w:r>
      <w:r w:rsidR="008C3A67">
        <w:t xml:space="preserve"> </w:t>
      </w:r>
    </w:p>
    <w:p w14:paraId="2FF8848D" w14:textId="77777777" w:rsidR="00017EF3" w:rsidRDefault="008C3A67" w:rsidP="00473755">
      <w:r>
        <w:t>In the case,</w:t>
      </w:r>
      <w:r w:rsidR="008155DE">
        <w:t xml:space="preserve"> </w:t>
      </w:r>
      <w:r w:rsidR="003E5056">
        <w:t>PacifiCorp</w:t>
      </w:r>
      <w:r w:rsidR="008155DE">
        <w:t>,</w:t>
      </w:r>
      <w:r w:rsidR="003E5056">
        <w:t xml:space="preserve"> sought to recoup costs for </w:t>
      </w:r>
      <w:r w:rsidR="007A4405">
        <w:t xml:space="preserve">Oregon and California </w:t>
      </w:r>
      <w:r w:rsidR="003E5056">
        <w:t xml:space="preserve">power purchase agreements (PPA) </w:t>
      </w:r>
      <w:r w:rsidR="008155DE">
        <w:t xml:space="preserve">approved by the Oregon and California </w:t>
      </w:r>
      <w:r w:rsidR="00C401F7">
        <w:t xml:space="preserve">Public Utilities Commissions under the same methodology approved by Oregon and California. </w:t>
      </w:r>
      <w:r w:rsidR="00C86414" w:rsidRPr="00384066">
        <w:rPr>
          <w:i/>
          <w:iCs/>
        </w:rPr>
        <w:t>PacifiCorp</w:t>
      </w:r>
      <w:r w:rsidR="00C86414" w:rsidRPr="00384066">
        <w:t xml:space="preserve">, 194 </w:t>
      </w:r>
      <w:proofErr w:type="spellStart"/>
      <w:r w:rsidR="00C86414" w:rsidRPr="00384066">
        <w:t>Wn</w:t>
      </w:r>
      <w:proofErr w:type="spellEnd"/>
      <w:r w:rsidR="00C86414" w:rsidRPr="00384066">
        <w:t xml:space="preserve">. App. </w:t>
      </w:r>
      <w:r w:rsidR="00C86414">
        <w:t>at</w:t>
      </w:r>
      <w:r w:rsidR="00C86414" w:rsidRPr="00384066">
        <w:t xml:space="preserve"> 578-</w:t>
      </w:r>
      <w:r w:rsidR="00C86414">
        <w:t>607.</w:t>
      </w:r>
      <w:r w:rsidR="007453F5">
        <w:t xml:space="preserve"> PacifiCorp argued that the Oregon and California PPAs benefited Washington customers and that the energy policies between Oregon, California, and Washington were “substantially aligned.” </w:t>
      </w:r>
      <w:r w:rsidR="007453F5" w:rsidRPr="007B77D2">
        <w:rPr>
          <w:i/>
          <w:iCs/>
        </w:rPr>
        <w:t>Id</w:t>
      </w:r>
      <w:r w:rsidR="007453F5">
        <w:t>.</w:t>
      </w:r>
      <w:r w:rsidR="00C86414">
        <w:t xml:space="preserve"> The Washington Utilities and Transportation Commission (WUTC) rejected PacifiCorp’s rate case</w:t>
      </w:r>
      <w:r w:rsidR="007453F5">
        <w:t xml:space="preserve"> and legal</w:t>
      </w:r>
      <w:r w:rsidR="00C86414">
        <w:t xml:space="preserve"> position</w:t>
      </w:r>
      <w:r w:rsidR="007453F5">
        <w:t>s</w:t>
      </w:r>
      <w:r w:rsidR="001F1B19">
        <w:t xml:space="preserve">, repeatedly holding that </w:t>
      </w:r>
      <w:r w:rsidR="007639A6">
        <w:t xml:space="preserve">Oregon and California rate and PPA approval do not bind or control Washington. </w:t>
      </w:r>
      <w:r w:rsidR="007639A6" w:rsidRPr="007B77D2">
        <w:rPr>
          <w:i/>
          <w:iCs/>
        </w:rPr>
        <w:t>Id</w:t>
      </w:r>
      <w:r w:rsidR="007639A6">
        <w:t xml:space="preserve">. The Washington Court of Appeals agreed, noting that </w:t>
      </w:r>
      <w:r w:rsidR="001F7A23">
        <w:t xml:space="preserve">the </w:t>
      </w:r>
      <w:r w:rsidR="00473755">
        <w:t>law applicable in that case d</w:t>
      </w:r>
      <w:r w:rsidR="001F7A23">
        <w:t>id “</w:t>
      </w:r>
      <w:r w:rsidR="00473755" w:rsidRPr="002654AE">
        <w:t xml:space="preserve">not require a state regulatory authority to accept another state's avoided cost determination for rate-making </w:t>
      </w:r>
      <w:proofErr w:type="gramStart"/>
      <w:r w:rsidR="00473755" w:rsidRPr="002654AE">
        <w:t>purposes.</w:t>
      </w:r>
      <w:r w:rsidR="00473755">
        <w:t>”</w:t>
      </w:r>
      <w:proofErr w:type="gramEnd"/>
      <w:r w:rsidR="00473755" w:rsidRPr="002654AE">
        <w:t xml:space="preserve"> </w:t>
      </w:r>
      <w:r w:rsidR="00473755" w:rsidRPr="002654AE">
        <w:rPr>
          <w:i/>
          <w:iCs/>
        </w:rPr>
        <w:t>PacifiCorp</w:t>
      </w:r>
      <w:r w:rsidR="00473755" w:rsidRPr="002654AE">
        <w:t xml:space="preserve">, 194 </w:t>
      </w:r>
      <w:proofErr w:type="spellStart"/>
      <w:r w:rsidR="00473755" w:rsidRPr="002654AE">
        <w:t>Wn</w:t>
      </w:r>
      <w:proofErr w:type="spellEnd"/>
      <w:r w:rsidR="00473755" w:rsidRPr="002654AE">
        <w:t xml:space="preserve">. App. </w:t>
      </w:r>
      <w:r w:rsidR="00473755">
        <w:t>at</w:t>
      </w:r>
      <w:r w:rsidR="00473755" w:rsidRPr="002654AE">
        <w:t xml:space="preserve"> 593</w:t>
      </w:r>
      <w:r w:rsidR="00F84424">
        <w:t xml:space="preserve"> and 596. </w:t>
      </w:r>
    </w:p>
    <w:p w14:paraId="6CA76AB2" w14:textId="22C9BA30" w:rsidR="00473755" w:rsidRDefault="00A43245" w:rsidP="00473755">
      <w:r>
        <w:t xml:space="preserve">In its findings and determination, the WUTC made the following </w:t>
      </w:r>
      <w:r w:rsidR="000A4E87">
        <w:t xml:space="preserve">notable conclusion: </w:t>
      </w:r>
    </w:p>
    <w:p w14:paraId="61C122FA" w14:textId="77777777" w:rsidR="00FA268B" w:rsidRPr="002654AE" w:rsidRDefault="00FA268B" w:rsidP="007B77D2">
      <w:pPr>
        <w:ind w:left="720" w:right="720"/>
      </w:pPr>
      <w:r w:rsidRPr="002654AE">
        <w:t>Washington's policies are paid for by Washington taxpayers or ratepayers, as this state's policy makers determine. Absent a regionally negotiated alternative arrangement, Oregon's and California's renewable energy policies should be paid for by the taxpayers and ratepayers of those states, as determined by their policy makers.</w:t>
      </w:r>
    </w:p>
    <w:p w14:paraId="3141CAE6" w14:textId="72963BAC" w:rsidR="0005334C" w:rsidRDefault="00FA268B" w:rsidP="00672C65">
      <w:r w:rsidRPr="007B77D2">
        <w:rPr>
          <w:i/>
          <w:iCs/>
        </w:rPr>
        <w:t>PacifiCorp</w:t>
      </w:r>
      <w:r w:rsidRPr="002654AE">
        <w:t xml:space="preserve">, 194 </w:t>
      </w:r>
      <w:proofErr w:type="spellStart"/>
      <w:r w:rsidRPr="002654AE">
        <w:t>Wn</w:t>
      </w:r>
      <w:proofErr w:type="spellEnd"/>
      <w:r w:rsidRPr="002654AE">
        <w:t>. App.</w:t>
      </w:r>
      <w:r>
        <w:t xml:space="preserve"> at</w:t>
      </w:r>
      <w:r w:rsidRPr="002654AE">
        <w:t xml:space="preserve"> 597</w:t>
      </w:r>
      <w:r>
        <w:t xml:space="preserve">. </w:t>
      </w:r>
      <w:r w:rsidR="002C69D1">
        <w:t xml:space="preserve">The Washington Court of Appeals agreed, noting that there is no legal requirement for the WUTC to </w:t>
      </w:r>
      <w:r w:rsidR="000E1ADF">
        <w:t>“</w:t>
      </w:r>
      <w:r w:rsidR="0046244C">
        <w:t xml:space="preserve">adopt Oregon’s and California’s determination of PacifiCorp’s avoided cost in their respective states based on the fact that the three states have similar energy policies[.]” </w:t>
      </w:r>
      <w:r w:rsidR="00DE3C96" w:rsidRPr="000D76B8">
        <w:rPr>
          <w:i/>
          <w:iCs/>
        </w:rPr>
        <w:t>PacifiCorp</w:t>
      </w:r>
      <w:r w:rsidR="00DE3C96" w:rsidRPr="002654AE">
        <w:t xml:space="preserve">, 194 </w:t>
      </w:r>
      <w:proofErr w:type="spellStart"/>
      <w:r w:rsidR="00DE3C96" w:rsidRPr="002654AE">
        <w:t>Wn</w:t>
      </w:r>
      <w:proofErr w:type="spellEnd"/>
      <w:r w:rsidR="00DE3C96" w:rsidRPr="002654AE">
        <w:t>. App.</w:t>
      </w:r>
      <w:r w:rsidR="00DE3C96">
        <w:t xml:space="preserve"> at</w:t>
      </w:r>
      <w:r w:rsidR="00DE3C96" w:rsidRPr="002654AE">
        <w:t xml:space="preserve"> 59</w:t>
      </w:r>
      <w:r w:rsidR="00DE3C96">
        <w:t xml:space="preserve">8. The Court of Appeals noted </w:t>
      </w:r>
      <w:r w:rsidR="006F210F">
        <w:t>approvingly of</w:t>
      </w:r>
      <w:r w:rsidR="00DE3C96">
        <w:t xml:space="preserve"> testimony </w:t>
      </w:r>
      <w:r w:rsidR="001D77F4">
        <w:t>support</w:t>
      </w:r>
      <w:r w:rsidR="00672C65">
        <w:t>ing</w:t>
      </w:r>
      <w:r w:rsidR="001D77F4">
        <w:t xml:space="preserve"> the </w:t>
      </w:r>
      <w:r w:rsidR="006F210F">
        <w:t>WUTC’s findings, “</w:t>
      </w:r>
      <w:r w:rsidR="00672C65">
        <w:t>S</w:t>
      </w:r>
      <w:r w:rsidR="00672C65" w:rsidRPr="001E3BF9">
        <w:t xml:space="preserve">ebastian Coppola, on behalf of Public Counsel, testified that </w:t>
      </w:r>
      <w:r w:rsidR="00672C65">
        <w:t>‘</w:t>
      </w:r>
      <w:r w:rsidR="00672C65" w:rsidRPr="001E3BF9">
        <w:t xml:space="preserve">the proliferation of QFs in Oregon and California </w:t>
      </w:r>
      <w:proofErr w:type="gramStart"/>
      <w:r w:rsidR="00672C65" w:rsidRPr="001E3BF9">
        <w:t>is a reflection of</w:t>
      </w:r>
      <w:proofErr w:type="gramEnd"/>
      <w:r w:rsidR="00672C65" w:rsidRPr="001E3BF9">
        <w:t xml:space="preserve"> those states' energy policies. </w:t>
      </w:r>
      <w:r w:rsidR="00672C65" w:rsidRPr="007B77D2">
        <w:rPr>
          <w:b/>
          <w:bCs/>
        </w:rPr>
        <w:t xml:space="preserve">Washington customers should </w:t>
      </w:r>
      <w:r w:rsidR="00672C65" w:rsidRPr="007B77D2">
        <w:rPr>
          <w:b/>
          <w:bCs/>
        </w:rPr>
        <w:lastRenderedPageBreak/>
        <w:t>not pay for decisions made in other states, to serve other states</w:t>
      </w:r>
      <w:r w:rsidR="00672C65" w:rsidRPr="001E3BF9">
        <w:t>.</w:t>
      </w:r>
      <w:r w:rsidR="00672C65">
        <w:t xml:space="preserve">’” </w:t>
      </w:r>
      <w:r w:rsidR="00672C65" w:rsidRPr="001E3BF9">
        <w:rPr>
          <w:i/>
          <w:iCs/>
        </w:rPr>
        <w:t>PacifiCorp</w:t>
      </w:r>
      <w:r w:rsidR="00672C65" w:rsidRPr="001E3BF9">
        <w:t xml:space="preserve">, 194 </w:t>
      </w:r>
      <w:proofErr w:type="spellStart"/>
      <w:r w:rsidR="00672C65" w:rsidRPr="001E3BF9">
        <w:t>Wn</w:t>
      </w:r>
      <w:proofErr w:type="spellEnd"/>
      <w:r w:rsidR="00672C65" w:rsidRPr="001E3BF9">
        <w:t xml:space="preserve">. App.  </w:t>
      </w:r>
      <w:r w:rsidR="00672C65">
        <w:t xml:space="preserve">at </w:t>
      </w:r>
      <w:r w:rsidR="00672C65" w:rsidRPr="001E3BF9">
        <w:t>599</w:t>
      </w:r>
      <w:r w:rsidR="00672C65">
        <w:t xml:space="preserve"> (bold added). Similarly, the Court of Appeals </w:t>
      </w:r>
      <w:r w:rsidR="003A70F0">
        <w:t xml:space="preserve">supported the WUTC’s explanation of its decision that its methodology </w:t>
      </w:r>
      <w:r w:rsidR="0040796A">
        <w:t xml:space="preserve">“is to insulate states from </w:t>
      </w:r>
      <w:r w:rsidR="0040796A" w:rsidRPr="007B77D2">
        <w:rPr>
          <w:i/>
          <w:iCs/>
        </w:rPr>
        <w:t>policy decisions</w:t>
      </w:r>
      <w:r w:rsidR="0040796A">
        <w:t xml:space="preserve"> made by other states.” </w:t>
      </w:r>
      <w:r w:rsidR="0040796A" w:rsidRPr="000D76B8">
        <w:rPr>
          <w:i/>
          <w:iCs/>
        </w:rPr>
        <w:t>PacifiCorp</w:t>
      </w:r>
      <w:r w:rsidR="0040796A" w:rsidRPr="002654AE">
        <w:t xml:space="preserve">, 194 </w:t>
      </w:r>
      <w:proofErr w:type="spellStart"/>
      <w:r w:rsidR="0040796A" w:rsidRPr="002654AE">
        <w:t>Wn</w:t>
      </w:r>
      <w:proofErr w:type="spellEnd"/>
      <w:r w:rsidR="0040796A" w:rsidRPr="002654AE">
        <w:t>. App.</w:t>
      </w:r>
      <w:r w:rsidR="0040796A">
        <w:t xml:space="preserve"> at</w:t>
      </w:r>
      <w:r w:rsidR="0040796A" w:rsidRPr="002654AE">
        <w:t xml:space="preserve"> </w:t>
      </w:r>
      <w:r w:rsidR="00ED157B">
        <w:t xml:space="preserve">605. </w:t>
      </w:r>
      <w:r w:rsidR="00E54583">
        <w:t xml:space="preserve">(italics original). </w:t>
      </w:r>
    </w:p>
    <w:p w14:paraId="2C97BAAA" w14:textId="4F65745E" w:rsidR="00C26CA0" w:rsidRDefault="00C26CA0" w:rsidP="00672C65">
      <w:r>
        <w:t xml:space="preserve">Federal authority </w:t>
      </w:r>
      <w:r w:rsidR="006E7CDD">
        <w:t xml:space="preserve">supports this conclusion. </w:t>
      </w:r>
      <w:r w:rsidR="00F43846">
        <w:t xml:space="preserve">Federal Executive Order </w:t>
      </w:r>
      <w:r w:rsidR="004466EC">
        <w:t>proffers that state</w:t>
      </w:r>
      <w:r w:rsidR="00A97B4A">
        <w:t xml:space="preserve"> policies that overreach their state boundaries “undermine Federalism by projecting the regulatory preference of a few States into all States.” </w:t>
      </w:r>
      <w:r w:rsidR="00732A70">
        <w:t xml:space="preserve">United States, Executive Office of the President Donald Trump, Executive Order 14260, Protecting American Energy from State Overreach, April 8, 2025, 90 FR 15513 </w:t>
      </w:r>
      <w:r w:rsidR="00A2460F">
        <w:t xml:space="preserve">(further directing the Attorney General </w:t>
      </w:r>
      <w:r w:rsidR="00D0302F">
        <w:t xml:space="preserve">take action to stop such laws that extend beyond state boundaries). </w:t>
      </w:r>
    </w:p>
    <w:p w14:paraId="0F3A76B7" w14:textId="54FFB282" w:rsidR="00733785" w:rsidRDefault="007F57F1" w:rsidP="001A3112">
      <w:r>
        <w:t>In short, it is law in Washington (and the position of the Federal government) that other state’s energy policy decisions should not impact Washington’s energy policy decisions or Washington customers. The same is conversely true</w:t>
      </w:r>
      <w:r w:rsidR="008040C2">
        <w:t>:</w:t>
      </w:r>
      <w:r>
        <w:t xml:space="preserve"> Washington energy policies should not impact other state’s energy policies or other state’s customers. Washington </w:t>
      </w:r>
      <w:r w:rsidR="000B57D0">
        <w:t xml:space="preserve">cannot </w:t>
      </w:r>
      <w:r w:rsidR="008040C2">
        <w:t xml:space="preserve">legally </w:t>
      </w:r>
      <w:r w:rsidR="00D8642E">
        <w:t xml:space="preserve">legislate or </w:t>
      </w:r>
      <w:r w:rsidR="000B57D0">
        <w:t xml:space="preserve">regulate IPL’s Idaho members. </w:t>
      </w:r>
    </w:p>
    <w:p w14:paraId="39B9DA79" w14:textId="3E6D2F1E" w:rsidR="00A93D98" w:rsidRDefault="00A93D98" w:rsidP="00A93D98">
      <w:r w:rsidRPr="00A93D98">
        <w:rPr>
          <w:b/>
          <w:bCs/>
        </w:rPr>
        <w:t xml:space="preserve">IPL </w:t>
      </w:r>
      <w:r w:rsidR="00B511F7">
        <w:rPr>
          <w:b/>
          <w:bCs/>
        </w:rPr>
        <w:t xml:space="preserve">is concerned that DOE’s treatment of “electricity wheeled through the state” </w:t>
      </w:r>
      <w:r w:rsidR="009B6868">
        <w:rPr>
          <w:b/>
          <w:bCs/>
        </w:rPr>
        <w:t xml:space="preserve">would impact our Idaho members.  </w:t>
      </w:r>
      <w:r w:rsidR="009B6868">
        <w:t>IPL is not a multi-state balancing authority</w:t>
      </w:r>
      <w:r w:rsidR="00E320AC">
        <w:t xml:space="preserve">, </w:t>
      </w:r>
      <w:r w:rsidR="00BC030F">
        <w:t xml:space="preserve">however </w:t>
      </w:r>
      <w:r w:rsidR="004C7F09">
        <w:t xml:space="preserve">IPL does wheel energy through </w:t>
      </w:r>
      <w:r w:rsidR="00004316">
        <w:t xml:space="preserve">WA </w:t>
      </w:r>
      <w:r w:rsidR="004C7F09">
        <w:t>state.  Specifically, our fe</w:t>
      </w:r>
      <w:r w:rsidR="004450E4">
        <w:t xml:space="preserve">deral power is used to serve our Idaho load.  </w:t>
      </w:r>
      <w:r w:rsidR="002F6534">
        <w:t xml:space="preserve">IPL also wheel’s energy from POR/POD’s located fully within Washington State </w:t>
      </w:r>
      <w:r w:rsidR="00692E3D">
        <w:t xml:space="preserve">but within the BPA balancing authority.  DOE’s use of the term multi-state balancing authority is vague and does not clarify if it includes </w:t>
      </w:r>
      <w:r w:rsidR="002258C6">
        <w:t xml:space="preserve">a federal power administration that has not voluntarily elected to comply </w:t>
      </w:r>
      <w:r w:rsidR="0052609C">
        <w:t xml:space="preserve">and </w:t>
      </w:r>
      <w:r w:rsidR="002258C6">
        <w:t>who is a balancing authority in multiple states.</w:t>
      </w:r>
    </w:p>
    <w:p w14:paraId="1B639FC7" w14:textId="1B406E6C" w:rsidR="00A351A7" w:rsidRDefault="00C24191">
      <w:r>
        <w:rPr>
          <w:b/>
          <w:bCs/>
        </w:rPr>
        <w:t>DOE has requested clarification</w:t>
      </w:r>
      <w:r w:rsidR="0093754E">
        <w:rPr>
          <w:b/>
          <w:bCs/>
        </w:rPr>
        <w:t xml:space="preserve"> and IPL is responding that there is a difference between a MJRP selling unspecified power vs. selling system power.  </w:t>
      </w:r>
      <w:r w:rsidR="003B6A9E">
        <w:t xml:space="preserve">IPL </w:t>
      </w:r>
      <w:r w:rsidR="00EA4D94">
        <w:t xml:space="preserve">receives the total amount of power allowed for our system under the BPA </w:t>
      </w:r>
      <w:r w:rsidR="006906A7">
        <w:t xml:space="preserve">power sales contract as a load following customer, </w:t>
      </w:r>
      <w:r w:rsidR="006906A7" w:rsidRPr="006906A7">
        <w:rPr>
          <w:i/>
          <w:iCs/>
          <w:u w:val="single"/>
        </w:rPr>
        <w:t>however</w:t>
      </w:r>
      <w:r w:rsidR="00FD3F94">
        <w:rPr>
          <w:i/>
          <w:iCs/>
          <w:u w:val="single"/>
        </w:rPr>
        <w:t>,</w:t>
      </w:r>
      <w:r w:rsidR="006906A7">
        <w:rPr>
          <w:i/>
          <w:iCs/>
          <w:u w:val="single"/>
        </w:rPr>
        <w:t xml:space="preserve"> </w:t>
      </w:r>
      <w:r w:rsidR="006906A7">
        <w:t>our load exceeds this allocation and we also purchase non-federal and unspecified market transactions, which are imported by our non-federal supplier or generated within the state</w:t>
      </w:r>
      <w:r w:rsidR="00424F65">
        <w:t xml:space="preserve">. </w:t>
      </w:r>
      <w:r w:rsidR="002D336E">
        <w:t>T</w:t>
      </w:r>
      <w:r w:rsidR="009558A1">
        <w:t>his power is referred to as Tier 2 power under the BPA tariff.  Our Tier 2</w:t>
      </w:r>
      <w:r w:rsidR="006C7FA8">
        <w:t xml:space="preserve"> can</w:t>
      </w:r>
      <w:r w:rsidR="00BD4DCD">
        <w:t xml:space="preserve"> be unspecified or specified and may be wheeled through to our Idaho members</w:t>
      </w:r>
      <w:r w:rsidR="00082BF4">
        <w:t xml:space="preserve"> or may be consumed within Washington State.  Federal system power would </w:t>
      </w:r>
      <w:r w:rsidR="00D06CAC">
        <w:t xml:space="preserve">not have an e-tag.  Tier 2, </w:t>
      </w:r>
      <w:r w:rsidR="00FD1AA8">
        <w:t xml:space="preserve">either specified or </w:t>
      </w:r>
      <w:r w:rsidR="00807874">
        <w:t>unspecified,</w:t>
      </w:r>
      <w:r w:rsidR="00FD1AA8">
        <w:t xml:space="preserve"> would have an e-tag demonstrating the POR/POD and therefore the importer.  </w:t>
      </w:r>
      <w:r w:rsidR="009A7D66">
        <w:t xml:space="preserve">It would not, however, specify which portion of that power was wheeled through to Idaho as a MJRP.  </w:t>
      </w:r>
    </w:p>
    <w:p w14:paraId="1749F56D" w14:textId="72DE727D" w:rsidR="004B14CF" w:rsidRDefault="00827104">
      <w:r>
        <w:rPr>
          <w:b/>
          <w:bCs/>
        </w:rPr>
        <w:t xml:space="preserve">DOE has requested feedback on how </w:t>
      </w:r>
      <w:r w:rsidR="004B14CF">
        <w:rPr>
          <w:b/>
          <w:bCs/>
        </w:rPr>
        <w:t xml:space="preserve">wheeled through power </w:t>
      </w:r>
      <w:r>
        <w:rPr>
          <w:b/>
          <w:bCs/>
        </w:rPr>
        <w:t>should be treated.</w:t>
      </w:r>
      <w:r w:rsidR="004B14CF">
        <w:rPr>
          <w:b/>
          <w:bCs/>
        </w:rPr>
        <w:t xml:space="preserve"> IPL </w:t>
      </w:r>
      <w:r w:rsidR="007E2E45">
        <w:rPr>
          <w:b/>
          <w:bCs/>
        </w:rPr>
        <w:t xml:space="preserve">is concerned that DOE does not have the authority to deem our Idaho load subject to </w:t>
      </w:r>
      <w:r w:rsidR="007E2E45">
        <w:rPr>
          <w:b/>
          <w:bCs/>
        </w:rPr>
        <w:lastRenderedPageBreak/>
        <w:t xml:space="preserve">California and Washington jurisdiction and </w:t>
      </w:r>
      <w:r w:rsidR="00434A3A">
        <w:rPr>
          <w:b/>
          <w:bCs/>
        </w:rPr>
        <w:t>there</w:t>
      </w:r>
      <w:r w:rsidR="008012CE">
        <w:rPr>
          <w:b/>
          <w:bCs/>
        </w:rPr>
        <w:t xml:space="preserve">by </w:t>
      </w:r>
      <w:r w:rsidR="007E2E45">
        <w:rPr>
          <w:b/>
          <w:bCs/>
        </w:rPr>
        <w:t>CCA costs and administration</w:t>
      </w:r>
      <w:r w:rsidR="007C0582">
        <w:rPr>
          <w:b/>
          <w:bCs/>
        </w:rPr>
        <w:t>. F</w:t>
      </w:r>
      <w:r w:rsidR="00922022">
        <w:rPr>
          <w:b/>
          <w:bCs/>
        </w:rPr>
        <w:t xml:space="preserve">urthermore, our Washington members should not be subject to higher costs due to load that is located outside of </w:t>
      </w:r>
      <w:r w:rsidR="006B664B">
        <w:rPr>
          <w:b/>
          <w:bCs/>
        </w:rPr>
        <w:t xml:space="preserve">the Cap-and-Invest jurisdiction.  </w:t>
      </w:r>
      <w:r w:rsidR="006B664B">
        <w:t xml:space="preserve">IPL proposes that the simplest way to administer MJRP </w:t>
      </w:r>
      <w:r w:rsidR="00D36EBE">
        <w:t xml:space="preserve">load that is outside of Washington jurisdiction is to remove </w:t>
      </w:r>
      <w:r w:rsidR="00FA2093">
        <w:t>it</w:t>
      </w:r>
      <w:r w:rsidR="00D36EBE">
        <w:t xml:space="preserve"> from the compliance responsibilities and treat it as wheeled through our state.  This could be accomplished</w:t>
      </w:r>
      <w:r w:rsidR="00FE7765">
        <w:t xml:space="preserve"> by </w:t>
      </w:r>
      <w:r w:rsidR="00D360F1">
        <w:t xml:space="preserve">restricting the reporting to Washington load.  Examples are given below.  </w:t>
      </w:r>
    </w:p>
    <w:p w14:paraId="1C9B4373" w14:textId="77777777" w:rsidR="0089158A" w:rsidRDefault="00D360F1">
      <w:pPr>
        <w:rPr>
          <w:b/>
          <w:bCs/>
        </w:rPr>
      </w:pPr>
      <w:r>
        <w:rPr>
          <w:b/>
          <w:bCs/>
        </w:rPr>
        <w:t xml:space="preserve">DOE has requested feedback on the definition of “Electricity Importer”, </w:t>
      </w:r>
      <w:r w:rsidR="00914D0F">
        <w:rPr>
          <w:b/>
          <w:bCs/>
        </w:rPr>
        <w:t xml:space="preserve">IPL is providing feedback on section (iv), (v), and (x) of the definition.  </w:t>
      </w:r>
      <w:r w:rsidR="002B5895">
        <w:rPr>
          <w:b/>
          <w:bCs/>
        </w:rPr>
        <w:t xml:space="preserve">IPL is </w:t>
      </w:r>
      <w:proofErr w:type="gramStart"/>
      <w:r w:rsidR="002B5895">
        <w:rPr>
          <w:b/>
          <w:bCs/>
        </w:rPr>
        <w:t>concerned</w:t>
      </w:r>
      <w:proofErr w:type="gramEnd"/>
      <w:r w:rsidR="002B5895">
        <w:rPr>
          <w:b/>
          <w:bCs/>
        </w:rPr>
        <w:t xml:space="preserve"> the definition overreaches beyond the intent of the language</w:t>
      </w:r>
      <w:r w:rsidR="00261CEB">
        <w:rPr>
          <w:b/>
          <w:bCs/>
        </w:rPr>
        <w:t xml:space="preserve"> and is also vague and can cause erroneous reporting.  </w:t>
      </w:r>
    </w:p>
    <w:p w14:paraId="7C8F3D99" w14:textId="77777777" w:rsidR="0089158A" w:rsidRDefault="002B5895">
      <w:r>
        <w:t xml:space="preserve">Section </w:t>
      </w:r>
      <w:r w:rsidR="00261CEB">
        <w:t xml:space="preserve">(iv) should read “For </w:t>
      </w:r>
      <w:r w:rsidR="00C25A6B">
        <w:t xml:space="preserve">electricity from facilities allocated to serve </w:t>
      </w:r>
      <w:r w:rsidR="00A46A55" w:rsidRPr="00CB70BC">
        <w:rPr>
          <w:i/>
          <w:iCs/>
          <w:u w:val="single"/>
        </w:rPr>
        <w:t>Washington</w:t>
      </w:r>
      <w:r w:rsidR="00A46A55">
        <w:t xml:space="preserve"> retail electricity customers, within a </w:t>
      </w:r>
      <w:r w:rsidR="00347C76">
        <w:t>multijurisdictional</w:t>
      </w:r>
      <w:r w:rsidR="00A46A55">
        <w:t xml:space="preserve"> electric company, the electricity importer </w:t>
      </w:r>
      <w:r w:rsidR="00CB70BC" w:rsidRPr="00CB70BC">
        <w:rPr>
          <w:i/>
          <w:iCs/>
          <w:u w:val="single"/>
        </w:rPr>
        <w:t>for such electricity</w:t>
      </w:r>
      <w:r w:rsidR="00CB70BC">
        <w:t xml:space="preserve"> </w:t>
      </w:r>
      <w:r w:rsidR="00A46A55">
        <w:t>is the multi</w:t>
      </w:r>
      <w:r w:rsidR="00347C76">
        <w:t>jurisdictional electric</w:t>
      </w:r>
      <w:r w:rsidR="00BC5CED">
        <w:t xml:space="preserve"> company.  </w:t>
      </w:r>
    </w:p>
    <w:p w14:paraId="52CC62BD" w14:textId="5ADB1BCC" w:rsidR="00D360F1" w:rsidRDefault="00BC5CED">
      <w:r>
        <w:t xml:space="preserve">Further, section (v) overreaches </w:t>
      </w:r>
      <w:r w:rsidR="003E2571">
        <w:t>and</w:t>
      </w:r>
      <w:r w:rsidR="00987E07">
        <w:t xml:space="preserve"> does not consider that a MJRP may have a distribution system that spans multiple jurisdictions.  </w:t>
      </w:r>
      <w:r w:rsidR="0089158A">
        <w:t xml:space="preserve">It should instead read:  “(v) If the importer identified under (f)(i) or (f)(xi) of this subsection is a federal power marketing administration over which Washington state does not have jurisdiction, and the federal power marketing administration has not </w:t>
      </w:r>
      <w:r w:rsidR="007425B4">
        <w:t xml:space="preserve">voluntarily elected to comply with this chapter, then the electricity importer is the next purchasing-selling entity </w:t>
      </w:r>
      <w:r w:rsidR="001F7B29">
        <w:t xml:space="preserve">in the physical path on the e-tag or if no additional purchasing-selling entity </w:t>
      </w:r>
      <w:r w:rsidR="007425B4">
        <w:t>over which Washington state has jurisdiction</w:t>
      </w:r>
      <w:r w:rsidR="00322AD9">
        <w:t xml:space="preserve">, then the electricity importer of the </w:t>
      </w:r>
      <w:r w:rsidR="00322AD9" w:rsidRPr="00716DF8">
        <w:rPr>
          <w:i/>
          <w:iCs/>
          <w:u w:val="single"/>
        </w:rPr>
        <w:t>Washington load</w:t>
      </w:r>
      <w:r w:rsidR="006249F6">
        <w:t xml:space="preserve">, is the electric utility that operates </w:t>
      </w:r>
      <w:r w:rsidR="006249F6" w:rsidRPr="00716DF8">
        <w:rPr>
          <w:i/>
          <w:iCs/>
          <w:u w:val="single"/>
        </w:rPr>
        <w:t>the associated portion</w:t>
      </w:r>
      <w:r w:rsidR="006249F6">
        <w:t xml:space="preserve"> of </w:t>
      </w:r>
      <w:r w:rsidR="004960A1">
        <w:t xml:space="preserve">transmission or distribution system, or the generation balancing authority.  </w:t>
      </w:r>
    </w:p>
    <w:p w14:paraId="7DFDC59E" w14:textId="090B2F66" w:rsidR="00716DF8" w:rsidRPr="002B5895" w:rsidRDefault="00716DF8">
      <w:r>
        <w:t xml:space="preserve">Finally, Section (x) </w:t>
      </w:r>
      <w:r w:rsidR="00221A2D">
        <w:t>results in circular logic as it relates to IPL.  IPL is both a consumer owned utility located within Washington state and a multi</w:t>
      </w:r>
      <w:r w:rsidR="00007DB3">
        <w:t xml:space="preserve">jurisdictional consumer owned utility, yet DOE only has jurisdiction on the Washington portion of our </w:t>
      </w:r>
      <w:r w:rsidR="0079788F">
        <w:t xml:space="preserve">load.  IPL is concerned that section (x) </w:t>
      </w:r>
      <w:r w:rsidR="00172780">
        <w:t xml:space="preserve">could convey the intent that our Idaho load would </w:t>
      </w:r>
      <w:r w:rsidR="0093357F">
        <w:t xml:space="preserve">no longer be considered as wheeled through the state.  </w:t>
      </w:r>
    </w:p>
    <w:p w14:paraId="411D2442" w14:textId="22C63AA7" w:rsidR="0093357F" w:rsidRDefault="00ED5032" w:rsidP="0093357F">
      <w:r>
        <w:rPr>
          <w:b/>
          <w:bCs/>
        </w:rPr>
        <w:t>DOE has requested specific feedback as it relates to this definition, which IPL provided above</w:t>
      </w:r>
      <w:r w:rsidR="0093357F">
        <w:rPr>
          <w:b/>
          <w:bCs/>
        </w:rPr>
        <w:t>.</w:t>
      </w:r>
      <w:r>
        <w:rPr>
          <w:b/>
          <w:bCs/>
        </w:rPr>
        <w:t xml:space="preserve">  Generally, IPL is concerned that </w:t>
      </w:r>
      <w:r w:rsidR="00D60EFD">
        <w:rPr>
          <w:b/>
          <w:bCs/>
        </w:rPr>
        <w:t>the Linkage proposed rulemaking</w:t>
      </w:r>
      <w:r w:rsidR="00BC6514">
        <w:rPr>
          <w:b/>
          <w:bCs/>
        </w:rPr>
        <w:t xml:space="preserve"> overreaches and is unclear.  </w:t>
      </w:r>
      <w:r w:rsidR="00BC6514">
        <w:t xml:space="preserve">The proposed </w:t>
      </w:r>
      <w:r w:rsidR="00124ED0">
        <w:t>langua</w:t>
      </w:r>
      <w:r w:rsidR="00124ED0" w:rsidRPr="00124ED0">
        <w:t>ge does</w:t>
      </w:r>
      <w:r w:rsidR="00D60EFD" w:rsidRPr="00124ED0">
        <w:t xml:space="preserve"> not </w:t>
      </w:r>
      <w:r w:rsidR="00D60EFD" w:rsidRPr="00BC6514">
        <w:t>clearly recognize that a MJ</w:t>
      </w:r>
      <w:r w:rsidR="00505867" w:rsidRPr="00BC6514">
        <w:t xml:space="preserve">RP may have a single </w:t>
      </w:r>
      <w:r w:rsidR="00670C40" w:rsidRPr="00BC6514">
        <w:t xml:space="preserve">sink and scheduling node that spans more than one state.  </w:t>
      </w:r>
      <w:r w:rsidR="00FE1407" w:rsidRPr="00BC6514">
        <w:t xml:space="preserve">Further, the definition of multiple state balancing authority is unclear when the balancing authority is </w:t>
      </w:r>
      <w:r w:rsidR="00A329B0">
        <w:t>a FPMA multi-state balancing authority</w:t>
      </w:r>
      <w:r w:rsidR="00245A80" w:rsidRPr="00BC6514">
        <w:t xml:space="preserve">.  </w:t>
      </w:r>
      <w:r w:rsidR="00D8681C">
        <w:t xml:space="preserve">The “electricity importer” definition is </w:t>
      </w:r>
      <w:r w:rsidR="005F3DD1">
        <w:t xml:space="preserve">focused </w:t>
      </w:r>
      <w:r w:rsidR="005F3DD1">
        <w:lastRenderedPageBreak/>
        <w:t>on</w:t>
      </w:r>
      <w:r w:rsidR="00F66CD8">
        <w:t xml:space="preserve"> load fully within Washington</w:t>
      </w:r>
      <w:r w:rsidR="0094540F">
        <w:t xml:space="preserve"> when nestled within a </w:t>
      </w:r>
      <w:r w:rsidR="00174D55">
        <w:t>multi-state</w:t>
      </w:r>
      <w:r w:rsidR="0094540F">
        <w:t xml:space="preserve"> balancing authority and completely misses </w:t>
      </w:r>
      <w:r w:rsidR="00994203">
        <w:t xml:space="preserve">MJRP’s that are distribution systems within a multi-state balancing authority or </w:t>
      </w:r>
      <w:r w:rsidR="00A329B0">
        <w:t xml:space="preserve">FPMA multi-state BAA.  </w:t>
      </w:r>
      <w:r w:rsidR="0093357F" w:rsidRPr="00BC6514">
        <w:t xml:space="preserve"> </w:t>
      </w:r>
    </w:p>
    <w:p w14:paraId="5C74FC1C" w14:textId="77777777" w:rsidR="00A329B0" w:rsidRDefault="00A329B0" w:rsidP="0093357F"/>
    <w:p w14:paraId="4164BC6D" w14:textId="29C4CE78" w:rsidR="00A329B0" w:rsidRDefault="00A329B0" w:rsidP="00A329B0">
      <w:r>
        <w:rPr>
          <w:b/>
          <w:bCs/>
        </w:rPr>
        <w:t xml:space="preserve">DOE has requested specific feedback </w:t>
      </w:r>
      <w:r w:rsidR="00FD596F">
        <w:rPr>
          <w:b/>
          <w:bCs/>
        </w:rPr>
        <w:t xml:space="preserve">regarding an alternative to updating the definition but instead limiting </w:t>
      </w:r>
      <w:r w:rsidR="003F6021">
        <w:rPr>
          <w:b/>
          <w:bCs/>
        </w:rPr>
        <w:t xml:space="preserve">application to instances in which an e-tag is not generated.  </w:t>
      </w:r>
      <w:r w:rsidR="003F6021" w:rsidRPr="00F342A1">
        <w:rPr>
          <w:b/>
          <w:bCs/>
        </w:rPr>
        <w:t xml:space="preserve">IPL feels that DOE does not seem aware that </w:t>
      </w:r>
      <w:r w:rsidR="0068636A" w:rsidRPr="00F342A1">
        <w:rPr>
          <w:b/>
          <w:bCs/>
        </w:rPr>
        <w:t xml:space="preserve">e-tags are not generated within BA scheduling and therefore multi-state balancing authorities that are not a FPMA would </w:t>
      </w:r>
      <w:r w:rsidR="007B2380" w:rsidRPr="00F342A1">
        <w:rPr>
          <w:b/>
          <w:bCs/>
        </w:rPr>
        <w:t>also lack an e-tag</w:t>
      </w:r>
      <w:r w:rsidR="007B2380">
        <w:rPr>
          <w:b/>
          <w:bCs/>
        </w:rPr>
        <w:t xml:space="preserve">.  </w:t>
      </w:r>
      <w:r>
        <w:rPr>
          <w:b/>
          <w:bCs/>
        </w:rPr>
        <w:t xml:space="preserve">  </w:t>
      </w:r>
      <w:r w:rsidR="007E0D10">
        <w:t xml:space="preserve">IPL feels like the definition </w:t>
      </w:r>
      <w:r w:rsidR="00B56F6A">
        <w:t xml:space="preserve">is vague as it relates to the difference between a MJRP BAA and a FPMA BAA. Energy scheduled for delivery within a balancing authority does not have an associated e-tag, regardless of if it </w:t>
      </w:r>
      <w:r w:rsidR="00CF011D">
        <w:t>is</w:t>
      </w:r>
      <w:r w:rsidR="00B56F6A">
        <w:t xml:space="preserve"> a MJRP BAA or a FPMA BAA.  </w:t>
      </w:r>
    </w:p>
    <w:p w14:paraId="72A58F2D" w14:textId="77777777" w:rsidR="007B2A2B" w:rsidRDefault="009117B2" w:rsidP="00A329B0">
      <w:pPr>
        <w:rPr>
          <w:b/>
          <w:bCs/>
        </w:rPr>
      </w:pPr>
      <w:r>
        <w:rPr>
          <w:b/>
          <w:bCs/>
        </w:rPr>
        <w:t xml:space="preserve">DOE has requested feedback regarding unspecified imports from CEMs.  IPL is concerned that DOE </w:t>
      </w:r>
      <w:r w:rsidR="000D560E">
        <w:rPr>
          <w:b/>
          <w:bCs/>
        </w:rPr>
        <w:t xml:space="preserve">inconsistently recognizes Washington electric load vs. </w:t>
      </w:r>
      <w:r w:rsidR="00BC39E0">
        <w:rPr>
          <w:b/>
          <w:bCs/>
        </w:rPr>
        <w:t xml:space="preserve">a consumer owned utilities total retail load.  </w:t>
      </w:r>
    </w:p>
    <w:p w14:paraId="4C633ECE" w14:textId="77777777" w:rsidR="007B2A2B" w:rsidRDefault="00BC39E0" w:rsidP="00A329B0">
      <w:r>
        <w:t>Specifically, IPL is asking DOE to reconsider the wording of (xx) to read:  (xx) For imported electricity</w:t>
      </w:r>
      <w:r w:rsidR="002F70B2">
        <w:t xml:space="preserve"> that is unspecified electricity and assigned, deemed or attributed to Washington through a centralized market, the electricity importer is the retail provider or retail end user that receives a pro rata attribution of </w:t>
      </w:r>
      <w:r w:rsidR="0092151F">
        <w:t xml:space="preserve">the electricity </w:t>
      </w:r>
      <w:r w:rsidR="00577E4D" w:rsidRPr="00577E4D">
        <w:rPr>
          <w:i/>
          <w:iCs/>
          <w:u w:val="single"/>
        </w:rPr>
        <w:t>used to serve Washington electric load</w:t>
      </w:r>
      <w:r w:rsidR="00577E4D">
        <w:t xml:space="preserve">.  </w:t>
      </w:r>
    </w:p>
    <w:p w14:paraId="4E2449A4" w14:textId="1A825B56" w:rsidR="00B56F6A" w:rsidRDefault="00577E4D" w:rsidP="00A329B0">
      <w:r>
        <w:t xml:space="preserve">Furthermore, </w:t>
      </w:r>
      <w:r w:rsidR="0032342A">
        <w:t xml:space="preserve">DOE’s request in the second bullet relating to </w:t>
      </w:r>
      <w:r w:rsidR="00017AC9">
        <w:t xml:space="preserve">the calculation of the pro rata attribution is too broad.  The calculation must recognize load that is not Washington load and is therefore outside of DOE’s jurisdiction.  </w:t>
      </w:r>
    </w:p>
    <w:p w14:paraId="4EF61A05" w14:textId="3CDDA966" w:rsidR="00807E42" w:rsidRPr="00807E42" w:rsidRDefault="00807E42" w:rsidP="00807E42">
      <w:r>
        <w:rPr>
          <w:b/>
          <w:bCs/>
        </w:rPr>
        <w:t xml:space="preserve">Finally, DOE has requested feedback regarding an edit to the definition of “Deemed market importer”.  IPL </w:t>
      </w:r>
      <w:proofErr w:type="gramStart"/>
      <w:r>
        <w:rPr>
          <w:b/>
          <w:bCs/>
        </w:rPr>
        <w:t>supports the edit</w:t>
      </w:r>
      <w:proofErr w:type="gramEnd"/>
      <w:r>
        <w:rPr>
          <w:b/>
          <w:bCs/>
        </w:rPr>
        <w:t xml:space="preserve">.  </w:t>
      </w:r>
      <w:r>
        <w:t xml:space="preserve">IPL believes this </w:t>
      </w:r>
      <w:r w:rsidR="00FD74BD">
        <w:t xml:space="preserve">edit creates additional clarity.  </w:t>
      </w:r>
    </w:p>
    <w:p w14:paraId="385C7B61" w14:textId="77777777" w:rsidR="00807E42" w:rsidRPr="00BC39E0" w:rsidRDefault="00807E42" w:rsidP="00A329B0"/>
    <w:p w14:paraId="7492DE3D" w14:textId="77777777" w:rsidR="00A329B0" w:rsidRPr="00BC6514" w:rsidRDefault="00A329B0" w:rsidP="0093357F"/>
    <w:p w14:paraId="1A13F250" w14:textId="77777777" w:rsidR="00D360F1" w:rsidRDefault="00D360F1"/>
    <w:p w14:paraId="0BBFDB76" w14:textId="77777777" w:rsidR="00D360F1" w:rsidRDefault="00D360F1"/>
    <w:p w14:paraId="38F67D2C" w14:textId="77777777" w:rsidR="00D360F1" w:rsidRPr="006B664B" w:rsidRDefault="00D360F1"/>
    <w:sectPr w:rsidR="00D360F1" w:rsidRPr="006B6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98"/>
    <w:rsid w:val="00004316"/>
    <w:rsid w:val="00007DB3"/>
    <w:rsid w:val="000167CF"/>
    <w:rsid w:val="00017AC9"/>
    <w:rsid w:val="00017EF3"/>
    <w:rsid w:val="0005334C"/>
    <w:rsid w:val="00072CBB"/>
    <w:rsid w:val="00082BF4"/>
    <w:rsid w:val="000A3F31"/>
    <w:rsid w:val="000A4E87"/>
    <w:rsid w:val="000B5636"/>
    <w:rsid w:val="000B57D0"/>
    <w:rsid w:val="000C2AFE"/>
    <w:rsid w:val="000D2FE2"/>
    <w:rsid w:val="000D4B6B"/>
    <w:rsid w:val="000D560E"/>
    <w:rsid w:val="000E1ADF"/>
    <w:rsid w:val="000E471F"/>
    <w:rsid w:val="00120570"/>
    <w:rsid w:val="00124798"/>
    <w:rsid w:val="00124ED0"/>
    <w:rsid w:val="001342B3"/>
    <w:rsid w:val="001560F7"/>
    <w:rsid w:val="00172780"/>
    <w:rsid w:val="00174D55"/>
    <w:rsid w:val="001766A6"/>
    <w:rsid w:val="00181F89"/>
    <w:rsid w:val="00183A61"/>
    <w:rsid w:val="00191EF9"/>
    <w:rsid w:val="00193F95"/>
    <w:rsid w:val="001A3112"/>
    <w:rsid w:val="001D2F01"/>
    <w:rsid w:val="001D77F4"/>
    <w:rsid w:val="001F1B19"/>
    <w:rsid w:val="001F2D2F"/>
    <w:rsid w:val="001F7A23"/>
    <w:rsid w:val="001F7B29"/>
    <w:rsid w:val="00214F04"/>
    <w:rsid w:val="00221A2D"/>
    <w:rsid w:val="002258C6"/>
    <w:rsid w:val="00226892"/>
    <w:rsid w:val="002269B5"/>
    <w:rsid w:val="00240EE7"/>
    <w:rsid w:val="00245A80"/>
    <w:rsid w:val="00261CEB"/>
    <w:rsid w:val="00282D56"/>
    <w:rsid w:val="00286994"/>
    <w:rsid w:val="00295880"/>
    <w:rsid w:val="002B5895"/>
    <w:rsid w:val="002C69D1"/>
    <w:rsid w:val="002C6AF7"/>
    <w:rsid w:val="002D336E"/>
    <w:rsid w:val="002E74A8"/>
    <w:rsid w:val="002F6534"/>
    <w:rsid w:val="002F70B2"/>
    <w:rsid w:val="00322AD9"/>
    <w:rsid w:val="0032342A"/>
    <w:rsid w:val="00344713"/>
    <w:rsid w:val="00345672"/>
    <w:rsid w:val="00347C76"/>
    <w:rsid w:val="00357F3F"/>
    <w:rsid w:val="003725D1"/>
    <w:rsid w:val="003775D3"/>
    <w:rsid w:val="00387DBD"/>
    <w:rsid w:val="003A70F0"/>
    <w:rsid w:val="003B6A9E"/>
    <w:rsid w:val="003C204A"/>
    <w:rsid w:val="003E2571"/>
    <w:rsid w:val="003E5056"/>
    <w:rsid w:val="003F6021"/>
    <w:rsid w:val="0040796A"/>
    <w:rsid w:val="00424F65"/>
    <w:rsid w:val="00434A3A"/>
    <w:rsid w:val="0044329D"/>
    <w:rsid w:val="0044344E"/>
    <w:rsid w:val="004450E4"/>
    <w:rsid w:val="004466EC"/>
    <w:rsid w:val="0046244C"/>
    <w:rsid w:val="004645B2"/>
    <w:rsid w:val="00473755"/>
    <w:rsid w:val="00492F28"/>
    <w:rsid w:val="004960A1"/>
    <w:rsid w:val="004A463F"/>
    <w:rsid w:val="004B14CF"/>
    <w:rsid w:val="004C11B2"/>
    <w:rsid w:val="004C7A50"/>
    <w:rsid w:val="004C7F09"/>
    <w:rsid w:val="004D6948"/>
    <w:rsid w:val="004E7697"/>
    <w:rsid w:val="004F0066"/>
    <w:rsid w:val="00500BC8"/>
    <w:rsid w:val="00505867"/>
    <w:rsid w:val="0051208B"/>
    <w:rsid w:val="005175B5"/>
    <w:rsid w:val="00524437"/>
    <w:rsid w:val="0052609C"/>
    <w:rsid w:val="00545E6A"/>
    <w:rsid w:val="00551F42"/>
    <w:rsid w:val="00557F41"/>
    <w:rsid w:val="00576F25"/>
    <w:rsid w:val="00577E4D"/>
    <w:rsid w:val="005A5D63"/>
    <w:rsid w:val="005C058B"/>
    <w:rsid w:val="005C0DDD"/>
    <w:rsid w:val="005D3E35"/>
    <w:rsid w:val="005E06FA"/>
    <w:rsid w:val="005F3DD1"/>
    <w:rsid w:val="00601E31"/>
    <w:rsid w:val="006249F6"/>
    <w:rsid w:val="00664989"/>
    <w:rsid w:val="00670C40"/>
    <w:rsid w:val="00672C65"/>
    <w:rsid w:val="0068636A"/>
    <w:rsid w:val="006906A7"/>
    <w:rsid w:val="00692E3D"/>
    <w:rsid w:val="006B21AD"/>
    <w:rsid w:val="006B4F1D"/>
    <w:rsid w:val="006B664B"/>
    <w:rsid w:val="006C7FA8"/>
    <w:rsid w:val="006E7CDD"/>
    <w:rsid w:val="006F0229"/>
    <w:rsid w:val="006F210F"/>
    <w:rsid w:val="00714404"/>
    <w:rsid w:val="00716DF8"/>
    <w:rsid w:val="00732A70"/>
    <w:rsid w:val="00733785"/>
    <w:rsid w:val="00735276"/>
    <w:rsid w:val="007425B4"/>
    <w:rsid w:val="00744DC2"/>
    <w:rsid w:val="007453F5"/>
    <w:rsid w:val="00751934"/>
    <w:rsid w:val="007639A6"/>
    <w:rsid w:val="00792986"/>
    <w:rsid w:val="00796D5A"/>
    <w:rsid w:val="0079788F"/>
    <w:rsid w:val="007A4405"/>
    <w:rsid w:val="007B2380"/>
    <w:rsid w:val="007B2A2B"/>
    <w:rsid w:val="007B3873"/>
    <w:rsid w:val="007B7236"/>
    <w:rsid w:val="007B77D2"/>
    <w:rsid w:val="007C0582"/>
    <w:rsid w:val="007E0D10"/>
    <w:rsid w:val="007E2E45"/>
    <w:rsid w:val="007F52B2"/>
    <w:rsid w:val="007F57F1"/>
    <w:rsid w:val="008012CE"/>
    <w:rsid w:val="008040C2"/>
    <w:rsid w:val="00807874"/>
    <w:rsid w:val="00807E42"/>
    <w:rsid w:val="008155DE"/>
    <w:rsid w:val="00827104"/>
    <w:rsid w:val="00835C88"/>
    <w:rsid w:val="008566EF"/>
    <w:rsid w:val="008673AF"/>
    <w:rsid w:val="008848B8"/>
    <w:rsid w:val="0089158A"/>
    <w:rsid w:val="008B3013"/>
    <w:rsid w:val="008C3A67"/>
    <w:rsid w:val="0090001D"/>
    <w:rsid w:val="00910C43"/>
    <w:rsid w:val="009117B2"/>
    <w:rsid w:val="00914D0F"/>
    <w:rsid w:val="0092151F"/>
    <w:rsid w:val="00922022"/>
    <w:rsid w:val="0093357F"/>
    <w:rsid w:val="0093754E"/>
    <w:rsid w:val="0094540F"/>
    <w:rsid w:val="0095358C"/>
    <w:rsid w:val="009558A1"/>
    <w:rsid w:val="00987E07"/>
    <w:rsid w:val="009933FD"/>
    <w:rsid w:val="00994203"/>
    <w:rsid w:val="00996981"/>
    <w:rsid w:val="009A7D66"/>
    <w:rsid w:val="009B04E9"/>
    <w:rsid w:val="009B6868"/>
    <w:rsid w:val="009C5585"/>
    <w:rsid w:val="009C573F"/>
    <w:rsid w:val="00A05E28"/>
    <w:rsid w:val="00A2460F"/>
    <w:rsid w:val="00A3160C"/>
    <w:rsid w:val="00A329B0"/>
    <w:rsid w:val="00A351A7"/>
    <w:rsid w:val="00A43245"/>
    <w:rsid w:val="00A461A7"/>
    <w:rsid w:val="00A46A55"/>
    <w:rsid w:val="00A713EC"/>
    <w:rsid w:val="00A8141C"/>
    <w:rsid w:val="00A93D98"/>
    <w:rsid w:val="00A97B4A"/>
    <w:rsid w:val="00AA65A5"/>
    <w:rsid w:val="00AB4D16"/>
    <w:rsid w:val="00AC0317"/>
    <w:rsid w:val="00AC6B6A"/>
    <w:rsid w:val="00B1058B"/>
    <w:rsid w:val="00B238F1"/>
    <w:rsid w:val="00B401F6"/>
    <w:rsid w:val="00B511F7"/>
    <w:rsid w:val="00B541CC"/>
    <w:rsid w:val="00B56F6A"/>
    <w:rsid w:val="00B908CB"/>
    <w:rsid w:val="00BA4D7B"/>
    <w:rsid w:val="00BC030F"/>
    <w:rsid w:val="00BC39E0"/>
    <w:rsid w:val="00BC5CED"/>
    <w:rsid w:val="00BC6514"/>
    <w:rsid w:val="00BD4DCD"/>
    <w:rsid w:val="00BF269F"/>
    <w:rsid w:val="00BF3638"/>
    <w:rsid w:val="00C1295C"/>
    <w:rsid w:val="00C20835"/>
    <w:rsid w:val="00C24191"/>
    <w:rsid w:val="00C253C1"/>
    <w:rsid w:val="00C25A6B"/>
    <w:rsid w:val="00C26CA0"/>
    <w:rsid w:val="00C401F7"/>
    <w:rsid w:val="00C60AD3"/>
    <w:rsid w:val="00C65AEA"/>
    <w:rsid w:val="00C70F0B"/>
    <w:rsid w:val="00C719D9"/>
    <w:rsid w:val="00C73C4D"/>
    <w:rsid w:val="00C83B8C"/>
    <w:rsid w:val="00C86414"/>
    <w:rsid w:val="00C93A5E"/>
    <w:rsid w:val="00C93B3B"/>
    <w:rsid w:val="00C93F66"/>
    <w:rsid w:val="00CB00E9"/>
    <w:rsid w:val="00CB06A9"/>
    <w:rsid w:val="00CB4AF6"/>
    <w:rsid w:val="00CB5F47"/>
    <w:rsid w:val="00CB70BC"/>
    <w:rsid w:val="00CD1105"/>
    <w:rsid w:val="00CD2D28"/>
    <w:rsid w:val="00CE3C6E"/>
    <w:rsid w:val="00CF011D"/>
    <w:rsid w:val="00D0302F"/>
    <w:rsid w:val="00D06CAC"/>
    <w:rsid w:val="00D167F9"/>
    <w:rsid w:val="00D217AC"/>
    <w:rsid w:val="00D22202"/>
    <w:rsid w:val="00D360F1"/>
    <w:rsid w:val="00D36EBE"/>
    <w:rsid w:val="00D60EFD"/>
    <w:rsid w:val="00D8642E"/>
    <w:rsid w:val="00D8681C"/>
    <w:rsid w:val="00DA485A"/>
    <w:rsid w:val="00DE0907"/>
    <w:rsid w:val="00DE3C96"/>
    <w:rsid w:val="00E0208A"/>
    <w:rsid w:val="00E04D44"/>
    <w:rsid w:val="00E14211"/>
    <w:rsid w:val="00E26EE2"/>
    <w:rsid w:val="00E320AC"/>
    <w:rsid w:val="00E32E12"/>
    <w:rsid w:val="00E541ED"/>
    <w:rsid w:val="00E54583"/>
    <w:rsid w:val="00E64F06"/>
    <w:rsid w:val="00E75D87"/>
    <w:rsid w:val="00E94950"/>
    <w:rsid w:val="00E95366"/>
    <w:rsid w:val="00EA4D94"/>
    <w:rsid w:val="00EB6F18"/>
    <w:rsid w:val="00EB73D1"/>
    <w:rsid w:val="00EC55DA"/>
    <w:rsid w:val="00EC6857"/>
    <w:rsid w:val="00ED157B"/>
    <w:rsid w:val="00ED3572"/>
    <w:rsid w:val="00ED5032"/>
    <w:rsid w:val="00F04C72"/>
    <w:rsid w:val="00F2009C"/>
    <w:rsid w:val="00F2250B"/>
    <w:rsid w:val="00F24378"/>
    <w:rsid w:val="00F27541"/>
    <w:rsid w:val="00F342A1"/>
    <w:rsid w:val="00F42F19"/>
    <w:rsid w:val="00F43846"/>
    <w:rsid w:val="00F61E0B"/>
    <w:rsid w:val="00F66CD8"/>
    <w:rsid w:val="00F679A5"/>
    <w:rsid w:val="00F67C88"/>
    <w:rsid w:val="00F70BAA"/>
    <w:rsid w:val="00F76C93"/>
    <w:rsid w:val="00F84424"/>
    <w:rsid w:val="00F858A8"/>
    <w:rsid w:val="00F96D84"/>
    <w:rsid w:val="00FA2093"/>
    <w:rsid w:val="00FA268B"/>
    <w:rsid w:val="00FB5601"/>
    <w:rsid w:val="00FC187B"/>
    <w:rsid w:val="00FD1AA8"/>
    <w:rsid w:val="00FD3F94"/>
    <w:rsid w:val="00FD596F"/>
    <w:rsid w:val="00FD5ED9"/>
    <w:rsid w:val="00FD74BD"/>
    <w:rsid w:val="00FE1407"/>
    <w:rsid w:val="00FE1EB6"/>
    <w:rsid w:val="00FE7765"/>
    <w:rsid w:val="00FF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9FF7"/>
  <w15:chartTrackingRefBased/>
  <w15:docId w15:val="{2D18500F-D292-4514-8145-1B241EC6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D98"/>
    <w:rPr>
      <w:rFonts w:eastAsiaTheme="majorEastAsia" w:cstheme="majorBidi"/>
      <w:color w:val="272727" w:themeColor="text1" w:themeTint="D8"/>
    </w:rPr>
  </w:style>
  <w:style w:type="paragraph" w:styleId="Title">
    <w:name w:val="Title"/>
    <w:basedOn w:val="Normal"/>
    <w:next w:val="Normal"/>
    <w:link w:val="TitleChar"/>
    <w:uiPriority w:val="10"/>
    <w:qFormat/>
    <w:rsid w:val="00A93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D98"/>
    <w:pPr>
      <w:spacing w:before="160"/>
      <w:jc w:val="center"/>
    </w:pPr>
    <w:rPr>
      <w:i/>
      <w:iCs/>
      <w:color w:val="404040" w:themeColor="text1" w:themeTint="BF"/>
    </w:rPr>
  </w:style>
  <w:style w:type="character" w:customStyle="1" w:styleId="QuoteChar">
    <w:name w:val="Quote Char"/>
    <w:basedOn w:val="DefaultParagraphFont"/>
    <w:link w:val="Quote"/>
    <w:uiPriority w:val="29"/>
    <w:rsid w:val="00A93D98"/>
    <w:rPr>
      <w:i/>
      <w:iCs/>
      <w:color w:val="404040" w:themeColor="text1" w:themeTint="BF"/>
    </w:rPr>
  </w:style>
  <w:style w:type="paragraph" w:styleId="ListParagraph">
    <w:name w:val="List Paragraph"/>
    <w:basedOn w:val="Normal"/>
    <w:uiPriority w:val="34"/>
    <w:qFormat/>
    <w:rsid w:val="00A93D98"/>
    <w:pPr>
      <w:ind w:left="720"/>
      <w:contextualSpacing/>
    </w:pPr>
  </w:style>
  <w:style w:type="character" w:styleId="IntenseEmphasis">
    <w:name w:val="Intense Emphasis"/>
    <w:basedOn w:val="DefaultParagraphFont"/>
    <w:uiPriority w:val="21"/>
    <w:qFormat/>
    <w:rsid w:val="00A93D98"/>
    <w:rPr>
      <w:i/>
      <w:iCs/>
      <w:color w:val="0F4761" w:themeColor="accent1" w:themeShade="BF"/>
    </w:rPr>
  </w:style>
  <w:style w:type="paragraph" w:styleId="IntenseQuote">
    <w:name w:val="Intense Quote"/>
    <w:basedOn w:val="Normal"/>
    <w:next w:val="Normal"/>
    <w:link w:val="IntenseQuoteChar"/>
    <w:uiPriority w:val="30"/>
    <w:qFormat/>
    <w:rsid w:val="00A93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D98"/>
    <w:rPr>
      <w:i/>
      <w:iCs/>
      <w:color w:val="0F4761" w:themeColor="accent1" w:themeShade="BF"/>
    </w:rPr>
  </w:style>
  <w:style w:type="character" w:styleId="IntenseReference">
    <w:name w:val="Intense Reference"/>
    <w:basedOn w:val="DefaultParagraphFont"/>
    <w:uiPriority w:val="32"/>
    <w:qFormat/>
    <w:rsid w:val="00A93D98"/>
    <w:rPr>
      <w:b/>
      <w:bCs/>
      <w:smallCaps/>
      <w:color w:val="0F4761" w:themeColor="accent1" w:themeShade="BF"/>
      <w:spacing w:val="5"/>
    </w:rPr>
  </w:style>
  <w:style w:type="paragraph" w:styleId="Revision">
    <w:name w:val="Revision"/>
    <w:hidden/>
    <w:uiPriority w:val="99"/>
    <w:semiHidden/>
    <w:rsid w:val="00B1058B"/>
    <w:pPr>
      <w:spacing w:after="0" w:line="240" w:lineRule="auto"/>
    </w:pPr>
  </w:style>
  <w:style w:type="character" w:styleId="Hyperlink">
    <w:name w:val="Hyperlink"/>
    <w:basedOn w:val="DefaultParagraphFont"/>
    <w:uiPriority w:val="99"/>
    <w:unhideWhenUsed/>
    <w:rsid w:val="00072CBB"/>
    <w:rPr>
      <w:color w:val="467886" w:themeColor="hyperlink"/>
      <w:u w:val="single"/>
    </w:rPr>
  </w:style>
  <w:style w:type="character" w:styleId="UnresolvedMention">
    <w:name w:val="Unresolved Mention"/>
    <w:basedOn w:val="DefaultParagraphFont"/>
    <w:uiPriority w:val="99"/>
    <w:semiHidden/>
    <w:unhideWhenUsed/>
    <w:rsid w:val="00072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lexis.com/api/document/collection/cases/id/5JMR-HJC1-F04M-B46S-00000-00?page=602&amp;reporter=3474&amp;cite=194%20Wn.%20App.%20571&amp;context=1530671" TargetMode="External"/><Relationship Id="rId3" Type="http://schemas.openxmlformats.org/officeDocument/2006/relationships/customXml" Target="../customXml/item3.xml"/><Relationship Id="rId7" Type="http://schemas.openxmlformats.org/officeDocument/2006/relationships/hyperlink" Target="https://plus.lexis.com/api/document/collection/statutes-legislation/id/8T9R-PP62-D6RV-H2XS-00000-00?cite=USCS%20Const.%20Art.%20I%2C%20%C2%A7%208%2C%20Cl%203&amp;context=153067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f352e6-a8aa-4ac0-82f2-8b6dd3ef34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FEFC4D21C7D4C9C481DA1033C1FB1" ma:contentTypeVersion="11" ma:contentTypeDescription="Create a new document." ma:contentTypeScope="" ma:versionID="e1d30006e7110cc740a67b56632ca566">
  <xsd:schema xmlns:xsd="http://www.w3.org/2001/XMLSchema" xmlns:xs="http://www.w3.org/2001/XMLSchema" xmlns:p="http://schemas.microsoft.com/office/2006/metadata/properties" xmlns:ns2="12f352e6-a8aa-4ac0-82f2-8b6dd3ef3496" targetNamespace="http://schemas.microsoft.com/office/2006/metadata/properties" ma:root="true" ma:fieldsID="9d070c1cdfb8168720733642500739c9" ns2:_="">
    <xsd:import namespace="12f352e6-a8aa-4ac0-82f2-8b6dd3ef34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352e6-a8aa-4ac0-82f2-8b6dd3ef3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ef21f0-e453-4f27-987f-05240f2df5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D1FC7-7EB7-4323-A353-573FC8FA52DA}">
  <ds:schemaRefs>
    <ds:schemaRef ds:uri="http://schemas.microsoft.com/office/2006/metadata/properties"/>
    <ds:schemaRef ds:uri="http://schemas.microsoft.com/office/infopath/2007/PartnerControls"/>
    <ds:schemaRef ds:uri="12f352e6-a8aa-4ac0-82f2-8b6dd3ef3496"/>
  </ds:schemaRefs>
</ds:datastoreItem>
</file>

<file path=customXml/itemProps2.xml><?xml version="1.0" encoding="utf-8"?>
<ds:datastoreItem xmlns:ds="http://schemas.openxmlformats.org/officeDocument/2006/customXml" ds:itemID="{0985AE55-2112-4F03-863A-35C01FB56F8C}">
  <ds:schemaRefs>
    <ds:schemaRef ds:uri="http://schemas.microsoft.com/sharepoint/v3/contenttype/forms"/>
  </ds:schemaRefs>
</ds:datastoreItem>
</file>

<file path=customXml/itemProps3.xml><?xml version="1.0" encoding="utf-8"?>
<ds:datastoreItem xmlns:ds="http://schemas.openxmlformats.org/officeDocument/2006/customXml" ds:itemID="{4957B023-5860-4ED1-A459-C054A55B8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352e6-a8aa-4ac0-82f2-8b6dd3ef3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2058</Words>
  <Characters>11468</Characters>
  <Application>Microsoft Office Word</Application>
  <DocSecurity>0</DocSecurity>
  <Lines>173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Gentle</dc:creator>
  <cp:keywords/>
  <dc:description/>
  <cp:lastModifiedBy>Kimberly Gentle</cp:lastModifiedBy>
  <cp:revision>2</cp:revision>
  <dcterms:created xsi:type="dcterms:W3CDTF">2026-02-21T01:54:00Z</dcterms:created>
  <dcterms:modified xsi:type="dcterms:W3CDTF">2026-02-21T01:54:00Z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0x010100413FEFC4D21C7D4C9C481DA1033C1FB1</vt:lpwstr>
  </property>
  <property fmtid="{D5CDD505-2E9C-101B-9397-08002B2CF9AE}" pid="3" name="MediaServiceImageTags">
    <vt:lpwstr/>
  </property>
</Properties>
</file>