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C3C71" w14:textId="7709ECE6" w:rsidR="001E60A7" w:rsidRDefault="001E60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B6E7DB3" w14:textId="77777777" w:rsidR="00C45D27" w:rsidRDefault="00C45D27">
      <w:pPr>
        <w:rPr>
          <w:rFonts w:ascii="Times New Roman" w:hAnsi="Times New Roman" w:cs="Times New Roman"/>
          <w:sz w:val="24"/>
          <w:szCs w:val="24"/>
        </w:rPr>
      </w:pPr>
    </w:p>
    <w:p w14:paraId="457D5109" w14:textId="30BFB653" w:rsidR="002178E2" w:rsidRDefault="00217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 The Delaware River Basin Commission (DRBC)</w:t>
      </w:r>
    </w:p>
    <w:p w14:paraId="45C26824" w14:textId="651220ED" w:rsidR="002178E2" w:rsidRDefault="00C45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 C</w:t>
      </w:r>
      <w:r w:rsidR="002178E2">
        <w:rPr>
          <w:rFonts w:ascii="Times New Roman" w:hAnsi="Times New Roman" w:cs="Times New Roman"/>
          <w:sz w:val="24"/>
          <w:szCs w:val="24"/>
        </w:rPr>
        <w:t>omments on proposed fracking ban and treatment of fracked waste water</w:t>
      </w:r>
    </w:p>
    <w:p w14:paraId="74BE20C4" w14:textId="118890ED" w:rsidR="002178E2" w:rsidRDefault="00D82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26</w:t>
      </w:r>
      <w:r w:rsidR="002178E2">
        <w:rPr>
          <w:rFonts w:ascii="Times New Roman" w:hAnsi="Times New Roman" w:cs="Times New Roman"/>
          <w:sz w:val="24"/>
          <w:szCs w:val="24"/>
        </w:rPr>
        <w:t xml:space="preserve"> February 2018</w:t>
      </w:r>
    </w:p>
    <w:p w14:paraId="0DFE24BC" w14:textId="77777777" w:rsidR="003D60E5" w:rsidRDefault="00217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</w:t>
      </w:r>
      <w:r>
        <w:rPr>
          <w:rFonts w:ascii="Times New Roman" w:hAnsi="Times New Roman" w:cs="Times New Roman"/>
          <w:b/>
          <w:sz w:val="24"/>
          <w:szCs w:val="24"/>
        </w:rPr>
        <w:t>Ned D. Heindel</w:t>
      </w:r>
      <w:r w:rsidR="003D60E5">
        <w:rPr>
          <w:rFonts w:ascii="Times New Roman" w:hAnsi="Times New Roman" w:cs="Times New Roman"/>
          <w:sz w:val="24"/>
          <w:szCs w:val="24"/>
        </w:rPr>
        <w:t>. M</w:t>
      </w:r>
      <w:r w:rsidR="004B766D">
        <w:rPr>
          <w:rFonts w:ascii="Times New Roman" w:hAnsi="Times New Roman" w:cs="Times New Roman"/>
          <w:sz w:val="24"/>
          <w:szCs w:val="24"/>
        </w:rPr>
        <w:t xml:space="preserve">y wife and I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B766D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resident</w:t>
      </w:r>
      <w:r w:rsidR="004B76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property owner</w:t>
      </w:r>
      <w:r w:rsidR="004B76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Williams Township, Northampton County, whose real estate includes a heavily forested mountain side and a three </w:t>
      </w:r>
      <w:r w:rsidR="003D60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acre</w:t>
      </w:r>
      <w:r w:rsidR="003D60E5">
        <w:rPr>
          <w:rFonts w:ascii="Times New Roman" w:hAnsi="Times New Roman" w:cs="Times New Roman"/>
          <w:sz w:val="24"/>
          <w:szCs w:val="24"/>
        </w:rPr>
        <w:t xml:space="preserve"> swamp from which flow headwaters of Fry’s Run,</w:t>
      </w:r>
      <w:r w:rsidR="004B766D">
        <w:rPr>
          <w:rFonts w:ascii="Times New Roman" w:hAnsi="Times New Roman" w:cs="Times New Roman"/>
          <w:sz w:val="24"/>
          <w:szCs w:val="24"/>
        </w:rPr>
        <w:t xml:space="preserve"> a Delaware River tributary and high-quality, cold-water trout stream.  I am also the Howard S. Bunn Chair Professor of Chemistry at Lehigh University (although this submission is of my personal creation) </w:t>
      </w:r>
      <w:r w:rsidR="00160729">
        <w:rPr>
          <w:rFonts w:ascii="Times New Roman" w:hAnsi="Times New Roman" w:cs="Times New Roman"/>
          <w:sz w:val="24"/>
          <w:szCs w:val="24"/>
        </w:rPr>
        <w:t>where I have taught chemistry, pharmaceutical science, pharmacology</w:t>
      </w:r>
      <w:r w:rsidR="003D60E5">
        <w:rPr>
          <w:rFonts w:ascii="Times New Roman" w:hAnsi="Times New Roman" w:cs="Times New Roman"/>
          <w:sz w:val="24"/>
          <w:szCs w:val="24"/>
        </w:rPr>
        <w:t>,</w:t>
      </w:r>
      <w:r w:rsidR="00160729">
        <w:rPr>
          <w:rFonts w:ascii="Times New Roman" w:hAnsi="Times New Roman" w:cs="Times New Roman"/>
          <w:sz w:val="24"/>
          <w:szCs w:val="24"/>
        </w:rPr>
        <w:t xml:space="preserve"> and toxicology for five decades.  I have</w:t>
      </w:r>
      <w:r w:rsidR="004B766D">
        <w:rPr>
          <w:rFonts w:ascii="Times New Roman" w:hAnsi="Times New Roman" w:cs="Times New Roman"/>
          <w:sz w:val="24"/>
          <w:szCs w:val="24"/>
        </w:rPr>
        <w:t xml:space="preserve"> &gt;300 publications</w:t>
      </w:r>
      <w:r w:rsidR="00160729">
        <w:rPr>
          <w:rFonts w:ascii="Times New Roman" w:hAnsi="Times New Roman" w:cs="Times New Roman"/>
          <w:sz w:val="24"/>
          <w:szCs w:val="24"/>
        </w:rPr>
        <w:t xml:space="preserve">, patents, and meeting presentations on the synthesis and pharmacological activity of chemicals. </w:t>
      </w:r>
    </w:p>
    <w:p w14:paraId="18C26076" w14:textId="69D3FB6A" w:rsidR="002178E2" w:rsidRDefault="00160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hearing I wish to inject a few simple chemical principles and to submit for the record several recent publications by researchers who have investigated the impact of fracking on human health.</w:t>
      </w:r>
      <w:r w:rsidR="004B76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F235D" w14:textId="065AEAD2" w:rsidR="003436EE" w:rsidRDefault="001C3033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The 16</w:t>
      </w:r>
      <w:r w:rsidRPr="001C303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 </w:t>
      </w:r>
      <w:proofErr w:type="spellStart"/>
      <w:r>
        <w:rPr>
          <w:rFonts w:ascii="Times New Roman" w:hAnsi="Times New Roman" w:cs="Times New Roman"/>
          <w:sz w:val="24"/>
          <w:szCs w:val="24"/>
        </w:rPr>
        <w:t>iatrochemist</w:t>
      </w:r>
      <w:proofErr w:type="spellEnd"/>
      <w:r w:rsidRPr="001C3033">
        <w:rPr>
          <w:rFonts w:ascii="Times New Roman" w:hAnsi="Times New Roman" w:cs="Times New Roman"/>
          <w:sz w:val="24"/>
          <w:szCs w:val="24"/>
        </w:rPr>
        <w:t xml:space="preserve">, </w:t>
      </w:r>
      <w:r w:rsidRPr="001C30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Theophrastus von Hohenheim</w:t>
      </w:r>
      <w:r w:rsidR="00B931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(Paracelsus)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espoused an important principle of toxicology when he stated: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Only the dose separates a poison from a medicament.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By that he meant that </w:t>
      </w:r>
      <w:r w:rsidR="00FE4A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virtually all xenobiotics have the potential to harm human life at the right exposure level.</w:t>
      </w:r>
      <w:r w:rsidR="00534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The </w:t>
      </w:r>
      <w:r w:rsidR="0034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dual </w:t>
      </w:r>
      <w:r w:rsidR="00534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challenge</w:t>
      </w:r>
      <w:r w:rsidR="0034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534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dealing with fracking chemicals – including both those forced down the well-head and those retrieved in the extractant – </w:t>
      </w:r>
      <w:r w:rsidR="0034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are what exposure </w:t>
      </w:r>
      <w:r w:rsidR="002118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(dose) </w:t>
      </w:r>
      <w:r w:rsidR="0034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is to be anticipated and</w:t>
      </w:r>
      <w:r w:rsidR="003D60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what are</w:t>
      </w:r>
      <w:r w:rsidR="0034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</w:t>
      </w:r>
      <w:r w:rsidR="00830F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specific </w:t>
      </w:r>
      <w:r w:rsidR="0034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materials to which the individual will be exposed.  Dose/exposure depends on proximity, life style, and idiosyncratic metabolism.</w:t>
      </w:r>
    </w:p>
    <w:p w14:paraId="1E49BDB6" w14:textId="14EF0589" w:rsidR="001C3033" w:rsidRDefault="00412B8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D60E5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Point 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 </w:t>
      </w:r>
      <w:r w:rsidR="0034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534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very wide range of substances, many of which are proprietary – are involved</w:t>
      </w:r>
      <w:r w:rsidR="002118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34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making the generation of a precise list impossible</w:t>
      </w:r>
      <w:r w:rsidR="00534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FE4A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34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proofErr w:type="spellStart"/>
      <w:r w:rsidR="00534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FracFocus</w:t>
      </w:r>
      <w:proofErr w:type="spellEnd"/>
      <w:r w:rsidR="00534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Chemical Disclosure Registry (2018) lists 42</w:t>
      </w:r>
      <w:r w:rsidR="0034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major fracking chemicals</w:t>
      </w:r>
      <w:r w:rsidR="00534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8136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T. </w:t>
      </w:r>
      <w:proofErr w:type="spellStart"/>
      <w:r w:rsidR="00534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Colborn</w:t>
      </w:r>
      <w:proofErr w:type="spellEnd"/>
      <w:r w:rsidR="008136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(2011) identified 352, </w:t>
      </w:r>
      <w:r w:rsidR="002118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E. Elliott (2016) probed 1,000 fracking chemicals, </w:t>
      </w:r>
      <w:r w:rsidR="008136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and an EPA Study (2016) pinpointed 1,606</w:t>
      </w:r>
      <w:r w:rsidR="003D60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8136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only 11% of which had any measured toxicity values in the literature.  </w:t>
      </w:r>
      <w:r w:rsidR="002118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Elliott was able to find some published toxicity for 24% of the chemicals on his list</w:t>
      </w:r>
      <w:r w:rsidR="003D60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2118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65% of the ones he found possessed human health risks. </w:t>
      </w:r>
      <w:r w:rsidR="008136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2118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Elliott and the </w:t>
      </w:r>
      <w:proofErr w:type="spellStart"/>
      <w:r w:rsidR="008136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Colborn</w:t>
      </w:r>
      <w:proofErr w:type="spellEnd"/>
      <w:r w:rsidR="008136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stu</w:t>
      </w:r>
      <w:r w:rsidR="0021182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dies are</w:t>
      </w:r>
      <w:r w:rsidR="008136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reviewed </w:t>
      </w:r>
      <w:r w:rsidR="0034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on page 4 </w:t>
      </w:r>
      <w:r w:rsidR="008136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the P. J. Saunders “Review of Public Health Impacts of Unconventional Natural Gas </w:t>
      </w:r>
      <w:proofErr w:type="gramStart"/>
      <w:r w:rsidR="0081367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Development”</w:t>
      </w:r>
      <w:r w:rsidR="0053446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4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gramEnd"/>
      <w:r w:rsidR="0034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copy attached).  </w:t>
      </w:r>
      <w:proofErr w:type="spellStart"/>
      <w:r w:rsidR="0034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Colborn</w:t>
      </w:r>
      <w:proofErr w:type="spellEnd"/>
      <w:r w:rsidR="003436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found that of his 352 chemicals, 25% were potential mutagens/carcinogens; &gt;75% were linked to adverse skin, eyes, respiratory, and GI irritation; 37% had impact on the endocrine system; and 40-50% on nervous, immune, cardiovascular, and renal system.</w:t>
      </w:r>
    </w:p>
    <w:p w14:paraId="3C3CE556" w14:textId="54C49D70" w:rsidR="00211820" w:rsidRDefault="00211820" w:rsidP="003D60E5">
      <w:pPr>
        <w:ind w:left="720"/>
        <w:rPr>
          <w:rFonts w:ascii="Times New Roman" w:hAnsi="Times New Roman" w:cs="Times New Roman"/>
          <w:sz w:val="24"/>
          <w:szCs w:val="24"/>
        </w:rPr>
      </w:pPr>
      <w:r w:rsidRPr="003D60E5">
        <w:rPr>
          <w:rFonts w:ascii="Times New Roman" w:hAnsi="Times New Roman" w:cs="Times New Roman"/>
          <w:sz w:val="24"/>
          <w:szCs w:val="24"/>
          <w:u w:val="single"/>
        </w:rPr>
        <w:lastRenderedPageBreak/>
        <w:t>Conclusion</w:t>
      </w:r>
      <w:r>
        <w:rPr>
          <w:rFonts w:ascii="Times New Roman" w:hAnsi="Times New Roman" w:cs="Times New Roman"/>
          <w:sz w:val="24"/>
          <w:szCs w:val="24"/>
        </w:rPr>
        <w:t>:  Neither dose nor specific toxin can be precisely articulated</w:t>
      </w:r>
      <w:r w:rsidR="003D60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the </w:t>
      </w:r>
      <w:r w:rsidR="00E23473">
        <w:rPr>
          <w:rFonts w:ascii="Times New Roman" w:hAnsi="Times New Roman" w:cs="Times New Roman"/>
          <w:sz w:val="24"/>
          <w:szCs w:val="24"/>
        </w:rPr>
        <w:t xml:space="preserve">very </w:t>
      </w:r>
      <w:r>
        <w:rPr>
          <w:rFonts w:ascii="Times New Roman" w:hAnsi="Times New Roman" w:cs="Times New Roman"/>
          <w:sz w:val="24"/>
          <w:szCs w:val="24"/>
        </w:rPr>
        <w:t>wide range of structures</w:t>
      </w:r>
      <w:r w:rsidR="00E23473">
        <w:rPr>
          <w:rFonts w:ascii="Times New Roman" w:hAnsi="Times New Roman" w:cs="Times New Roman"/>
          <w:sz w:val="24"/>
          <w:szCs w:val="24"/>
        </w:rPr>
        <w:t>,</w:t>
      </w:r>
      <w:r w:rsidR="00830FB2">
        <w:rPr>
          <w:rFonts w:ascii="Times New Roman" w:hAnsi="Times New Roman" w:cs="Times New Roman"/>
          <w:sz w:val="24"/>
          <w:szCs w:val="24"/>
        </w:rPr>
        <w:t xml:space="preserve"> cautionary analyses based on those </w:t>
      </w:r>
      <w:proofErr w:type="spellStart"/>
      <w:r w:rsidR="00830FB2">
        <w:rPr>
          <w:rFonts w:ascii="Times New Roman" w:hAnsi="Times New Roman" w:cs="Times New Roman"/>
          <w:sz w:val="24"/>
          <w:szCs w:val="24"/>
        </w:rPr>
        <w:t>strtuctures</w:t>
      </w:r>
      <w:proofErr w:type="spellEnd"/>
      <w:r w:rsidR="00830FB2">
        <w:rPr>
          <w:rFonts w:ascii="Times New Roman" w:hAnsi="Times New Roman" w:cs="Times New Roman"/>
          <w:sz w:val="24"/>
          <w:szCs w:val="24"/>
        </w:rPr>
        <w:t xml:space="preserve">, </w:t>
      </w:r>
      <w:r w:rsidR="00E23473">
        <w:rPr>
          <w:rFonts w:ascii="Times New Roman" w:hAnsi="Times New Roman" w:cs="Times New Roman"/>
          <w:sz w:val="24"/>
          <w:szCs w:val="24"/>
        </w:rPr>
        <w:t>the unevaluated toxicities</w:t>
      </w:r>
      <w:r w:rsidR="00830FB2">
        <w:rPr>
          <w:rFonts w:ascii="Times New Roman" w:hAnsi="Times New Roman" w:cs="Times New Roman"/>
          <w:sz w:val="24"/>
          <w:szCs w:val="24"/>
        </w:rPr>
        <w:t xml:space="preserve"> of most fracking chemicals</w:t>
      </w:r>
      <w:r w:rsidR="00E2347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</w:t>
      </w:r>
      <w:r w:rsidR="00412B82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continuous use across time</w:t>
      </w:r>
      <w:r w:rsidR="003D60E5">
        <w:rPr>
          <w:rFonts w:ascii="Times New Roman" w:hAnsi="Times New Roman" w:cs="Times New Roman"/>
          <w:sz w:val="24"/>
          <w:szCs w:val="24"/>
        </w:rPr>
        <w:t>, make</w:t>
      </w:r>
      <w:r w:rsidR="00412B82">
        <w:rPr>
          <w:rFonts w:ascii="Times New Roman" w:hAnsi="Times New Roman" w:cs="Times New Roman"/>
          <w:sz w:val="24"/>
          <w:szCs w:val="24"/>
        </w:rPr>
        <w:t xml:space="preserve"> a very real adverse effect on human health highly probable.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C6CE92" w14:textId="4C581B91" w:rsidR="00E23473" w:rsidRPr="00E23473" w:rsidRDefault="00412B82" w:rsidP="00E23473">
      <w:pPr>
        <w:pStyle w:val="Heading1"/>
        <w:shd w:val="clear" w:color="auto" w:fill="FFFFFF"/>
        <w:spacing w:before="120" w:after="120" w:line="30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D60E5">
        <w:rPr>
          <w:rFonts w:ascii="Times New Roman" w:hAnsi="Times New Roman" w:cs="Times New Roman"/>
          <w:color w:val="auto"/>
          <w:sz w:val="24"/>
          <w:szCs w:val="24"/>
          <w:u w:val="single"/>
        </w:rPr>
        <w:t>Point 2</w:t>
      </w:r>
      <w:r w:rsidRPr="00E23473">
        <w:rPr>
          <w:rFonts w:ascii="Times New Roman" w:hAnsi="Times New Roman" w:cs="Times New Roman"/>
          <w:color w:val="auto"/>
          <w:sz w:val="24"/>
          <w:szCs w:val="24"/>
        </w:rPr>
        <w:t xml:space="preserve">:   </w:t>
      </w:r>
      <w:r w:rsidR="00C6293C" w:rsidRPr="00E23473">
        <w:rPr>
          <w:rFonts w:ascii="Times New Roman" w:hAnsi="Times New Roman" w:cs="Times New Roman"/>
          <w:color w:val="auto"/>
          <w:sz w:val="24"/>
          <w:szCs w:val="24"/>
        </w:rPr>
        <w:t xml:space="preserve">The immediate </w:t>
      </w:r>
      <w:r w:rsidR="00D924B0" w:rsidRPr="00E23473">
        <w:rPr>
          <w:rFonts w:ascii="Times New Roman" w:hAnsi="Times New Roman" w:cs="Times New Roman"/>
          <w:color w:val="auto"/>
          <w:sz w:val="24"/>
          <w:szCs w:val="24"/>
        </w:rPr>
        <w:t xml:space="preserve">direct </w:t>
      </w:r>
      <w:r w:rsidR="00C6293C" w:rsidRPr="00E23473">
        <w:rPr>
          <w:rFonts w:ascii="Times New Roman" w:hAnsi="Times New Roman" w:cs="Times New Roman"/>
          <w:color w:val="auto"/>
          <w:sz w:val="24"/>
          <w:szCs w:val="24"/>
        </w:rPr>
        <w:t xml:space="preserve">exposure </w:t>
      </w:r>
      <w:r w:rsidR="00D924B0" w:rsidRPr="00E23473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="00C6293C" w:rsidRPr="00E23473">
        <w:rPr>
          <w:rFonts w:ascii="Times New Roman" w:hAnsi="Times New Roman" w:cs="Times New Roman"/>
          <w:color w:val="auto"/>
          <w:sz w:val="24"/>
          <w:szCs w:val="24"/>
        </w:rPr>
        <w:t xml:space="preserve"> humans</w:t>
      </w:r>
      <w:r w:rsidR="00D924B0" w:rsidRPr="00E23473">
        <w:rPr>
          <w:rFonts w:ascii="Times New Roman" w:hAnsi="Times New Roman" w:cs="Times New Roman"/>
          <w:color w:val="auto"/>
          <w:sz w:val="24"/>
          <w:szCs w:val="24"/>
        </w:rPr>
        <w:t xml:space="preserve"> to hazardous fracking chemicals (even if it occurs across time from the same water source) is not the sole concern. </w:t>
      </w:r>
      <w:r w:rsidR="000A7BFB" w:rsidRPr="00E23473">
        <w:rPr>
          <w:rFonts w:ascii="Times New Roman" w:hAnsi="Times New Roman" w:cs="Times New Roman"/>
          <w:color w:val="auto"/>
          <w:sz w:val="24"/>
          <w:szCs w:val="24"/>
        </w:rPr>
        <w:t>Biomagnification is an e</w:t>
      </w:r>
      <w:r w:rsidR="00E23473">
        <w:rPr>
          <w:rFonts w:ascii="Times New Roman" w:hAnsi="Times New Roman" w:cs="Times New Roman"/>
          <w:color w:val="auto"/>
          <w:sz w:val="24"/>
          <w:szCs w:val="24"/>
        </w:rPr>
        <w:t>qually</w:t>
      </w:r>
      <w:r w:rsidR="000A7BFB" w:rsidRPr="00E23473">
        <w:rPr>
          <w:rFonts w:ascii="Times New Roman" w:hAnsi="Times New Roman" w:cs="Times New Roman"/>
          <w:color w:val="auto"/>
          <w:sz w:val="24"/>
          <w:szCs w:val="24"/>
        </w:rPr>
        <w:t xml:space="preserve"> serious threat. </w:t>
      </w:r>
      <w:r w:rsidR="00D924B0" w:rsidRPr="00E234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23473">
        <w:rPr>
          <w:rFonts w:ascii="Times New Roman" w:hAnsi="Times New Roman" w:cs="Times New Roman"/>
          <w:color w:val="auto"/>
          <w:sz w:val="24"/>
          <w:szCs w:val="24"/>
        </w:rPr>
        <w:t xml:space="preserve">Any environmental discharge </w:t>
      </w:r>
      <w:r w:rsidR="00C6293C" w:rsidRPr="00E23473">
        <w:rPr>
          <w:rFonts w:ascii="Times New Roman" w:hAnsi="Times New Roman" w:cs="Times New Roman"/>
          <w:color w:val="auto"/>
          <w:sz w:val="24"/>
          <w:szCs w:val="24"/>
        </w:rPr>
        <w:t xml:space="preserve">often </w:t>
      </w:r>
      <w:r w:rsidR="00C55434" w:rsidRPr="00E23473">
        <w:rPr>
          <w:rFonts w:ascii="Times New Roman" w:hAnsi="Times New Roman" w:cs="Times New Roman"/>
          <w:color w:val="auto"/>
          <w:sz w:val="24"/>
          <w:szCs w:val="24"/>
        </w:rPr>
        <w:t xml:space="preserve">finds the effects of those chemicals enhanced by a </w:t>
      </w:r>
      <w:r w:rsidR="00D924B0" w:rsidRPr="00E23473">
        <w:rPr>
          <w:rFonts w:ascii="Times New Roman" w:hAnsi="Times New Roman" w:cs="Times New Roman"/>
          <w:color w:val="auto"/>
          <w:sz w:val="24"/>
          <w:szCs w:val="24"/>
        </w:rPr>
        <w:t>bio</w:t>
      </w:r>
      <w:r w:rsidR="00C55434" w:rsidRPr="00E23473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C55434" w:rsidRPr="00E23473">
        <w:rPr>
          <w:rFonts w:ascii="Times New Roman" w:hAnsi="Times New Roman" w:cs="Times New Roman"/>
          <w:bCs/>
          <w:color w:val="auto"/>
          <w:sz w:val="24"/>
          <w:szCs w:val="24"/>
        </w:rPr>
        <w:t>agnification caused by persistence</w:t>
      </w:r>
      <w:r w:rsidR="00C6293C" w:rsidRPr="00E2347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of the molecules in stream sediments with subsequent</w:t>
      </w:r>
      <w:r w:rsidR="00C55434" w:rsidRPr="00E2347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bioaccumulation and </w:t>
      </w:r>
      <w:r w:rsidR="00C6293C" w:rsidRPr="00E23473">
        <w:rPr>
          <w:rFonts w:ascii="Times New Roman" w:hAnsi="Times New Roman" w:cs="Times New Roman"/>
          <w:bCs/>
          <w:color w:val="auto"/>
          <w:sz w:val="24"/>
          <w:szCs w:val="24"/>
        </w:rPr>
        <w:t>b</w:t>
      </w:r>
      <w:r w:rsidR="00C55434" w:rsidRPr="00E23473">
        <w:rPr>
          <w:rFonts w:ascii="Times New Roman" w:hAnsi="Times New Roman" w:cs="Times New Roman"/>
          <w:bCs/>
          <w:color w:val="auto"/>
          <w:sz w:val="24"/>
          <w:szCs w:val="24"/>
        </w:rPr>
        <w:t>iological</w:t>
      </w:r>
      <w:r w:rsidR="00C6293C" w:rsidRPr="00E2347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concentration </w:t>
      </w:r>
      <w:r w:rsidR="000A7BFB" w:rsidRPr="00E23473">
        <w:rPr>
          <w:rFonts w:ascii="Times New Roman" w:hAnsi="Times New Roman" w:cs="Times New Roman"/>
          <w:bCs/>
          <w:color w:val="auto"/>
          <w:sz w:val="24"/>
          <w:szCs w:val="24"/>
        </w:rPr>
        <w:t>through</w:t>
      </w:r>
      <w:r w:rsidR="00C6293C" w:rsidRPr="00E2347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micro-organisms and thence in fish.  </w:t>
      </w:r>
      <w:r w:rsidR="00D924B0" w:rsidRPr="00E23473">
        <w:rPr>
          <w:rFonts w:ascii="Times New Roman" w:hAnsi="Times New Roman" w:cs="Times New Roman"/>
          <w:bCs/>
          <w:color w:val="auto"/>
          <w:sz w:val="24"/>
          <w:szCs w:val="24"/>
        </w:rPr>
        <w:t>Bioaccumulation has been well documented with mercury th</w:t>
      </w:r>
      <w:r w:rsidR="000A7BFB" w:rsidRPr="00E23473">
        <w:rPr>
          <w:rFonts w:ascii="Times New Roman" w:hAnsi="Times New Roman" w:cs="Times New Roman"/>
          <w:bCs/>
          <w:color w:val="auto"/>
          <w:sz w:val="24"/>
          <w:szCs w:val="24"/>
        </w:rPr>
        <w:t>r</w:t>
      </w:r>
      <w:r w:rsidR="00D924B0" w:rsidRPr="00E2347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ough </w:t>
      </w:r>
      <w:proofErr w:type="spellStart"/>
      <w:r w:rsidR="00D924B0" w:rsidRPr="00E23473">
        <w:rPr>
          <w:rFonts w:ascii="Times New Roman" w:hAnsi="Times New Roman" w:cs="Times New Roman"/>
          <w:bCs/>
          <w:color w:val="auto"/>
          <w:sz w:val="24"/>
          <w:szCs w:val="24"/>
        </w:rPr>
        <w:t>organification</w:t>
      </w:r>
      <w:proofErr w:type="spellEnd"/>
      <w:r w:rsidR="00D924B0" w:rsidRPr="00E2347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to methyl mercury and inclusion in the aquatic food chain</w:t>
      </w:r>
      <w:r w:rsidR="000A7BFB" w:rsidRPr="00E2347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to an ultimate demonstrated health hazard to those who eat the fish</w:t>
      </w:r>
      <w:r w:rsidR="00D924B0" w:rsidRPr="00E23473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 w:rsidR="0042765F" w:rsidRPr="00E2347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(see </w:t>
      </w:r>
      <w:r w:rsidR="000A7BFB" w:rsidRPr="00E2347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K. Rice, Environmental Mercury and its Toxic Effects, in </w:t>
      </w:r>
      <w:hyperlink r:id="rId4" w:history="1">
        <w:r w:rsidR="0042765F" w:rsidRPr="00E23473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J </w:t>
        </w:r>
        <w:proofErr w:type="spellStart"/>
        <w:r w:rsidR="0042765F" w:rsidRPr="00E23473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Prev</w:t>
        </w:r>
        <w:proofErr w:type="spellEnd"/>
        <w:r w:rsidR="0042765F" w:rsidRPr="00E23473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Med Public Health</w:t>
        </w:r>
      </w:hyperlink>
      <w:r w:rsidR="0042765F" w:rsidRPr="00E23473">
        <w:rPr>
          <w:rStyle w:val="cit"/>
          <w:rFonts w:ascii="Times New Roman" w:hAnsi="Times New Roman" w:cs="Times New Roman"/>
          <w:color w:val="auto"/>
          <w:sz w:val="24"/>
          <w:szCs w:val="24"/>
        </w:rPr>
        <w:t>. 2014</w:t>
      </w:r>
      <w:r w:rsidR="000A7BFB" w:rsidRPr="00E23473">
        <w:rPr>
          <w:rStyle w:val="cit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2765F" w:rsidRPr="00E23473">
        <w:rPr>
          <w:rStyle w:val="cit"/>
          <w:rFonts w:ascii="Times New Roman" w:hAnsi="Times New Roman" w:cs="Times New Roman"/>
          <w:color w:val="auto"/>
          <w:sz w:val="24"/>
          <w:szCs w:val="24"/>
        </w:rPr>
        <w:t>47(2): 74–83</w:t>
      </w:r>
      <w:r w:rsidR="000A7BFB" w:rsidRPr="00E23473">
        <w:rPr>
          <w:rStyle w:val="cit"/>
          <w:rFonts w:ascii="Times New Roman" w:hAnsi="Times New Roman" w:cs="Times New Roman"/>
          <w:color w:val="auto"/>
          <w:sz w:val="24"/>
          <w:szCs w:val="24"/>
        </w:rPr>
        <w:t>)</w:t>
      </w:r>
      <w:r w:rsidR="0042765F" w:rsidRPr="00E23473">
        <w:rPr>
          <w:rStyle w:val="cit"/>
          <w:rFonts w:ascii="Times New Roman" w:hAnsi="Times New Roman" w:cs="Times New Roman"/>
          <w:color w:val="auto"/>
          <w:sz w:val="24"/>
          <w:szCs w:val="24"/>
        </w:rPr>
        <w:t>.</w:t>
      </w:r>
      <w:r w:rsidR="000A7BFB" w:rsidRPr="00E23473">
        <w:rPr>
          <w:rStyle w:val="cit"/>
          <w:rFonts w:ascii="Times New Roman" w:hAnsi="Times New Roman" w:cs="Times New Roman"/>
          <w:color w:val="auto"/>
          <w:sz w:val="24"/>
          <w:szCs w:val="24"/>
        </w:rPr>
        <w:t xml:space="preserve">  Not only is mercury a fracking extractant (see S. L. Brantley in </w:t>
      </w:r>
      <w:hyperlink r:id="rId5" w:tooltip="Ground water." w:history="1">
        <w:r w:rsidR="000A7BFB" w:rsidRPr="00E23473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Ground Water.</w:t>
        </w:r>
      </w:hyperlink>
      <w:r w:rsidR="000A7BFB" w:rsidRPr="00E23473">
        <w:rPr>
          <w:rFonts w:ascii="Times New Roman" w:hAnsi="Times New Roman" w:cs="Times New Roman"/>
          <w:color w:val="auto"/>
          <w:sz w:val="24"/>
          <w:szCs w:val="24"/>
        </w:rPr>
        <w:t> 2015, 53(1):21-3)</w:t>
      </w:r>
      <w:r w:rsidR="003D60E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A7BFB" w:rsidRPr="00E23473">
        <w:rPr>
          <w:rFonts w:ascii="Times New Roman" w:hAnsi="Times New Roman" w:cs="Times New Roman"/>
          <w:color w:val="auto"/>
          <w:sz w:val="24"/>
          <w:szCs w:val="24"/>
        </w:rPr>
        <w:t xml:space="preserve"> but one recent study </w:t>
      </w:r>
      <w:r w:rsidR="000A7BFB" w:rsidRPr="00E234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suggest</w:t>
      </w:r>
      <w:r w:rsidR="003D60E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</w:t>
      </w:r>
      <w:r w:rsidR="000A7BFB" w:rsidRPr="00E234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</w:t>
      </w:r>
      <w:r w:rsidR="000A7BFB" w:rsidRPr="00E23473">
        <w:rPr>
          <w:rStyle w:val="highlight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fracking</w:t>
      </w:r>
      <w:r w:rsidR="000A7BFB" w:rsidRPr="00E234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has the potential to alter aquatic biodiversity and methyl </w:t>
      </w:r>
      <w:r w:rsidR="000A7BFB" w:rsidRPr="00E23473">
        <w:rPr>
          <w:rStyle w:val="highlight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mercury</w:t>
      </w:r>
      <w:r w:rsidR="000A7BFB" w:rsidRPr="00E234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 concentrations at the base of food webs</w:t>
      </w:r>
      <w:r w:rsidR="00E234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proximal to fracking sites</w:t>
      </w:r>
      <w:r w:rsidR="000A7BFB" w:rsidRPr="00E234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  <w:r w:rsidR="003D60E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(S</w:t>
      </w:r>
      <w:r w:rsidR="00E23473" w:rsidRPr="00E2347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ee C. J. Grant et al, </w:t>
      </w:r>
      <w:r w:rsidR="00E23473" w:rsidRPr="00E23473">
        <w:rPr>
          <w:rFonts w:ascii="Times New Roman" w:hAnsi="Times New Roman" w:cs="Times New Roman"/>
          <w:color w:val="auto"/>
          <w:sz w:val="24"/>
          <w:szCs w:val="24"/>
        </w:rPr>
        <w:t>Fracked ecology: Response of aquatic trophic structure and </w:t>
      </w:r>
      <w:r w:rsidR="00E23473" w:rsidRPr="00E23473">
        <w:rPr>
          <w:rStyle w:val="highlight"/>
          <w:rFonts w:ascii="Times New Roman" w:hAnsi="Times New Roman" w:cs="Times New Roman"/>
          <w:color w:val="auto"/>
          <w:sz w:val="24"/>
          <w:szCs w:val="24"/>
        </w:rPr>
        <w:t>mercury</w:t>
      </w:r>
      <w:r w:rsidR="00E23473" w:rsidRPr="00E23473">
        <w:rPr>
          <w:rFonts w:ascii="Times New Roman" w:hAnsi="Times New Roman" w:cs="Times New Roman"/>
          <w:color w:val="auto"/>
          <w:sz w:val="24"/>
          <w:szCs w:val="24"/>
        </w:rPr>
        <w:t xml:space="preserve"> biomagnification dynamics in the Marcellus Shale Formation. In </w:t>
      </w:r>
      <w:hyperlink r:id="rId6" w:tooltip="Ecotoxicology (London, England)." w:history="1">
        <w:r w:rsidR="00E23473" w:rsidRPr="00E23473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Ecotoxicology.</w:t>
        </w:r>
      </w:hyperlink>
      <w:r w:rsidR="00E23473" w:rsidRPr="00E23473">
        <w:rPr>
          <w:rFonts w:ascii="Times New Roman" w:hAnsi="Times New Roman" w:cs="Times New Roman"/>
          <w:color w:val="auto"/>
          <w:sz w:val="24"/>
          <w:szCs w:val="24"/>
        </w:rPr>
        <w:t> 2016, 25(10):1739-1750</w:t>
      </w:r>
      <w:r w:rsidR="00E23473">
        <w:rPr>
          <w:rFonts w:ascii="Arial" w:hAnsi="Arial" w:cs="Arial"/>
          <w:color w:val="000000"/>
          <w:sz w:val="20"/>
          <w:szCs w:val="20"/>
        </w:rPr>
        <w:t xml:space="preserve">.) </w:t>
      </w:r>
    </w:p>
    <w:p w14:paraId="57B52907" w14:textId="082C314E" w:rsidR="00C6293C" w:rsidRDefault="00E23473" w:rsidP="00C629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It’s not just mercury and heavy metal inorganics that represent a biomagnification problem. </w:t>
      </w:r>
      <w:r w:rsidR="003A7886" w:rsidRPr="00C6293C">
        <w:rPr>
          <w:rFonts w:ascii="Times New Roman" w:hAnsi="Times New Roman" w:cs="Times New Roman"/>
          <w:sz w:val="24"/>
          <w:szCs w:val="24"/>
        </w:rPr>
        <w:t xml:space="preserve">Organic compounds are also capable of undergoing bioaccumulation as reported in a study of 842 organics in 219 aquatic species (see J. A. Arnot in </w:t>
      </w:r>
      <w:r w:rsidR="003A7886" w:rsidRPr="00D33714">
        <w:rPr>
          <w:rFonts w:ascii="Times New Roman" w:hAnsi="Times New Roman" w:cs="Times New Roman"/>
          <w:bCs/>
          <w:i/>
          <w:sz w:val="24"/>
          <w:szCs w:val="24"/>
        </w:rPr>
        <w:t>Environmental Reviews</w:t>
      </w:r>
      <w:r w:rsidR="003A7886" w:rsidRPr="00C6293C">
        <w:rPr>
          <w:rFonts w:ascii="Times New Roman" w:hAnsi="Times New Roman" w:cs="Times New Roman"/>
          <w:bCs/>
          <w:sz w:val="24"/>
          <w:szCs w:val="24"/>
        </w:rPr>
        <w:t>,</w:t>
      </w:r>
      <w:r w:rsidR="003A7886" w:rsidRPr="00C6293C">
        <w:rPr>
          <w:rFonts w:ascii="Times New Roman" w:hAnsi="Times New Roman" w:cs="Times New Roman"/>
          <w:sz w:val="24"/>
          <w:szCs w:val="24"/>
        </w:rPr>
        <w:t xml:space="preserve"> 2006, Vol. 14, No. 4</w:t>
      </w:r>
      <w:r w:rsidR="00C6293C">
        <w:rPr>
          <w:rFonts w:ascii="Times New Roman" w:hAnsi="Times New Roman" w:cs="Times New Roman"/>
          <w:sz w:val="24"/>
          <w:szCs w:val="24"/>
        </w:rPr>
        <w:t xml:space="preserve">. </w:t>
      </w:r>
      <w:r w:rsidR="003A7886" w:rsidRPr="00C6293C">
        <w:rPr>
          <w:rFonts w:ascii="Times New Roman" w:hAnsi="Times New Roman" w:cs="Times New Roman"/>
          <w:sz w:val="24"/>
          <w:szCs w:val="24"/>
        </w:rPr>
        <w:t>pp. 257-297).</w:t>
      </w:r>
      <w:r w:rsidR="00C6293C" w:rsidRPr="00C6293C">
        <w:rPr>
          <w:rFonts w:ascii="Times New Roman" w:hAnsi="Times New Roman" w:cs="Times New Roman"/>
          <w:sz w:val="24"/>
          <w:szCs w:val="24"/>
        </w:rPr>
        <w:t xml:space="preserve">  Furthermore, one can demonstrate the effects of </w:t>
      </w:r>
      <w:r w:rsidR="00C6293C">
        <w:rPr>
          <w:rFonts w:ascii="Times New Roman" w:hAnsi="Times New Roman" w:cs="Times New Roman"/>
          <w:sz w:val="24"/>
          <w:szCs w:val="24"/>
        </w:rPr>
        <w:t xml:space="preserve">this </w:t>
      </w:r>
      <w:r w:rsidR="00C6293C" w:rsidRPr="00C6293C">
        <w:rPr>
          <w:rFonts w:ascii="Times New Roman" w:hAnsi="Times New Roman" w:cs="Times New Roman"/>
          <w:sz w:val="24"/>
          <w:szCs w:val="24"/>
        </w:rPr>
        <w:t>bioaccumulation of organics in fish by measurement of their Phase 1 metabolizing enzymes.  These proved to be sensitive biomarkers for organic accumulation. (</w:t>
      </w:r>
      <w:r w:rsidR="003D60E5">
        <w:rPr>
          <w:rFonts w:ascii="Times New Roman" w:hAnsi="Times New Roman" w:cs="Times New Roman"/>
          <w:sz w:val="24"/>
          <w:szCs w:val="24"/>
        </w:rPr>
        <w:t>S</w:t>
      </w:r>
      <w:r w:rsidR="00C6293C" w:rsidRPr="00C6293C">
        <w:rPr>
          <w:rFonts w:ascii="Times New Roman" w:hAnsi="Times New Roman" w:cs="Times New Roman"/>
          <w:sz w:val="24"/>
          <w:szCs w:val="24"/>
        </w:rPr>
        <w:t xml:space="preserve">ee Van der Oost in </w:t>
      </w:r>
      <w:hyperlink r:id="rId7" w:tooltip="Go to Environmental Toxicology and Pharmacology on ScienceDirect" w:history="1">
        <w:r w:rsidR="00C6293C" w:rsidRPr="00DA7B8E">
          <w:rPr>
            <w:rFonts w:ascii="Times New Roman" w:hAnsi="Times New Roman" w:cs="Times New Roman"/>
            <w:i/>
            <w:sz w:val="24"/>
            <w:szCs w:val="24"/>
          </w:rPr>
          <w:t>Environmental Toxicology and Pharmacology</w:t>
        </w:r>
      </w:hyperlink>
      <w:r w:rsidR="00C6293C" w:rsidRPr="00C6293C">
        <w:rPr>
          <w:rFonts w:ascii="Times New Roman" w:hAnsi="Times New Roman" w:cs="Times New Roman"/>
          <w:sz w:val="24"/>
          <w:szCs w:val="24"/>
        </w:rPr>
        <w:t>,</w:t>
      </w:r>
      <w:r w:rsidR="003D60E5">
        <w:rPr>
          <w:rFonts w:ascii="Times New Roman" w:eastAsia="Times New Roman" w:hAnsi="Times New Roman" w:cs="Times New Roman"/>
          <w:sz w:val="24"/>
          <w:szCs w:val="24"/>
        </w:rPr>
        <w:t>13 (2) 2003, p</w:t>
      </w:r>
      <w:r w:rsidR="00C6293C" w:rsidRPr="00C6293C">
        <w:rPr>
          <w:rFonts w:ascii="Times New Roman" w:eastAsia="Times New Roman" w:hAnsi="Times New Roman" w:cs="Times New Roman"/>
          <w:sz w:val="24"/>
          <w:szCs w:val="24"/>
        </w:rPr>
        <w:t>ages 57-149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841B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81D430" w14:textId="77777777" w:rsidR="00DA7B8E" w:rsidRDefault="00841B5D" w:rsidP="003D60E5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60E5">
        <w:rPr>
          <w:rFonts w:ascii="Times New Roman" w:hAnsi="Times New Roman" w:cs="Times New Roman"/>
          <w:bCs/>
          <w:sz w:val="24"/>
          <w:szCs w:val="24"/>
          <w:u w:val="single"/>
        </w:rPr>
        <w:t>Conclusion: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A7B8E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irect contact with fracking chemicals represents a</w:t>
      </w:r>
      <w:r w:rsidR="00DA7B8E">
        <w:rPr>
          <w:rFonts w:ascii="Times New Roman" w:hAnsi="Times New Roman" w:cs="Times New Roman"/>
          <w:bCs/>
          <w:sz w:val="24"/>
          <w:szCs w:val="24"/>
        </w:rPr>
        <w:t xml:space="preserve"> serious </w:t>
      </w:r>
      <w:r>
        <w:rPr>
          <w:rFonts w:ascii="Times New Roman" w:hAnsi="Times New Roman" w:cs="Times New Roman"/>
          <w:bCs/>
          <w:sz w:val="24"/>
          <w:szCs w:val="24"/>
        </w:rPr>
        <w:t>exposure threat</w:t>
      </w:r>
      <w:r w:rsidR="00043B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A7B8E">
        <w:rPr>
          <w:rFonts w:ascii="Times New Roman" w:hAnsi="Times New Roman" w:cs="Times New Roman"/>
          <w:bCs/>
          <w:sz w:val="24"/>
          <w:szCs w:val="24"/>
        </w:rPr>
        <w:t xml:space="preserve">but the </w:t>
      </w:r>
      <w:r w:rsidR="00043B47">
        <w:rPr>
          <w:rFonts w:ascii="Times New Roman" w:hAnsi="Times New Roman" w:cs="Times New Roman"/>
          <w:bCs/>
          <w:sz w:val="24"/>
          <w:szCs w:val="24"/>
        </w:rPr>
        <w:t xml:space="preserve">indirect contact through </w:t>
      </w:r>
      <w:r w:rsidR="005F3223">
        <w:rPr>
          <w:rFonts w:ascii="Times New Roman" w:hAnsi="Times New Roman" w:cs="Times New Roman"/>
          <w:bCs/>
          <w:sz w:val="24"/>
          <w:szCs w:val="24"/>
        </w:rPr>
        <w:t xml:space="preserve">ingesting </w:t>
      </w:r>
      <w:r w:rsidR="00043B47">
        <w:rPr>
          <w:rFonts w:ascii="Times New Roman" w:hAnsi="Times New Roman" w:cs="Times New Roman"/>
          <w:bCs/>
          <w:sz w:val="24"/>
          <w:szCs w:val="24"/>
        </w:rPr>
        <w:t xml:space="preserve">a bioaccumulated </w:t>
      </w:r>
      <w:r w:rsidR="005F3223">
        <w:rPr>
          <w:rFonts w:ascii="Times New Roman" w:hAnsi="Times New Roman" w:cs="Times New Roman"/>
          <w:bCs/>
          <w:sz w:val="24"/>
          <w:szCs w:val="24"/>
        </w:rPr>
        <w:t>food source</w:t>
      </w:r>
      <w:r w:rsidR="00043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223">
        <w:rPr>
          <w:rFonts w:ascii="Times New Roman" w:hAnsi="Times New Roman" w:cs="Times New Roman"/>
          <w:bCs/>
          <w:sz w:val="24"/>
          <w:szCs w:val="24"/>
        </w:rPr>
        <w:t xml:space="preserve">represents </w:t>
      </w:r>
      <w:r w:rsidR="00043B47">
        <w:rPr>
          <w:rFonts w:ascii="Times New Roman" w:hAnsi="Times New Roman" w:cs="Times New Roman"/>
          <w:bCs/>
          <w:sz w:val="24"/>
          <w:szCs w:val="24"/>
        </w:rPr>
        <w:t xml:space="preserve">an equally </w:t>
      </w:r>
      <w:r w:rsidR="005F3223">
        <w:rPr>
          <w:rFonts w:ascii="Times New Roman" w:hAnsi="Times New Roman" w:cs="Times New Roman"/>
          <w:bCs/>
          <w:sz w:val="24"/>
          <w:szCs w:val="24"/>
        </w:rPr>
        <w:t>significant</w:t>
      </w:r>
      <w:r w:rsidR="00043B47">
        <w:rPr>
          <w:rFonts w:ascii="Times New Roman" w:hAnsi="Times New Roman" w:cs="Times New Roman"/>
          <w:bCs/>
          <w:sz w:val="24"/>
          <w:szCs w:val="24"/>
        </w:rPr>
        <w:t xml:space="preserve"> health threat.</w:t>
      </w:r>
    </w:p>
    <w:p w14:paraId="26BB13D9" w14:textId="715F59E3" w:rsidR="00311BD1" w:rsidRPr="00DA7B8E" w:rsidRDefault="005F3223" w:rsidP="00DA7B8E">
      <w:pPr>
        <w:rPr>
          <w:rFonts w:ascii="Times New Roman" w:hAnsi="Times New Roman" w:cs="Times New Roman"/>
          <w:bCs/>
          <w:sz w:val="24"/>
          <w:szCs w:val="24"/>
        </w:rPr>
      </w:pPr>
      <w:r w:rsidRPr="003D60E5">
        <w:rPr>
          <w:rFonts w:ascii="Times New Roman" w:hAnsi="Times New Roman" w:cs="Times New Roman"/>
          <w:bCs/>
          <w:sz w:val="24"/>
          <w:szCs w:val="24"/>
          <w:u w:val="single"/>
        </w:rPr>
        <w:t>Point 3</w:t>
      </w:r>
      <w:r w:rsidRPr="00311BD1">
        <w:rPr>
          <w:rFonts w:ascii="Times New Roman" w:hAnsi="Times New Roman" w:cs="Times New Roman"/>
          <w:bCs/>
          <w:sz w:val="24"/>
          <w:szCs w:val="24"/>
        </w:rPr>
        <w:t>:  It is not possible to presume that all humans exposed to fracking chemicals will respond in the same way.  Toxic levels canno</w:t>
      </w:r>
      <w:r w:rsidR="00311BD1" w:rsidRPr="00311BD1">
        <w:rPr>
          <w:rFonts w:ascii="Times New Roman" w:hAnsi="Times New Roman" w:cs="Times New Roman"/>
          <w:bCs/>
          <w:sz w:val="24"/>
          <w:szCs w:val="24"/>
        </w:rPr>
        <w:t>t</w:t>
      </w:r>
      <w:r w:rsidRPr="0031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BD1" w:rsidRPr="00311BD1">
        <w:rPr>
          <w:rFonts w:ascii="Times New Roman" w:hAnsi="Times New Roman" w:cs="Times New Roman"/>
          <w:bCs/>
          <w:sz w:val="24"/>
          <w:szCs w:val="24"/>
        </w:rPr>
        <w:t xml:space="preserve">be viewed </w:t>
      </w:r>
      <w:r w:rsidRPr="00311BD1">
        <w:rPr>
          <w:rFonts w:ascii="Times New Roman" w:hAnsi="Times New Roman" w:cs="Times New Roman"/>
          <w:bCs/>
          <w:sz w:val="24"/>
          <w:szCs w:val="24"/>
        </w:rPr>
        <w:t xml:space="preserve">as average values.  There are always individuals in any given cohort </w:t>
      </w:r>
      <w:r w:rsidR="00311BD1" w:rsidRPr="00311BD1">
        <w:rPr>
          <w:rFonts w:ascii="Times New Roman" w:hAnsi="Times New Roman" w:cs="Times New Roman"/>
          <w:bCs/>
          <w:sz w:val="24"/>
          <w:szCs w:val="24"/>
        </w:rPr>
        <w:t>who at some stage present with a serious clinical response</w:t>
      </w:r>
      <w:r w:rsidR="00DA7B8E">
        <w:rPr>
          <w:rFonts w:ascii="Times New Roman" w:hAnsi="Times New Roman" w:cs="Times New Roman"/>
          <w:bCs/>
          <w:sz w:val="24"/>
          <w:szCs w:val="24"/>
        </w:rPr>
        <w:t xml:space="preserve"> significantly</w:t>
      </w:r>
      <w:r w:rsidR="00311BD1" w:rsidRPr="00311BD1">
        <w:rPr>
          <w:rFonts w:ascii="Times New Roman" w:hAnsi="Times New Roman" w:cs="Times New Roman"/>
          <w:bCs/>
          <w:sz w:val="24"/>
          <w:szCs w:val="24"/>
        </w:rPr>
        <w:t xml:space="preserve"> differentiated from the average. </w:t>
      </w:r>
      <w:r w:rsidR="007101FA">
        <w:rPr>
          <w:rFonts w:ascii="Times New Roman" w:hAnsi="Times New Roman" w:cs="Times New Roman"/>
          <w:bCs/>
          <w:sz w:val="24"/>
          <w:szCs w:val="24"/>
        </w:rPr>
        <w:t xml:space="preserve"> Recall the life-threatening effects experienced by extremely low levels of peanut dust</w:t>
      </w:r>
      <w:r w:rsidR="00DA7B8E">
        <w:rPr>
          <w:rFonts w:ascii="Times New Roman" w:hAnsi="Times New Roman" w:cs="Times New Roman"/>
          <w:bCs/>
          <w:sz w:val="24"/>
          <w:szCs w:val="24"/>
        </w:rPr>
        <w:t xml:space="preserve"> for</w:t>
      </w:r>
      <w:r w:rsidR="007101FA">
        <w:rPr>
          <w:rFonts w:ascii="Times New Roman" w:hAnsi="Times New Roman" w:cs="Times New Roman"/>
          <w:bCs/>
          <w:sz w:val="24"/>
          <w:szCs w:val="24"/>
        </w:rPr>
        <w:t xml:space="preserve"> a small subset of the human race. </w:t>
      </w:r>
      <w:r w:rsidR="00311BD1" w:rsidRPr="00311BD1">
        <w:rPr>
          <w:rFonts w:ascii="Times New Roman" w:hAnsi="Times New Roman" w:cs="Times New Roman"/>
          <w:bCs/>
          <w:sz w:val="24"/>
          <w:szCs w:val="24"/>
        </w:rPr>
        <w:t xml:space="preserve"> The phenomenon is not well understood</w:t>
      </w:r>
      <w:r w:rsidR="003D60E5">
        <w:rPr>
          <w:rFonts w:ascii="Times New Roman" w:hAnsi="Times New Roman" w:cs="Times New Roman"/>
          <w:bCs/>
          <w:sz w:val="24"/>
          <w:szCs w:val="24"/>
        </w:rPr>
        <w:t>,</w:t>
      </w:r>
      <w:r w:rsidR="00311BD1" w:rsidRPr="00311BD1">
        <w:rPr>
          <w:rFonts w:ascii="Times New Roman" w:hAnsi="Times New Roman" w:cs="Times New Roman"/>
          <w:bCs/>
          <w:sz w:val="24"/>
          <w:szCs w:val="24"/>
        </w:rPr>
        <w:t xml:space="preserve"> and several mechanisms have been suggested.  One possibility is that the</w:t>
      </w:r>
      <w:r w:rsidR="007101FA">
        <w:rPr>
          <w:rFonts w:ascii="Times New Roman" w:hAnsi="Times New Roman" w:cs="Times New Roman"/>
          <w:bCs/>
          <w:sz w:val="24"/>
          <w:szCs w:val="24"/>
        </w:rPr>
        <w:t>se individuals</w:t>
      </w:r>
      <w:r w:rsidRPr="00311BD1">
        <w:rPr>
          <w:rFonts w:ascii="Times New Roman" w:hAnsi="Times New Roman" w:cs="Times New Roman"/>
          <w:bCs/>
          <w:sz w:val="24"/>
          <w:szCs w:val="24"/>
        </w:rPr>
        <w:t xml:space="preserve"> bioconcentrate chemicals to which they have low exposure – perhaps even at an acceptable level -- up to a toxic level.  Total body fat and suppressed metabolic clearance pathways can cause individuals to serve as </w:t>
      </w:r>
      <w:proofErr w:type="spellStart"/>
      <w:r w:rsidRPr="00311BD1">
        <w:rPr>
          <w:rFonts w:ascii="Times New Roman" w:hAnsi="Times New Roman" w:cs="Times New Roman"/>
          <w:bCs/>
          <w:sz w:val="24"/>
          <w:szCs w:val="24"/>
        </w:rPr>
        <w:t>bioconcentrators</w:t>
      </w:r>
      <w:proofErr w:type="spellEnd"/>
      <w:r w:rsidRPr="00311BD1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CD1FFF" w:rsidRPr="00311BD1">
        <w:rPr>
          <w:rFonts w:ascii="Times New Roman" w:hAnsi="Times New Roman" w:cs="Times New Roman"/>
          <w:bCs/>
          <w:sz w:val="24"/>
          <w:szCs w:val="24"/>
        </w:rPr>
        <w:t xml:space="preserve">PCBs, polycyclic aromatic hydrocarbons, alloxan, strontium, lead, mercury, </w:t>
      </w:r>
      <w:r w:rsidR="006C7A41" w:rsidRPr="00311BD1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CD1FFF" w:rsidRPr="00311BD1">
        <w:rPr>
          <w:rFonts w:ascii="Times New Roman" w:hAnsi="Times New Roman" w:cs="Times New Roman"/>
          <w:bCs/>
          <w:sz w:val="24"/>
          <w:szCs w:val="24"/>
        </w:rPr>
        <w:t>plasticizers (e.g., di-</w:t>
      </w:r>
      <w:proofErr w:type="spellStart"/>
      <w:r w:rsidR="00CD1FFF" w:rsidRPr="00311BD1">
        <w:rPr>
          <w:rFonts w:ascii="Times New Roman" w:hAnsi="Times New Roman" w:cs="Times New Roman"/>
          <w:bCs/>
          <w:sz w:val="24"/>
          <w:szCs w:val="24"/>
        </w:rPr>
        <w:t>octylphthalate</w:t>
      </w:r>
      <w:proofErr w:type="spellEnd"/>
      <w:r w:rsidR="00CD1FFF" w:rsidRPr="00311BD1">
        <w:rPr>
          <w:rFonts w:ascii="Times New Roman" w:hAnsi="Times New Roman" w:cs="Times New Roman"/>
          <w:bCs/>
          <w:sz w:val="24"/>
          <w:szCs w:val="24"/>
        </w:rPr>
        <w:t>)</w:t>
      </w:r>
      <w:r w:rsidR="006C7A41" w:rsidRPr="00311BD1">
        <w:rPr>
          <w:rFonts w:ascii="Times New Roman" w:hAnsi="Times New Roman" w:cs="Times New Roman"/>
          <w:bCs/>
          <w:sz w:val="24"/>
          <w:szCs w:val="24"/>
        </w:rPr>
        <w:t xml:space="preserve"> are known to be bioconcentrated in a human host</w:t>
      </w:r>
      <w:r w:rsidR="00311BD1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6C7A41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t>Differences in p</w:t>
      </w:r>
      <w:r w:rsidR="00492C72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olymorphic alleles in the human </w:t>
      </w:r>
      <w:r w:rsidR="00492C72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genome </w:t>
      </w:r>
      <w:r w:rsidR="006C7A41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(a.k.a., pharmacogenomics) </w:t>
      </w:r>
      <w:r w:rsidR="00492C72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have been identified as affecting numerous </w:t>
      </w:r>
      <w:r w:rsidR="006C7A41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t>differential chemical</w:t>
      </w:r>
      <w:r w:rsidR="00492C72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responses</w:t>
      </w:r>
      <w:r w:rsidR="00311BD1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t>, for example</w:t>
      </w:r>
      <w:r w:rsidR="003D60E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311BD1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rates and molecular consequences of pyrimidine, diterpene, and vitamin-</w:t>
      </w:r>
      <w:proofErr w:type="gramStart"/>
      <w:r w:rsidR="00311BD1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C7A41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2C72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11BD1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t>metabolism</w:t>
      </w:r>
      <w:proofErr w:type="gramEnd"/>
      <w:r w:rsidR="00311BD1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101FA">
        <w:rPr>
          <w:rFonts w:ascii="Times New Roman" w:hAnsi="Times New Roman" w:cs="Times New Roman"/>
          <w:bCs/>
          <w:sz w:val="24"/>
          <w:szCs w:val="24"/>
        </w:rPr>
        <w:t>The range of chemicals studied has not been wide</w:t>
      </w:r>
      <w:r w:rsidR="003D60E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101FA">
        <w:rPr>
          <w:rFonts w:ascii="Times New Roman" w:hAnsi="Times New Roman" w:cs="Times New Roman"/>
          <w:bCs/>
          <w:sz w:val="24"/>
          <w:szCs w:val="24"/>
        </w:rPr>
        <w:t xml:space="preserve">and surely some fracking chemicals </w:t>
      </w:r>
      <w:r w:rsidR="00DA7B8E">
        <w:rPr>
          <w:rFonts w:ascii="Times New Roman" w:hAnsi="Times New Roman" w:cs="Times New Roman"/>
          <w:bCs/>
          <w:sz w:val="24"/>
          <w:szCs w:val="24"/>
        </w:rPr>
        <w:t xml:space="preserve">will also </w:t>
      </w:r>
      <w:r w:rsidR="007101FA">
        <w:rPr>
          <w:rFonts w:ascii="Times New Roman" w:hAnsi="Times New Roman" w:cs="Times New Roman"/>
          <w:bCs/>
          <w:sz w:val="24"/>
          <w:szCs w:val="24"/>
        </w:rPr>
        <w:t>show this effect.</w:t>
      </w:r>
      <w:r w:rsidR="007101FA" w:rsidRPr="00311B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1BD1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t>(See J.L. Yen-</w:t>
      </w:r>
      <w:proofErr w:type="spellStart"/>
      <w:r w:rsidR="00311BD1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t>Revollo</w:t>
      </w:r>
      <w:proofErr w:type="spellEnd"/>
      <w:r w:rsidR="00311BD1" w:rsidRPr="00311B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11BD1" w:rsidRPr="00311BD1">
        <w:rPr>
          <w:rFonts w:ascii="Times New Roman" w:hAnsi="Times New Roman" w:cs="Times New Roman"/>
          <w:sz w:val="24"/>
          <w:szCs w:val="24"/>
        </w:rPr>
        <w:t xml:space="preserve">Race does not explain genetic heterogeneity in pharmacogenomic pathways, </w:t>
      </w:r>
      <w:r w:rsidR="00311BD1" w:rsidRPr="007101FA">
        <w:rPr>
          <w:rFonts w:ascii="Times New Roman" w:hAnsi="Times New Roman" w:cs="Times New Roman"/>
          <w:i/>
          <w:sz w:val="24"/>
          <w:szCs w:val="24"/>
        </w:rPr>
        <w:t>Pharmacogenomics</w:t>
      </w:r>
      <w:r w:rsidR="00311BD1" w:rsidRPr="00311BD1">
        <w:rPr>
          <w:rFonts w:ascii="Times New Roman" w:hAnsi="Times New Roman" w:cs="Times New Roman"/>
          <w:sz w:val="24"/>
          <w:szCs w:val="24"/>
        </w:rPr>
        <w:t>, 2008, 9 (11): pp. 1639-1645.)</w:t>
      </w:r>
    </w:p>
    <w:p w14:paraId="3E5AC059" w14:textId="7BCE2B01" w:rsidR="00492C72" w:rsidRDefault="007101FA" w:rsidP="003D60E5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3D60E5">
        <w:rPr>
          <w:rFonts w:ascii="Times New Roman" w:hAnsi="Times New Roman" w:cs="Times New Roman"/>
          <w:bCs/>
          <w:sz w:val="24"/>
          <w:szCs w:val="24"/>
          <w:u w:val="single"/>
        </w:rPr>
        <w:t>Conclusion</w:t>
      </w:r>
      <w:r>
        <w:rPr>
          <w:rFonts w:ascii="Times New Roman" w:hAnsi="Times New Roman" w:cs="Times New Roman"/>
          <w:bCs/>
          <w:sz w:val="24"/>
          <w:szCs w:val="24"/>
        </w:rPr>
        <w:t>:  Unless fracking is ceased and</w:t>
      </w:r>
      <w:r w:rsidR="00830FB2">
        <w:rPr>
          <w:rFonts w:ascii="Times New Roman" w:hAnsi="Times New Roman" w:cs="Times New Roman"/>
          <w:bCs/>
          <w:sz w:val="24"/>
          <w:szCs w:val="24"/>
        </w:rPr>
        <w:t xml:space="preserve"> no</w:t>
      </w:r>
      <w:r>
        <w:rPr>
          <w:rFonts w:ascii="Times New Roman" w:hAnsi="Times New Roman" w:cs="Times New Roman"/>
          <w:bCs/>
          <w:sz w:val="24"/>
          <w:szCs w:val="24"/>
        </w:rPr>
        <w:t xml:space="preserve"> additional fracking chemicals are released into the environment, tragic</w:t>
      </w:r>
      <w:r w:rsidR="00830FB2">
        <w:rPr>
          <w:rFonts w:ascii="Times New Roman" w:hAnsi="Times New Roman" w:cs="Times New Roman"/>
          <w:bCs/>
          <w:sz w:val="24"/>
          <w:szCs w:val="24"/>
        </w:rPr>
        <w:t xml:space="preserve"> toxicological</w:t>
      </w:r>
      <w:r>
        <w:rPr>
          <w:rFonts w:ascii="Times New Roman" w:hAnsi="Times New Roman" w:cs="Times New Roman"/>
          <w:bCs/>
          <w:sz w:val="24"/>
          <w:szCs w:val="24"/>
        </w:rPr>
        <w:t xml:space="preserve"> responses can surely be anticipated in some exposed </w:t>
      </w:r>
      <w:r w:rsidR="00830FB2">
        <w:rPr>
          <w:rFonts w:ascii="Times New Roman" w:hAnsi="Times New Roman" w:cs="Times New Roman"/>
          <w:bCs/>
          <w:sz w:val="24"/>
          <w:szCs w:val="24"/>
        </w:rPr>
        <w:t>individuals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C0E00F0" w14:textId="77777777" w:rsidR="00A80F44" w:rsidRDefault="007101FA" w:rsidP="00C6293C">
      <w:pPr>
        <w:rPr>
          <w:rFonts w:ascii="Times New Roman" w:hAnsi="Times New Roman" w:cs="Times New Roman"/>
          <w:bCs/>
          <w:sz w:val="24"/>
          <w:szCs w:val="24"/>
        </w:rPr>
      </w:pPr>
      <w:r w:rsidRPr="003D60E5">
        <w:rPr>
          <w:rFonts w:ascii="Times New Roman" w:hAnsi="Times New Roman" w:cs="Times New Roman"/>
          <w:bCs/>
          <w:sz w:val="24"/>
          <w:szCs w:val="24"/>
          <w:u w:val="single"/>
        </w:rPr>
        <w:t>Point 4</w:t>
      </w:r>
      <w:r>
        <w:rPr>
          <w:rFonts w:ascii="Times New Roman" w:hAnsi="Times New Roman" w:cs="Times New Roman"/>
          <w:bCs/>
          <w:sz w:val="24"/>
          <w:szCs w:val="24"/>
        </w:rPr>
        <w:t xml:space="preserve">:   We can lay out a logical case for avoiding exposure to fracking chemicals using biomechanisms, toxicological principles, and molecular arguments, but there is increasing </w:t>
      </w:r>
      <w:r w:rsidR="006D4D5E">
        <w:rPr>
          <w:rFonts w:ascii="Times New Roman" w:hAnsi="Times New Roman" w:cs="Times New Roman"/>
          <w:bCs/>
          <w:sz w:val="24"/>
          <w:szCs w:val="24"/>
        </w:rPr>
        <w:t xml:space="preserve">firm </w:t>
      </w:r>
      <w:r>
        <w:rPr>
          <w:rFonts w:ascii="Times New Roman" w:hAnsi="Times New Roman" w:cs="Times New Roman"/>
          <w:bCs/>
          <w:sz w:val="24"/>
          <w:szCs w:val="24"/>
        </w:rPr>
        <w:t xml:space="preserve">evidence of clinical pathologies associated with </w:t>
      </w:r>
      <w:r w:rsidR="00830FB2">
        <w:rPr>
          <w:rFonts w:ascii="Times New Roman" w:hAnsi="Times New Roman" w:cs="Times New Roman"/>
          <w:bCs/>
          <w:sz w:val="24"/>
          <w:szCs w:val="24"/>
        </w:rPr>
        <w:t xml:space="preserve">such </w:t>
      </w:r>
      <w:r>
        <w:rPr>
          <w:rFonts w:ascii="Times New Roman" w:hAnsi="Times New Roman" w:cs="Times New Roman"/>
          <w:bCs/>
          <w:sz w:val="24"/>
          <w:szCs w:val="24"/>
        </w:rPr>
        <w:t xml:space="preserve">unconventional natural gas development. In closing </w:t>
      </w:r>
      <w:r w:rsidR="006D4D5E">
        <w:rPr>
          <w:rFonts w:ascii="Times New Roman" w:hAnsi="Times New Roman" w:cs="Times New Roman"/>
          <w:bCs/>
          <w:sz w:val="24"/>
          <w:szCs w:val="24"/>
        </w:rPr>
        <w:t>I attach four studies which link fracking and adverse clinical outcomes.</w:t>
      </w:r>
      <w:r w:rsidR="00830FB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47D65B3" w14:textId="5046D7B2" w:rsidR="007101FA" w:rsidRPr="00A80F44" w:rsidRDefault="00830FB2" w:rsidP="00A80F44">
      <w:pPr>
        <w:ind w:left="72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These research studies speak for themselves and reinforce the arguments above and our request to </w:t>
      </w:r>
      <w:r w:rsidRPr="00A80F44">
        <w:rPr>
          <w:rFonts w:ascii="Times New Roman" w:hAnsi="Times New Roman" w:cs="Times New Roman"/>
          <w:bCs/>
          <w:sz w:val="24"/>
          <w:szCs w:val="24"/>
          <w:u w:val="single"/>
        </w:rPr>
        <w:t>ban processing of fracking fluids and fracking itself in the Delaware River Basin.</w:t>
      </w:r>
    </w:p>
    <w:p w14:paraId="1C29EE4F" w14:textId="77777777" w:rsidR="00DA7B8E" w:rsidRDefault="00830FB2" w:rsidP="00C6293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Submitted,</w:t>
      </w:r>
    </w:p>
    <w:p w14:paraId="48ACA15F" w14:textId="316C208F" w:rsidR="00830FB2" w:rsidRDefault="00830FB2" w:rsidP="00C6293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 D. Heindel</w:t>
      </w:r>
    </w:p>
    <w:p w14:paraId="75A6E205" w14:textId="1E39D5C0" w:rsidR="006D4D5E" w:rsidRDefault="006D4D5E" w:rsidP="00C6293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“A Review of the Public Health Impacts of Unconventional Natural Gas Development,” in </w:t>
      </w:r>
      <w:r w:rsidRPr="006D4D5E">
        <w:rPr>
          <w:rFonts w:ascii="Times New Roman" w:hAnsi="Times New Roman" w:cs="Times New Roman"/>
          <w:bCs/>
          <w:i/>
          <w:sz w:val="24"/>
          <w:szCs w:val="24"/>
        </w:rPr>
        <w:t>Environ Geochem Health</w:t>
      </w:r>
      <w:r>
        <w:rPr>
          <w:rFonts w:ascii="Times New Roman" w:hAnsi="Times New Roman" w:cs="Times New Roman"/>
          <w:bCs/>
          <w:sz w:val="24"/>
          <w:szCs w:val="24"/>
        </w:rPr>
        <w:t>, 2018, 40: pp 1-57.</w:t>
      </w:r>
    </w:p>
    <w:p w14:paraId="2BC9EB03" w14:textId="4DABC750" w:rsidR="006D4D5E" w:rsidRDefault="006D4D5E" w:rsidP="00C6293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“Potential Public Health Hazards, Exposures and Health Effects from Unconventional Natural Gas Development</w:t>
      </w:r>
      <w:r w:rsidR="00830FB2">
        <w:rPr>
          <w:rFonts w:ascii="Times New Roman" w:hAnsi="Times New Roman" w:cs="Times New Roman"/>
          <w:bCs/>
          <w:sz w:val="24"/>
          <w:szCs w:val="24"/>
        </w:rPr>
        <w:t xml:space="preserve">,” in </w:t>
      </w:r>
      <w:r w:rsidR="00830FB2" w:rsidRPr="00830FB2">
        <w:rPr>
          <w:rFonts w:ascii="Times New Roman" w:hAnsi="Times New Roman" w:cs="Times New Roman"/>
          <w:bCs/>
          <w:i/>
          <w:sz w:val="24"/>
          <w:szCs w:val="24"/>
        </w:rPr>
        <w:t>Environmental Sci and Technology</w:t>
      </w:r>
      <w:r w:rsidR="00830FB2">
        <w:rPr>
          <w:rFonts w:ascii="Times New Roman" w:hAnsi="Times New Roman" w:cs="Times New Roman"/>
          <w:bCs/>
          <w:sz w:val="24"/>
          <w:szCs w:val="24"/>
        </w:rPr>
        <w:t>, 2014, 48: 8307-8320.</w:t>
      </w:r>
    </w:p>
    <w:p w14:paraId="545500A9" w14:textId="24D55759" w:rsidR="006D4D5E" w:rsidRDefault="006D4D5E" w:rsidP="00C6293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“Unconventional Gas and Oil Drilling is Associated with Increased Hospital Utilization Rates” in </w:t>
      </w:r>
      <w:proofErr w:type="spellStart"/>
      <w:r w:rsidRPr="006D4D5E">
        <w:rPr>
          <w:rFonts w:ascii="Times New Roman" w:hAnsi="Times New Roman" w:cs="Times New Roman"/>
          <w:bCs/>
          <w:i/>
          <w:sz w:val="24"/>
          <w:szCs w:val="24"/>
        </w:rPr>
        <w:t>PLoS</w:t>
      </w:r>
      <w:proofErr w:type="spellEnd"/>
      <w:r w:rsidRPr="006D4D5E">
        <w:rPr>
          <w:rFonts w:ascii="Times New Roman" w:hAnsi="Times New Roman" w:cs="Times New Roman"/>
          <w:bCs/>
          <w:i/>
          <w:sz w:val="24"/>
          <w:szCs w:val="24"/>
        </w:rPr>
        <w:t xml:space="preserve"> One</w:t>
      </w:r>
      <w:r>
        <w:rPr>
          <w:rFonts w:ascii="Times New Roman" w:hAnsi="Times New Roman" w:cs="Times New Roman"/>
          <w:bCs/>
          <w:sz w:val="24"/>
          <w:szCs w:val="24"/>
        </w:rPr>
        <w:t>, 2015, 10 (7)” e0131093</w:t>
      </w:r>
      <w:r w:rsidR="00830FB2">
        <w:rPr>
          <w:rFonts w:ascii="Times New Roman" w:hAnsi="Times New Roman" w:cs="Times New Roman"/>
          <w:bCs/>
          <w:sz w:val="24"/>
          <w:szCs w:val="24"/>
        </w:rPr>
        <w:t xml:space="preserve"> [an abstract]</w:t>
      </w:r>
    </w:p>
    <w:p w14:paraId="3A69B707" w14:textId="1DBB7CE9" w:rsidR="006D4D5E" w:rsidRDefault="006D4D5E" w:rsidP="00C6293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“Association Between Unconventional Natural Gas Development in the Marcellus Shale and Asthma Exacerbations,” in </w:t>
      </w:r>
      <w:r w:rsidRPr="006D4D5E">
        <w:rPr>
          <w:rFonts w:ascii="Times New Roman" w:hAnsi="Times New Roman" w:cs="Times New Roman"/>
          <w:bCs/>
          <w:i/>
          <w:sz w:val="24"/>
          <w:szCs w:val="24"/>
        </w:rPr>
        <w:t>JAMA Internal Med</w:t>
      </w:r>
      <w:r>
        <w:rPr>
          <w:rFonts w:ascii="Times New Roman" w:hAnsi="Times New Roman" w:cs="Times New Roman"/>
          <w:bCs/>
          <w:sz w:val="24"/>
          <w:szCs w:val="24"/>
        </w:rPr>
        <w:t>., 2016, 176 (9): pp. 1334-43.</w:t>
      </w:r>
      <w:r w:rsidR="00830FB2">
        <w:rPr>
          <w:rFonts w:ascii="Times New Roman" w:hAnsi="Times New Roman" w:cs="Times New Roman"/>
          <w:bCs/>
          <w:sz w:val="24"/>
          <w:szCs w:val="24"/>
        </w:rPr>
        <w:t xml:space="preserve"> [an abstract]</w:t>
      </w:r>
    </w:p>
    <w:p w14:paraId="70F80A52" w14:textId="77777777" w:rsidR="00C45D27" w:rsidRDefault="00C45D27" w:rsidP="00C45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B0CE18" w14:textId="4DBB5301" w:rsidR="00C45D27" w:rsidRDefault="00C45D27" w:rsidP="00C45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Ned D. Heindel</w:t>
      </w:r>
    </w:p>
    <w:p w14:paraId="77DF548B" w14:textId="1E11C899" w:rsidR="00C45D27" w:rsidRDefault="00C45D27" w:rsidP="00C45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200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Hexenkopf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Rd.</w:t>
      </w:r>
    </w:p>
    <w:p w14:paraId="266C269B" w14:textId="2B496994" w:rsidR="00C45D27" w:rsidRPr="006C7A41" w:rsidRDefault="00C45D27" w:rsidP="00C45D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Easton, PA 18042</w:t>
      </w:r>
    </w:p>
    <w:sectPr w:rsidR="00C45D27" w:rsidRPr="006C7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E2"/>
    <w:rsid w:val="00043B47"/>
    <w:rsid w:val="000A7BFB"/>
    <w:rsid w:val="00160729"/>
    <w:rsid w:val="001C3033"/>
    <w:rsid w:val="001E60A7"/>
    <w:rsid w:val="00211820"/>
    <w:rsid w:val="002178E2"/>
    <w:rsid w:val="00311BD1"/>
    <w:rsid w:val="003436EE"/>
    <w:rsid w:val="003A7886"/>
    <w:rsid w:val="003B4756"/>
    <w:rsid w:val="003D593A"/>
    <w:rsid w:val="003D60E5"/>
    <w:rsid w:val="00412B82"/>
    <w:rsid w:val="0042765F"/>
    <w:rsid w:val="00492C72"/>
    <w:rsid w:val="004B766D"/>
    <w:rsid w:val="00534460"/>
    <w:rsid w:val="005F3223"/>
    <w:rsid w:val="0061307E"/>
    <w:rsid w:val="006C7A41"/>
    <w:rsid w:val="006D4D5E"/>
    <w:rsid w:val="007101FA"/>
    <w:rsid w:val="0081367A"/>
    <w:rsid w:val="00830FB2"/>
    <w:rsid w:val="00841B5D"/>
    <w:rsid w:val="00874923"/>
    <w:rsid w:val="00A42339"/>
    <w:rsid w:val="00A80F44"/>
    <w:rsid w:val="00B931CF"/>
    <w:rsid w:val="00C45D27"/>
    <w:rsid w:val="00C55434"/>
    <w:rsid w:val="00C6293C"/>
    <w:rsid w:val="00CD1FFF"/>
    <w:rsid w:val="00D33714"/>
    <w:rsid w:val="00D82940"/>
    <w:rsid w:val="00D924B0"/>
    <w:rsid w:val="00DA7B8E"/>
    <w:rsid w:val="00E23473"/>
    <w:rsid w:val="00EE0FAE"/>
    <w:rsid w:val="00F54017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47AF4"/>
  <w15:docId w15:val="{3845F031-E3D1-4558-94B2-14F07A11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62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293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ize-xl">
    <w:name w:val="size-xl"/>
    <w:basedOn w:val="DefaultParagraphFont"/>
    <w:rsid w:val="00C6293C"/>
  </w:style>
  <w:style w:type="character" w:styleId="Hyperlink">
    <w:name w:val="Hyperlink"/>
    <w:basedOn w:val="DefaultParagraphFont"/>
    <w:uiPriority w:val="99"/>
    <w:unhideWhenUsed/>
    <w:rsid w:val="00C6293C"/>
    <w:rPr>
      <w:color w:val="0000FF"/>
      <w:u w:val="single"/>
    </w:rPr>
  </w:style>
  <w:style w:type="character" w:customStyle="1" w:styleId="size-m">
    <w:name w:val="size-m"/>
    <w:basedOn w:val="DefaultParagraphFont"/>
    <w:rsid w:val="00C6293C"/>
  </w:style>
  <w:style w:type="character" w:customStyle="1" w:styleId="Heading1Char">
    <w:name w:val="Heading 1 Char"/>
    <w:basedOn w:val="DefaultParagraphFont"/>
    <w:link w:val="Heading1"/>
    <w:uiPriority w:val="9"/>
    <w:rsid w:val="004276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it">
    <w:name w:val="cit"/>
    <w:basedOn w:val="DefaultParagraphFont"/>
    <w:rsid w:val="0042765F"/>
  </w:style>
  <w:style w:type="character" w:customStyle="1" w:styleId="fm-vol-iss-date">
    <w:name w:val="fm-vol-iss-date"/>
    <w:basedOn w:val="DefaultParagraphFont"/>
    <w:rsid w:val="0042765F"/>
  </w:style>
  <w:style w:type="character" w:customStyle="1" w:styleId="doi">
    <w:name w:val="doi"/>
    <w:basedOn w:val="DefaultParagraphFont"/>
    <w:rsid w:val="0042765F"/>
  </w:style>
  <w:style w:type="character" w:customStyle="1" w:styleId="fm-citation-ids-label">
    <w:name w:val="fm-citation-ids-label"/>
    <w:basedOn w:val="DefaultParagraphFont"/>
    <w:rsid w:val="0042765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7BFB"/>
    <w:rPr>
      <w:color w:val="808080"/>
      <w:shd w:val="clear" w:color="auto" w:fill="E6E6E6"/>
    </w:rPr>
  </w:style>
  <w:style w:type="character" w:customStyle="1" w:styleId="highlight">
    <w:name w:val="highlight"/>
    <w:basedOn w:val="DefaultParagraphFont"/>
    <w:rsid w:val="000A7BFB"/>
  </w:style>
  <w:style w:type="paragraph" w:styleId="BalloonText">
    <w:name w:val="Balloon Text"/>
    <w:basedOn w:val="Normal"/>
    <w:link w:val="BalloonTextChar"/>
    <w:uiPriority w:val="99"/>
    <w:semiHidden/>
    <w:unhideWhenUsed/>
    <w:rsid w:val="00DA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6812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1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0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9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32099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5733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13185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iencedirect.com/science/journal/138266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7743207" TargetMode="External"/><Relationship Id="rId5" Type="http://schemas.openxmlformats.org/officeDocument/2006/relationships/hyperlink" Target="https://www.ncbi.nlm.nih.gov/pubmed/25713828" TargetMode="External"/><Relationship Id="rId4" Type="http://schemas.openxmlformats.org/officeDocument/2006/relationships/hyperlink" Target="https://www.ncbi.nlm.nih.gov/pmc/articles/PMC3988285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7131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 Heindel</dc:creator>
  <cp:lastModifiedBy>Ned Heindel</cp:lastModifiedBy>
  <cp:revision>2</cp:revision>
  <cp:lastPrinted>2018-02-26T06:09:00Z</cp:lastPrinted>
  <dcterms:created xsi:type="dcterms:W3CDTF">2018-03-04T16:21:00Z</dcterms:created>
  <dcterms:modified xsi:type="dcterms:W3CDTF">2018-03-04T16:21:00Z</dcterms:modified>
</cp:coreProperties>
</file>