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83" w:type="dxa"/>
        <w:tblLook w:val="04A0" w:firstRow="1" w:lastRow="0" w:firstColumn="1" w:lastColumn="0" w:noHBand="0" w:noVBand="1"/>
      </w:tblPr>
      <w:tblGrid>
        <w:gridCol w:w="1540"/>
        <w:gridCol w:w="1155"/>
        <w:gridCol w:w="721"/>
        <w:gridCol w:w="809"/>
        <w:gridCol w:w="4140"/>
        <w:gridCol w:w="3870"/>
        <w:gridCol w:w="1848"/>
      </w:tblGrid>
      <w:tr w:rsidR="002426A4" w:rsidRPr="002426A4" w14:paraId="0F0AB695" w14:textId="77777777" w:rsidTr="00664437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4BEF3" w14:textId="77777777" w:rsidR="002426A4" w:rsidRPr="002426A4" w:rsidRDefault="002426A4" w:rsidP="002426A4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Commenter Name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E6AA3" w14:textId="77777777" w:rsidR="002426A4" w:rsidRPr="002426A4" w:rsidRDefault="002426A4" w:rsidP="002426A4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Section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DBA84" w14:textId="77777777" w:rsidR="002426A4" w:rsidRPr="002426A4" w:rsidRDefault="002426A4" w:rsidP="002426A4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Page No.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948DA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Line No.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C8015" w14:textId="77777777" w:rsidR="002426A4" w:rsidRPr="002426A4" w:rsidRDefault="002426A4" w:rsidP="002426A4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Comment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A5189" w14:textId="77777777" w:rsidR="002426A4" w:rsidRPr="002426A4" w:rsidRDefault="002426A4" w:rsidP="002426A4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Rationale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6DF8B" w14:textId="77777777" w:rsidR="002426A4" w:rsidRPr="002426A4" w:rsidRDefault="002426A4" w:rsidP="002426A4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Information Source</w:t>
            </w:r>
          </w:p>
        </w:tc>
      </w:tr>
      <w:tr w:rsidR="002426A4" w:rsidRPr="002426A4" w14:paraId="23B1B15C" w14:textId="77777777" w:rsidTr="0066443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38DD" w14:textId="77777777" w:rsidR="002426A4" w:rsidRPr="002426A4" w:rsidRDefault="002426A4" w:rsidP="002426A4">
            <w:pPr>
              <w:jc w:val="center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Jeanette Alas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3BBF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TOC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D07A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vii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93BC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79512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Add "s" to Table of Table</w:t>
            </w:r>
            <w:r w:rsidRPr="002426A4">
              <w:rPr>
                <w:rFonts w:ascii="Garamond" w:eastAsia="Times New Roman" w:hAnsi="Garamond" w:cs="Calibri"/>
                <w:color w:val="000000"/>
                <w:szCs w:val="24"/>
                <w:u w:val="single"/>
              </w:rPr>
              <w:t>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EC475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grammatical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8C14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2426A4" w:rsidRPr="002426A4" w14:paraId="1340D36C" w14:textId="77777777" w:rsidTr="00664437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E4F2" w14:textId="77777777" w:rsidR="002426A4" w:rsidRPr="002426A4" w:rsidRDefault="002426A4" w:rsidP="002426A4">
            <w:pPr>
              <w:jc w:val="center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Jeanette Alas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FF8B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Part 1, Section 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3310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15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D62A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7CB92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Delete "the four shows" or otherwise reword this sentence for clarity.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9705D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grammatical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6ED5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2426A4" w:rsidRPr="002426A4" w14:paraId="4365B358" w14:textId="77777777" w:rsidTr="00664437">
        <w:trPr>
          <w:trHeight w:val="220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9B3E" w14:textId="77777777" w:rsidR="002426A4" w:rsidRPr="002426A4" w:rsidRDefault="002426A4" w:rsidP="002426A4">
            <w:pPr>
              <w:jc w:val="center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Jeanette Alas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7E87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Part 2, Section 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D530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31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6B9B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17-18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CD2A2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 xml:space="preserve">Reword the sentence "…strategies during response such as hazing, abatement, rescue, and carcass recovery." to "…strategies during response such as carcass collection, hazing, and capture and </w:t>
            </w:r>
            <w:proofErr w:type="spellStart"/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rehabilition</w:t>
            </w:r>
            <w:proofErr w:type="spellEnd"/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." or something similar to the suggested edit.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9429A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 xml:space="preserve">This wording is more consistent with terminology used throughout the </w:t>
            </w:r>
            <w:r w:rsidRPr="002426A4">
              <w:rPr>
                <w:rFonts w:ascii="Garamond" w:eastAsia="Times New Roman" w:hAnsi="Garamond" w:cs="Calibri"/>
                <w:i/>
                <w:iCs/>
                <w:color w:val="000000"/>
                <w:szCs w:val="24"/>
              </w:rPr>
              <w:t>Wildlife Protection Guidelines for Oil Spill Response in Alaska</w:t>
            </w: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 xml:space="preserve"> for primary, secondary, and tertiary wildlife response strategies.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FF2A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Version 2020.1 of the Wildlife Protection Guidelines for Oil Spill Response in Alaska</w:t>
            </w:r>
          </w:p>
        </w:tc>
      </w:tr>
      <w:tr w:rsidR="002426A4" w:rsidRPr="002426A4" w14:paraId="6D0F0E25" w14:textId="77777777" w:rsidTr="00664437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FC94" w14:textId="77777777" w:rsidR="002426A4" w:rsidRPr="002426A4" w:rsidRDefault="002426A4" w:rsidP="002426A4">
            <w:pPr>
              <w:jc w:val="center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Jeanette Alas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89CA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Part 4, Section F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E3EC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42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B0E5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02B12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Delete comment in brackets.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0F7E7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grammatical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32C2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2426A4" w:rsidRPr="002426A4" w14:paraId="34725077" w14:textId="77777777" w:rsidTr="00664437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A131" w14:textId="77777777" w:rsidR="002426A4" w:rsidRPr="002426A4" w:rsidRDefault="002426A4" w:rsidP="002426A4">
            <w:pPr>
              <w:jc w:val="center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Jeanette Alas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C976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Part 8, Section B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AD08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74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B45E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D5749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The phone number for Jeanette Alas is 907-267-2805.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A5CE4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7AB4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2426A4" w:rsidRPr="002426A4" w14:paraId="3922E7E1" w14:textId="77777777" w:rsidTr="00664437">
        <w:trPr>
          <w:trHeight w:val="157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AF7D" w14:textId="77777777" w:rsidR="002426A4" w:rsidRPr="002426A4" w:rsidRDefault="002426A4" w:rsidP="002426A4">
            <w:pPr>
              <w:jc w:val="center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Jeanette Alas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021C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Part 9, Section B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D2BF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13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DCC7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68DA5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7th bullet: Add "areas" after critical habitat.</w:t>
            </w: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br/>
              <w:t>9th bullet:  Add "hazing and capture and rehabilitation" to the list of fish and wildlife permits (i.e., "...fish and wildlife collection</w:t>
            </w:r>
            <w:r w:rsidRPr="002426A4">
              <w:rPr>
                <w:rFonts w:ascii="Garamond" w:eastAsia="Times New Roman" w:hAnsi="Garamond" w:cs="Calibri"/>
                <w:color w:val="000000"/>
                <w:szCs w:val="24"/>
                <w:u w:val="single"/>
              </w:rPr>
              <w:t>, hazing, and capture and rehabilitation</w:t>
            </w: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 xml:space="preserve"> permits, and..."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4B421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 xml:space="preserve">7th bullet: This is the complete name of these state special areas. </w:t>
            </w: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br/>
              <w:t xml:space="preserve">9th bullet: The added text more accurately describes </w:t>
            </w:r>
            <w:proofErr w:type="spellStart"/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ADF&amp;G</w:t>
            </w:r>
            <w:proofErr w:type="spellEnd"/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 xml:space="preserve"> permitting during an oil spill response.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30E1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2426A4" w:rsidRPr="002426A4" w14:paraId="3A5FBDD9" w14:textId="77777777" w:rsidTr="00664437">
        <w:trPr>
          <w:trHeight w:val="132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68CD" w14:textId="77777777" w:rsidR="002426A4" w:rsidRPr="002426A4" w:rsidRDefault="002426A4" w:rsidP="002426A4">
            <w:pPr>
              <w:jc w:val="center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Jeanette Alas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2D94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Appendix V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6DF2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114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94F6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4 and 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1761D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 xml:space="preserve">Lines 4 and 8 reference Appendix 1 and 2 of the </w:t>
            </w:r>
            <w:proofErr w:type="spellStart"/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ARRT</w:t>
            </w:r>
            <w:proofErr w:type="spellEnd"/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 xml:space="preserve"> Guidelines for Places of Refuge Decision-Making without first referencing that document (as is done in lines 9-10). Recommend rewording for clarity.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CFAB9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grammatical, easier for reader to understand what document is being referred to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49EC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2426A4" w:rsidRPr="002426A4" w14:paraId="65A2A782" w14:textId="77777777" w:rsidTr="00664437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02E1" w14:textId="77777777" w:rsidR="002426A4" w:rsidRPr="002426A4" w:rsidRDefault="002426A4" w:rsidP="002426A4">
            <w:pPr>
              <w:jc w:val="center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Jeanette Alas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2B6F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Appendix V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15EB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114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B4FB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4 and 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DEE82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Change SCP to ACP.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3A539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grammatical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7E27" w14:textId="77777777" w:rsidR="002426A4" w:rsidRPr="002426A4" w:rsidRDefault="002426A4" w:rsidP="002426A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426A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</w:tbl>
    <w:p w14:paraId="7AF951AD" w14:textId="77777777" w:rsidR="00157186" w:rsidRDefault="00664437" w:rsidP="002426A4">
      <w:pPr>
        <w:ind w:right="1080"/>
      </w:pPr>
    </w:p>
    <w:sectPr w:rsidR="00157186" w:rsidSect="002426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C55A4" w14:textId="77777777" w:rsidR="00664437" w:rsidRDefault="00664437" w:rsidP="00664437">
      <w:r>
        <w:separator/>
      </w:r>
    </w:p>
  </w:endnote>
  <w:endnote w:type="continuationSeparator" w:id="0">
    <w:p w14:paraId="74054EB6" w14:textId="77777777" w:rsidR="00664437" w:rsidRDefault="00664437" w:rsidP="0066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7001" w14:textId="77777777" w:rsidR="00664437" w:rsidRDefault="00664437" w:rsidP="00664437">
      <w:r>
        <w:separator/>
      </w:r>
    </w:p>
  </w:footnote>
  <w:footnote w:type="continuationSeparator" w:id="0">
    <w:p w14:paraId="1EBB5C29" w14:textId="77777777" w:rsidR="00664437" w:rsidRDefault="00664437" w:rsidP="00664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A4"/>
    <w:rsid w:val="000232AA"/>
    <w:rsid w:val="002426A4"/>
    <w:rsid w:val="00664437"/>
    <w:rsid w:val="00986B9E"/>
    <w:rsid w:val="00A37A01"/>
    <w:rsid w:val="00A6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C595E"/>
  <w15:chartTrackingRefBased/>
  <w15:docId w15:val="{E63C2B52-4A7E-465D-BA84-44E8B0E2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Alas, Jeanette M (DFG)</dc:creator>
  <cp:keywords/>
  <dc:description/>
  <cp:lastModifiedBy>Alas, Jeanette M (DFG)</cp:lastModifiedBy>
  <cp:revision>1</cp:revision>
  <dcterms:created xsi:type="dcterms:W3CDTF">2021-07-28T17:09:00Z</dcterms:created>
  <dcterms:modified xsi:type="dcterms:W3CDTF">2021-07-28T18:12:00Z</dcterms:modified>
</cp:coreProperties>
</file>