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83A3" w14:textId="117CFA7C" w:rsidR="006E156D" w:rsidRDefault="006E156D" w:rsidP="000227ED">
      <w:pPr>
        <w:spacing w:after="0"/>
        <w:rPr>
          <w:rFonts w:ascii="Arial" w:hAnsi="Arial" w:cs="Arial"/>
          <w:b/>
          <w:bCs/>
          <w:sz w:val="24"/>
          <w:szCs w:val="24"/>
        </w:rPr>
      </w:pPr>
      <w:r>
        <w:rPr>
          <w:rFonts w:ascii="Arial" w:hAnsi="Arial" w:cs="Arial"/>
          <w:b/>
          <w:bCs/>
          <w:sz w:val="24"/>
          <w:szCs w:val="24"/>
        </w:rPr>
        <w:t xml:space="preserve"> </w:t>
      </w:r>
    </w:p>
    <w:p w14:paraId="59784221" w14:textId="34858339" w:rsidR="00F417E9" w:rsidRDefault="00F417E9" w:rsidP="000227ED">
      <w:pPr>
        <w:spacing w:after="0"/>
        <w:rPr>
          <w:rFonts w:ascii="Arial" w:hAnsi="Arial" w:cs="Arial"/>
          <w:sz w:val="24"/>
          <w:szCs w:val="24"/>
        </w:rPr>
      </w:pPr>
      <w:r w:rsidRPr="00F417E9">
        <w:rPr>
          <w:rFonts w:ascii="Arial" w:hAnsi="Arial" w:cs="Arial"/>
          <w:sz w:val="24"/>
          <w:szCs w:val="24"/>
        </w:rPr>
        <w:t>Department of Natural Resources</w:t>
      </w:r>
    </w:p>
    <w:p w14:paraId="0107E11A" w14:textId="22B40CE7" w:rsidR="00454C6A" w:rsidRDefault="00454C6A" w:rsidP="000227ED">
      <w:pPr>
        <w:spacing w:after="0"/>
        <w:rPr>
          <w:rFonts w:ascii="Arial" w:hAnsi="Arial" w:cs="Arial"/>
          <w:sz w:val="24"/>
          <w:szCs w:val="24"/>
        </w:rPr>
      </w:pPr>
      <w:r>
        <w:rPr>
          <w:rFonts w:ascii="Arial" w:hAnsi="Arial" w:cs="Arial"/>
          <w:sz w:val="24"/>
          <w:szCs w:val="24"/>
        </w:rPr>
        <w:t>550 W. 7</w:t>
      </w:r>
      <w:r w:rsidRPr="00454C6A">
        <w:rPr>
          <w:rFonts w:ascii="Arial" w:hAnsi="Arial" w:cs="Arial"/>
          <w:sz w:val="24"/>
          <w:szCs w:val="24"/>
          <w:vertAlign w:val="superscript"/>
        </w:rPr>
        <w:t>th</w:t>
      </w:r>
      <w:r>
        <w:rPr>
          <w:rFonts w:ascii="Arial" w:hAnsi="Arial" w:cs="Arial"/>
          <w:sz w:val="24"/>
          <w:szCs w:val="24"/>
        </w:rPr>
        <w:t xml:space="preserve"> Avenue, Suite 1430</w:t>
      </w:r>
    </w:p>
    <w:p w14:paraId="20CED2EB" w14:textId="42D9FEFF" w:rsidR="0044388C" w:rsidRDefault="00454C6A" w:rsidP="000227ED">
      <w:pPr>
        <w:spacing w:after="0"/>
        <w:rPr>
          <w:rFonts w:ascii="Arial" w:hAnsi="Arial" w:cs="Arial"/>
          <w:sz w:val="24"/>
          <w:szCs w:val="24"/>
        </w:rPr>
      </w:pPr>
      <w:r>
        <w:rPr>
          <w:rFonts w:ascii="Arial" w:hAnsi="Arial" w:cs="Arial"/>
          <w:sz w:val="24"/>
          <w:szCs w:val="24"/>
        </w:rPr>
        <w:t>Anchorage, AK 99501-3577</w:t>
      </w:r>
    </w:p>
    <w:p w14:paraId="40185966" w14:textId="5A3C5B07" w:rsidR="00454C6A" w:rsidRDefault="00454C6A" w:rsidP="000227ED">
      <w:pPr>
        <w:spacing w:after="0"/>
        <w:rPr>
          <w:rFonts w:ascii="Arial" w:hAnsi="Arial" w:cs="Arial"/>
          <w:sz w:val="24"/>
          <w:szCs w:val="24"/>
        </w:rPr>
      </w:pPr>
      <w:r>
        <w:rPr>
          <w:rFonts w:ascii="Arial" w:hAnsi="Arial" w:cs="Arial"/>
          <w:sz w:val="24"/>
          <w:szCs w:val="24"/>
        </w:rPr>
        <w:t>907/269-8732</w:t>
      </w:r>
    </w:p>
    <w:p w14:paraId="587CF65B" w14:textId="77777777" w:rsidR="00454C6A" w:rsidRPr="00F417E9" w:rsidRDefault="00454C6A" w:rsidP="000227ED">
      <w:pPr>
        <w:spacing w:after="0"/>
        <w:rPr>
          <w:rFonts w:ascii="Arial" w:hAnsi="Arial" w:cs="Arial"/>
          <w:sz w:val="24"/>
          <w:szCs w:val="24"/>
        </w:rPr>
      </w:pPr>
    </w:p>
    <w:p w14:paraId="755BE1B4" w14:textId="3640A106" w:rsidR="00F417E9" w:rsidRDefault="00F417E9" w:rsidP="000227ED">
      <w:pPr>
        <w:spacing w:after="0"/>
        <w:rPr>
          <w:rFonts w:ascii="Arial" w:hAnsi="Arial" w:cs="Arial"/>
          <w:sz w:val="24"/>
          <w:szCs w:val="24"/>
        </w:rPr>
      </w:pPr>
      <w:r w:rsidRPr="00F417E9">
        <w:rPr>
          <w:rFonts w:ascii="Arial" w:hAnsi="Arial" w:cs="Arial"/>
          <w:sz w:val="24"/>
          <w:szCs w:val="24"/>
        </w:rPr>
        <w:t>Department of Environmental Conservation</w:t>
      </w:r>
    </w:p>
    <w:p w14:paraId="686E427D" w14:textId="713F7679" w:rsidR="00F417E9" w:rsidRDefault="00F417E9" w:rsidP="000227ED">
      <w:pPr>
        <w:spacing w:after="0"/>
        <w:rPr>
          <w:rFonts w:ascii="Arial" w:hAnsi="Arial" w:cs="Arial"/>
          <w:sz w:val="24"/>
          <w:szCs w:val="24"/>
        </w:rPr>
      </w:pPr>
      <w:r>
        <w:rPr>
          <w:rFonts w:ascii="Arial" w:hAnsi="Arial" w:cs="Arial"/>
          <w:sz w:val="24"/>
          <w:szCs w:val="24"/>
        </w:rPr>
        <w:t>610 University Avenue</w:t>
      </w:r>
    </w:p>
    <w:p w14:paraId="4749B13C" w14:textId="2E1E62EF" w:rsidR="00F417E9" w:rsidRDefault="00F417E9" w:rsidP="000227ED">
      <w:pPr>
        <w:spacing w:after="0"/>
        <w:rPr>
          <w:rFonts w:ascii="Arial" w:hAnsi="Arial" w:cs="Arial"/>
          <w:sz w:val="24"/>
          <w:szCs w:val="24"/>
        </w:rPr>
      </w:pPr>
      <w:r>
        <w:rPr>
          <w:rFonts w:ascii="Arial" w:hAnsi="Arial" w:cs="Arial"/>
          <w:sz w:val="24"/>
          <w:szCs w:val="24"/>
        </w:rPr>
        <w:t>Fairbanks, AK 99709</w:t>
      </w:r>
    </w:p>
    <w:p w14:paraId="5EC62FE8" w14:textId="0985E8C5" w:rsidR="00F417E9" w:rsidRPr="00F417E9" w:rsidRDefault="00F417E9" w:rsidP="000227ED">
      <w:pPr>
        <w:spacing w:after="0"/>
        <w:rPr>
          <w:rFonts w:ascii="Arial" w:hAnsi="Arial" w:cs="Arial"/>
          <w:sz w:val="24"/>
          <w:szCs w:val="24"/>
        </w:rPr>
      </w:pPr>
      <w:r>
        <w:rPr>
          <w:rFonts w:ascii="Arial" w:hAnsi="Arial" w:cs="Arial"/>
          <w:sz w:val="24"/>
          <w:szCs w:val="24"/>
        </w:rPr>
        <w:t>907/451-2136</w:t>
      </w:r>
    </w:p>
    <w:p w14:paraId="7F4181AA" w14:textId="77777777" w:rsidR="00F417E9" w:rsidRDefault="00F417E9" w:rsidP="000227ED">
      <w:pPr>
        <w:spacing w:after="0"/>
        <w:rPr>
          <w:rFonts w:ascii="Arial" w:hAnsi="Arial" w:cs="Arial"/>
          <w:sz w:val="24"/>
          <w:szCs w:val="24"/>
        </w:rPr>
      </w:pPr>
    </w:p>
    <w:p w14:paraId="03754FF2" w14:textId="51805F41" w:rsidR="00F417E9" w:rsidRDefault="00F417E9" w:rsidP="000227ED">
      <w:pPr>
        <w:spacing w:after="0"/>
        <w:rPr>
          <w:rFonts w:ascii="Arial" w:hAnsi="Arial" w:cs="Arial"/>
          <w:sz w:val="24"/>
          <w:szCs w:val="24"/>
        </w:rPr>
      </w:pPr>
      <w:r>
        <w:rPr>
          <w:rFonts w:ascii="Arial" w:hAnsi="Arial" w:cs="Arial"/>
          <w:sz w:val="24"/>
          <w:szCs w:val="24"/>
        </w:rPr>
        <w:t xml:space="preserve">Re:  Objection </w:t>
      </w:r>
      <w:r w:rsidR="00FB3567" w:rsidRPr="00F417E9">
        <w:rPr>
          <w:rFonts w:ascii="Arial" w:hAnsi="Arial" w:cs="Arial"/>
          <w:sz w:val="24"/>
          <w:szCs w:val="24"/>
        </w:rPr>
        <w:t xml:space="preserve">to </w:t>
      </w:r>
      <w:r>
        <w:rPr>
          <w:rFonts w:ascii="Arial" w:hAnsi="Arial" w:cs="Arial"/>
          <w:sz w:val="24"/>
          <w:szCs w:val="24"/>
        </w:rPr>
        <w:t>A</w:t>
      </w:r>
      <w:r w:rsidR="00FB3567" w:rsidRPr="00F417E9">
        <w:rPr>
          <w:rFonts w:ascii="Arial" w:hAnsi="Arial" w:cs="Arial"/>
          <w:sz w:val="24"/>
          <w:szCs w:val="24"/>
        </w:rPr>
        <w:t xml:space="preserve">pproval of </w:t>
      </w:r>
      <w:r>
        <w:rPr>
          <w:rFonts w:ascii="Arial" w:hAnsi="Arial" w:cs="Arial"/>
          <w:sz w:val="24"/>
          <w:szCs w:val="24"/>
        </w:rPr>
        <w:t xml:space="preserve">Permit Applications </w:t>
      </w:r>
    </w:p>
    <w:p w14:paraId="04676434" w14:textId="77777777" w:rsidR="00F417E9" w:rsidRDefault="00F417E9" w:rsidP="00F417E9">
      <w:pPr>
        <w:spacing w:after="0"/>
        <w:rPr>
          <w:rFonts w:ascii="Arial" w:hAnsi="Arial" w:cs="Arial"/>
          <w:sz w:val="24"/>
          <w:szCs w:val="24"/>
        </w:rPr>
      </w:pPr>
      <w:r w:rsidRPr="00F417E9">
        <w:rPr>
          <w:rFonts w:ascii="Arial" w:hAnsi="Arial" w:cs="Arial"/>
          <w:sz w:val="24"/>
          <w:szCs w:val="24"/>
        </w:rPr>
        <w:t>Request for Public Hearing</w:t>
      </w:r>
    </w:p>
    <w:p w14:paraId="72254DCF" w14:textId="67C6A2E7" w:rsidR="00F417E9" w:rsidRPr="00F417E9" w:rsidRDefault="00F417E9" w:rsidP="00F417E9">
      <w:pPr>
        <w:spacing w:after="0"/>
        <w:rPr>
          <w:rFonts w:ascii="Arial" w:hAnsi="Arial" w:cs="Arial"/>
          <w:sz w:val="24"/>
          <w:szCs w:val="24"/>
        </w:rPr>
      </w:pPr>
      <w:r>
        <w:rPr>
          <w:rFonts w:ascii="Arial" w:hAnsi="Arial" w:cs="Arial"/>
          <w:sz w:val="24"/>
          <w:szCs w:val="24"/>
        </w:rPr>
        <w:t xml:space="preserve">Request for </w:t>
      </w:r>
      <w:r w:rsidRPr="00F417E9">
        <w:rPr>
          <w:rFonts w:ascii="Arial" w:hAnsi="Arial" w:cs="Arial"/>
          <w:sz w:val="24"/>
          <w:szCs w:val="24"/>
        </w:rPr>
        <w:t>Correct</w:t>
      </w:r>
      <w:r>
        <w:rPr>
          <w:rFonts w:ascii="Arial" w:hAnsi="Arial" w:cs="Arial"/>
          <w:sz w:val="24"/>
          <w:szCs w:val="24"/>
        </w:rPr>
        <w:t xml:space="preserve">ed Public Notice </w:t>
      </w:r>
      <w:r w:rsidRPr="00F417E9">
        <w:rPr>
          <w:rFonts w:ascii="Arial" w:hAnsi="Arial" w:cs="Arial"/>
          <w:sz w:val="24"/>
          <w:szCs w:val="24"/>
        </w:rPr>
        <w:t>and New Public Comment Period</w:t>
      </w:r>
    </w:p>
    <w:p w14:paraId="05BDFBD4" w14:textId="57393311" w:rsidR="00F417E9" w:rsidRPr="00685FFE" w:rsidRDefault="00766F7C" w:rsidP="000227ED">
      <w:pPr>
        <w:spacing w:after="0"/>
        <w:rPr>
          <w:rFonts w:ascii="Arial" w:hAnsi="Arial" w:cs="Arial"/>
          <w:b/>
          <w:bCs/>
          <w:sz w:val="24"/>
          <w:szCs w:val="24"/>
        </w:rPr>
      </w:pPr>
      <w:r w:rsidRPr="00685FFE">
        <w:rPr>
          <w:rFonts w:ascii="Arial" w:hAnsi="Arial" w:cs="Arial"/>
          <w:b/>
          <w:bCs/>
          <w:sz w:val="24"/>
          <w:szCs w:val="24"/>
        </w:rPr>
        <w:t xml:space="preserve">Reclamation </w:t>
      </w:r>
      <w:r w:rsidR="00D173AB" w:rsidRPr="00685FFE">
        <w:rPr>
          <w:rFonts w:ascii="Arial" w:hAnsi="Arial" w:cs="Arial"/>
          <w:b/>
          <w:bCs/>
          <w:sz w:val="24"/>
          <w:szCs w:val="24"/>
        </w:rPr>
        <w:t>Plan F20232626RPA</w:t>
      </w:r>
      <w:r w:rsidR="00B5613E" w:rsidRPr="00685FFE">
        <w:rPr>
          <w:rFonts w:ascii="Arial" w:hAnsi="Arial" w:cs="Arial"/>
          <w:b/>
          <w:bCs/>
          <w:sz w:val="24"/>
          <w:szCs w:val="24"/>
        </w:rPr>
        <w:t xml:space="preserve"> </w:t>
      </w:r>
    </w:p>
    <w:p w14:paraId="5D73B3AC" w14:textId="4868FA21" w:rsidR="007272B1" w:rsidRPr="00685FFE" w:rsidRDefault="00D173AB" w:rsidP="000227ED">
      <w:pPr>
        <w:spacing w:after="0"/>
        <w:rPr>
          <w:rFonts w:ascii="Arial" w:hAnsi="Arial" w:cs="Arial"/>
          <w:b/>
          <w:bCs/>
          <w:sz w:val="24"/>
          <w:szCs w:val="24"/>
        </w:rPr>
      </w:pPr>
      <w:r w:rsidRPr="00685FFE">
        <w:rPr>
          <w:rFonts w:ascii="Arial" w:hAnsi="Arial" w:cs="Arial"/>
          <w:b/>
          <w:bCs/>
          <w:sz w:val="24"/>
          <w:szCs w:val="24"/>
        </w:rPr>
        <w:t xml:space="preserve">Integrated </w:t>
      </w:r>
      <w:r w:rsidR="00B5613E" w:rsidRPr="00685FFE">
        <w:rPr>
          <w:rFonts w:ascii="Arial" w:hAnsi="Arial" w:cs="Arial"/>
          <w:b/>
          <w:bCs/>
          <w:sz w:val="24"/>
          <w:szCs w:val="24"/>
        </w:rPr>
        <w:t xml:space="preserve">Waste Management </w:t>
      </w:r>
      <w:r w:rsidR="00F417E9" w:rsidRPr="00685FFE">
        <w:rPr>
          <w:rFonts w:ascii="Arial" w:hAnsi="Arial" w:cs="Arial"/>
          <w:b/>
          <w:bCs/>
          <w:sz w:val="24"/>
          <w:szCs w:val="24"/>
        </w:rPr>
        <w:t>Permit 2023DB0001 for Manh Choh Project</w:t>
      </w:r>
    </w:p>
    <w:p w14:paraId="52050A29" w14:textId="77777777" w:rsidR="00AE334C" w:rsidRDefault="00AE334C">
      <w:pPr>
        <w:rPr>
          <w:rFonts w:ascii="Arial" w:hAnsi="Arial" w:cs="Arial"/>
          <w:sz w:val="24"/>
          <w:szCs w:val="24"/>
        </w:rPr>
      </w:pPr>
    </w:p>
    <w:p w14:paraId="0805C73A" w14:textId="7A7E1553" w:rsidR="00D173AB" w:rsidRDefault="00AE334C">
      <w:pPr>
        <w:rPr>
          <w:rFonts w:ascii="Arial" w:hAnsi="Arial" w:cs="Arial"/>
          <w:sz w:val="24"/>
          <w:szCs w:val="24"/>
        </w:rPr>
      </w:pPr>
      <w:r>
        <w:rPr>
          <w:rFonts w:ascii="Arial" w:hAnsi="Arial" w:cs="Arial"/>
          <w:sz w:val="24"/>
          <w:szCs w:val="24"/>
        </w:rPr>
        <w:t>Dear Sirs:</w:t>
      </w:r>
    </w:p>
    <w:p w14:paraId="6D82D8ED" w14:textId="576E4696" w:rsidR="007F1B15" w:rsidRPr="00B5613E" w:rsidRDefault="00766F7C">
      <w:pPr>
        <w:rPr>
          <w:rFonts w:ascii="Arial" w:hAnsi="Arial" w:cs="Arial"/>
          <w:sz w:val="24"/>
          <w:szCs w:val="24"/>
        </w:rPr>
      </w:pPr>
      <w:r w:rsidRPr="00B5613E">
        <w:rPr>
          <w:rFonts w:ascii="Arial" w:hAnsi="Arial" w:cs="Arial"/>
          <w:sz w:val="24"/>
          <w:szCs w:val="24"/>
        </w:rPr>
        <w:t xml:space="preserve">I object to any approval of the proposed Manh Choh Reclamation Plan </w:t>
      </w:r>
      <w:r w:rsidR="007F1B15" w:rsidRPr="00B5613E">
        <w:rPr>
          <w:rFonts w:ascii="Arial" w:hAnsi="Arial" w:cs="Arial"/>
          <w:sz w:val="24"/>
          <w:szCs w:val="24"/>
        </w:rPr>
        <w:t>or the Manh Choh waste management p</w:t>
      </w:r>
      <w:r w:rsidR="00B5613E">
        <w:rPr>
          <w:rFonts w:ascii="Arial" w:hAnsi="Arial" w:cs="Arial"/>
          <w:sz w:val="24"/>
          <w:szCs w:val="24"/>
        </w:rPr>
        <w:t>lan</w:t>
      </w:r>
      <w:r w:rsidR="007F1B15" w:rsidRPr="00B5613E">
        <w:rPr>
          <w:rFonts w:ascii="Arial" w:hAnsi="Arial" w:cs="Arial"/>
          <w:sz w:val="24"/>
          <w:szCs w:val="24"/>
        </w:rPr>
        <w:t xml:space="preserve">.  Both requests must be denied.  </w:t>
      </w:r>
      <w:r w:rsidR="00B22448">
        <w:rPr>
          <w:rFonts w:ascii="Arial" w:hAnsi="Arial" w:cs="Arial"/>
          <w:sz w:val="24"/>
          <w:szCs w:val="24"/>
        </w:rPr>
        <w:t xml:space="preserve">The Departments of </w:t>
      </w:r>
      <w:r w:rsidR="00AB1069">
        <w:rPr>
          <w:rFonts w:ascii="Arial" w:hAnsi="Arial" w:cs="Arial"/>
          <w:sz w:val="24"/>
          <w:szCs w:val="24"/>
        </w:rPr>
        <w:t>Natural</w:t>
      </w:r>
      <w:r w:rsidR="00B22448">
        <w:rPr>
          <w:rFonts w:ascii="Arial" w:hAnsi="Arial" w:cs="Arial"/>
          <w:sz w:val="24"/>
          <w:szCs w:val="24"/>
        </w:rPr>
        <w:t xml:space="preserve"> Resources </w:t>
      </w:r>
      <w:r w:rsidR="00CF707B">
        <w:rPr>
          <w:rFonts w:ascii="Arial" w:hAnsi="Arial" w:cs="Arial"/>
          <w:sz w:val="24"/>
          <w:szCs w:val="24"/>
        </w:rPr>
        <w:t xml:space="preserve">(DNR) </w:t>
      </w:r>
      <w:r w:rsidR="00B22448">
        <w:rPr>
          <w:rFonts w:ascii="Arial" w:hAnsi="Arial" w:cs="Arial"/>
          <w:sz w:val="24"/>
          <w:szCs w:val="24"/>
        </w:rPr>
        <w:t xml:space="preserve">and Department of Environmental Conservation </w:t>
      </w:r>
      <w:r w:rsidR="00CF707B">
        <w:rPr>
          <w:rFonts w:ascii="Arial" w:hAnsi="Arial" w:cs="Arial"/>
          <w:sz w:val="24"/>
          <w:szCs w:val="24"/>
        </w:rPr>
        <w:t xml:space="preserve">(DEC) </w:t>
      </w:r>
      <w:r w:rsidR="00B22448">
        <w:rPr>
          <w:rFonts w:ascii="Arial" w:hAnsi="Arial" w:cs="Arial"/>
          <w:sz w:val="24"/>
          <w:szCs w:val="24"/>
        </w:rPr>
        <w:t xml:space="preserve">have made </w:t>
      </w:r>
      <w:r w:rsidR="00AB1069">
        <w:rPr>
          <w:rFonts w:ascii="Arial" w:hAnsi="Arial" w:cs="Arial"/>
          <w:sz w:val="24"/>
          <w:szCs w:val="24"/>
        </w:rPr>
        <w:t xml:space="preserve">material misstatements of fact </w:t>
      </w:r>
      <w:r w:rsidR="00B22448">
        <w:rPr>
          <w:rFonts w:ascii="Arial" w:hAnsi="Arial" w:cs="Arial"/>
          <w:sz w:val="24"/>
          <w:szCs w:val="24"/>
        </w:rPr>
        <w:t>on their websites and notices to the public</w:t>
      </w:r>
      <w:r w:rsidR="00321EF6">
        <w:rPr>
          <w:rFonts w:ascii="Arial" w:hAnsi="Arial" w:cs="Arial"/>
          <w:sz w:val="24"/>
          <w:szCs w:val="24"/>
        </w:rPr>
        <w:t xml:space="preserve"> with regard to these two proposals</w:t>
      </w:r>
      <w:r w:rsidR="00AB1069">
        <w:rPr>
          <w:rFonts w:ascii="Arial" w:hAnsi="Arial" w:cs="Arial"/>
          <w:sz w:val="24"/>
          <w:szCs w:val="24"/>
        </w:rPr>
        <w:t xml:space="preserve">. </w:t>
      </w:r>
      <w:r w:rsidR="00D173AB">
        <w:rPr>
          <w:rFonts w:ascii="Arial" w:hAnsi="Arial" w:cs="Arial"/>
          <w:sz w:val="24"/>
          <w:szCs w:val="24"/>
        </w:rPr>
        <w:t xml:space="preserve">The public notice needs to be corrected and a new notice period for public comment needs to be granted.  </w:t>
      </w:r>
      <w:r w:rsidR="007F1B15" w:rsidRPr="00B5613E">
        <w:rPr>
          <w:rFonts w:ascii="Arial" w:hAnsi="Arial" w:cs="Arial"/>
          <w:sz w:val="24"/>
          <w:szCs w:val="24"/>
        </w:rPr>
        <w:t xml:space="preserve">I believe a public hearing is necessary and I ask that DEC and DNR provide public hearings on the </w:t>
      </w:r>
      <w:r w:rsidR="00D173AB">
        <w:rPr>
          <w:rFonts w:ascii="Arial" w:hAnsi="Arial" w:cs="Arial"/>
          <w:sz w:val="24"/>
          <w:szCs w:val="24"/>
        </w:rPr>
        <w:t xml:space="preserve">entire </w:t>
      </w:r>
      <w:r w:rsidR="007F1B15" w:rsidRPr="00B5613E">
        <w:rPr>
          <w:rFonts w:ascii="Arial" w:hAnsi="Arial" w:cs="Arial"/>
          <w:sz w:val="24"/>
          <w:szCs w:val="24"/>
        </w:rPr>
        <w:t>Manh Choh min</w:t>
      </w:r>
      <w:r w:rsidR="00D173AB">
        <w:rPr>
          <w:rFonts w:ascii="Arial" w:hAnsi="Arial" w:cs="Arial"/>
          <w:sz w:val="24"/>
          <w:szCs w:val="24"/>
        </w:rPr>
        <w:t>ing operation</w:t>
      </w:r>
      <w:r w:rsidR="007F1B15" w:rsidRPr="00B5613E">
        <w:rPr>
          <w:rFonts w:ascii="Arial" w:hAnsi="Arial" w:cs="Arial"/>
          <w:sz w:val="24"/>
          <w:szCs w:val="24"/>
        </w:rPr>
        <w:t xml:space="preserve"> before </w:t>
      </w:r>
      <w:r w:rsidR="007F1B15" w:rsidRPr="00A67F08">
        <w:rPr>
          <w:rFonts w:ascii="Arial" w:hAnsi="Arial" w:cs="Arial"/>
          <w:sz w:val="24"/>
          <w:szCs w:val="24"/>
          <w:u w:val="single"/>
        </w:rPr>
        <w:t>any</w:t>
      </w:r>
      <w:r w:rsidR="007F1B15" w:rsidRPr="00B5613E">
        <w:rPr>
          <w:rFonts w:ascii="Arial" w:hAnsi="Arial" w:cs="Arial"/>
          <w:sz w:val="24"/>
          <w:szCs w:val="24"/>
        </w:rPr>
        <w:t xml:space="preserve"> state permits are granted</w:t>
      </w:r>
      <w:r w:rsidR="00A67F08">
        <w:rPr>
          <w:rFonts w:ascii="Arial" w:hAnsi="Arial" w:cs="Arial"/>
          <w:sz w:val="24"/>
          <w:szCs w:val="24"/>
        </w:rPr>
        <w:t xml:space="preserve"> for </w:t>
      </w:r>
      <w:r w:rsidR="00D173AB">
        <w:rPr>
          <w:rFonts w:ascii="Arial" w:hAnsi="Arial" w:cs="Arial"/>
          <w:sz w:val="24"/>
          <w:szCs w:val="24"/>
        </w:rPr>
        <w:t xml:space="preserve">the </w:t>
      </w:r>
      <w:r w:rsidR="00A67F08">
        <w:rPr>
          <w:rFonts w:ascii="Arial" w:hAnsi="Arial" w:cs="Arial"/>
          <w:sz w:val="24"/>
          <w:szCs w:val="24"/>
        </w:rPr>
        <w:t>Manh Choh</w:t>
      </w:r>
      <w:r w:rsidR="00D173AB">
        <w:rPr>
          <w:rFonts w:ascii="Arial" w:hAnsi="Arial" w:cs="Arial"/>
          <w:sz w:val="24"/>
          <w:szCs w:val="24"/>
        </w:rPr>
        <w:t xml:space="preserve"> mining operation, including </w:t>
      </w:r>
      <w:r w:rsidR="00AE334C">
        <w:rPr>
          <w:rFonts w:ascii="Arial" w:hAnsi="Arial" w:cs="Arial"/>
          <w:sz w:val="24"/>
          <w:szCs w:val="24"/>
        </w:rPr>
        <w:t xml:space="preserve">the </w:t>
      </w:r>
      <w:r w:rsidR="00D173AB">
        <w:rPr>
          <w:rFonts w:ascii="Arial" w:hAnsi="Arial" w:cs="Arial"/>
          <w:sz w:val="24"/>
          <w:szCs w:val="24"/>
        </w:rPr>
        <w:t xml:space="preserve">extraction, </w:t>
      </w:r>
      <w:r w:rsidR="00AE334C">
        <w:rPr>
          <w:rFonts w:ascii="Arial" w:hAnsi="Arial" w:cs="Arial"/>
          <w:sz w:val="24"/>
          <w:szCs w:val="24"/>
        </w:rPr>
        <w:t xml:space="preserve">ore </w:t>
      </w:r>
      <w:r w:rsidR="00D173AB">
        <w:rPr>
          <w:rFonts w:ascii="Arial" w:hAnsi="Arial" w:cs="Arial"/>
          <w:sz w:val="24"/>
          <w:szCs w:val="24"/>
        </w:rPr>
        <w:t>transportation</w:t>
      </w:r>
      <w:r w:rsidR="00A67F08">
        <w:rPr>
          <w:rFonts w:ascii="Arial" w:hAnsi="Arial" w:cs="Arial"/>
          <w:sz w:val="24"/>
          <w:szCs w:val="24"/>
        </w:rPr>
        <w:t>,</w:t>
      </w:r>
      <w:r w:rsidR="00D173AB">
        <w:rPr>
          <w:rFonts w:ascii="Arial" w:hAnsi="Arial" w:cs="Arial"/>
          <w:sz w:val="24"/>
          <w:szCs w:val="24"/>
        </w:rPr>
        <w:t xml:space="preserve"> </w:t>
      </w:r>
      <w:r w:rsidR="00AE334C">
        <w:rPr>
          <w:rFonts w:ascii="Arial" w:hAnsi="Arial" w:cs="Arial"/>
          <w:sz w:val="24"/>
          <w:szCs w:val="24"/>
        </w:rPr>
        <w:t>processing</w:t>
      </w:r>
      <w:r w:rsidR="00D173AB">
        <w:rPr>
          <w:rFonts w:ascii="Arial" w:hAnsi="Arial" w:cs="Arial"/>
          <w:sz w:val="24"/>
          <w:szCs w:val="24"/>
        </w:rPr>
        <w:t xml:space="preserve"> and tailings disposal.</w:t>
      </w:r>
      <w:r w:rsidR="00204A90">
        <w:rPr>
          <w:rFonts w:ascii="Arial" w:hAnsi="Arial" w:cs="Arial"/>
          <w:sz w:val="24"/>
          <w:szCs w:val="24"/>
        </w:rPr>
        <w:t xml:space="preserve">  </w:t>
      </w:r>
      <w:r w:rsidR="00AE334C">
        <w:rPr>
          <w:rFonts w:ascii="Arial" w:hAnsi="Arial" w:cs="Arial"/>
          <w:sz w:val="24"/>
          <w:szCs w:val="24"/>
        </w:rPr>
        <w:t>And b</w:t>
      </w:r>
      <w:r w:rsidR="00204A90">
        <w:rPr>
          <w:rFonts w:ascii="Arial" w:hAnsi="Arial" w:cs="Arial"/>
          <w:sz w:val="24"/>
          <w:szCs w:val="24"/>
        </w:rPr>
        <w:t xml:space="preserve">ecause the </w:t>
      </w:r>
      <w:r w:rsidR="00AE334C">
        <w:rPr>
          <w:rFonts w:ascii="Arial" w:hAnsi="Arial" w:cs="Arial"/>
          <w:sz w:val="24"/>
          <w:szCs w:val="24"/>
        </w:rPr>
        <w:t xml:space="preserve">public </w:t>
      </w:r>
      <w:r w:rsidR="00204A90">
        <w:rPr>
          <w:rFonts w:ascii="Arial" w:hAnsi="Arial" w:cs="Arial"/>
          <w:sz w:val="24"/>
          <w:szCs w:val="24"/>
        </w:rPr>
        <w:t xml:space="preserve">notice and comment directions were confusing and </w:t>
      </w:r>
      <w:r w:rsidR="000227ED">
        <w:rPr>
          <w:rFonts w:ascii="Arial" w:hAnsi="Arial" w:cs="Arial"/>
          <w:sz w:val="24"/>
          <w:szCs w:val="24"/>
        </w:rPr>
        <w:t xml:space="preserve">the links </w:t>
      </w:r>
      <w:r w:rsidR="00204A90">
        <w:rPr>
          <w:rFonts w:ascii="Arial" w:hAnsi="Arial" w:cs="Arial"/>
          <w:sz w:val="24"/>
          <w:szCs w:val="24"/>
        </w:rPr>
        <w:t>did not always work, these permits need to be noticed again</w:t>
      </w:r>
      <w:r w:rsidR="00AE334C">
        <w:rPr>
          <w:rFonts w:ascii="Arial" w:hAnsi="Arial" w:cs="Arial"/>
          <w:sz w:val="24"/>
          <w:szCs w:val="24"/>
        </w:rPr>
        <w:t>, with correct information, and</w:t>
      </w:r>
      <w:r w:rsidR="00204A90">
        <w:rPr>
          <w:rFonts w:ascii="Arial" w:hAnsi="Arial" w:cs="Arial"/>
          <w:sz w:val="24"/>
          <w:szCs w:val="24"/>
        </w:rPr>
        <w:t xml:space="preserve"> an additional 30-day period</w:t>
      </w:r>
      <w:r w:rsidR="00AE334C">
        <w:rPr>
          <w:rFonts w:ascii="Arial" w:hAnsi="Arial" w:cs="Arial"/>
          <w:sz w:val="24"/>
          <w:szCs w:val="24"/>
        </w:rPr>
        <w:t xml:space="preserve"> for public comment should be allowed</w:t>
      </w:r>
      <w:r w:rsidR="00781770">
        <w:rPr>
          <w:rFonts w:ascii="Arial" w:hAnsi="Arial" w:cs="Arial"/>
          <w:sz w:val="24"/>
          <w:szCs w:val="24"/>
        </w:rPr>
        <w:t>, after all information, reports, plans, letters of credit, etc., are first made available to the public online</w:t>
      </w:r>
      <w:r w:rsidR="00204A90">
        <w:rPr>
          <w:rFonts w:ascii="Arial" w:hAnsi="Arial" w:cs="Arial"/>
          <w:sz w:val="24"/>
          <w:szCs w:val="24"/>
        </w:rPr>
        <w:t>.</w:t>
      </w:r>
    </w:p>
    <w:p w14:paraId="382D48D0" w14:textId="1A67856F" w:rsidR="00321EF6" w:rsidRPr="00321EF6" w:rsidRDefault="00321EF6">
      <w:pPr>
        <w:rPr>
          <w:rFonts w:ascii="Arial" w:hAnsi="Arial" w:cs="Arial"/>
          <w:b/>
          <w:bCs/>
          <w:sz w:val="24"/>
          <w:szCs w:val="24"/>
        </w:rPr>
      </w:pPr>
      <w:r w:rsidRPr="00321EF6">
        <w:rPr>
          <w:rFonts w:ascii="Arial" w:hAnsi="Arial" w:cs="Arial"/>
          <w:b/>
          <w:bCs/>
          <w:sz w:val="24"/>
          <w:szCs w:val="24"/>
        </w:rPr>
        <w:t>Material misstatements from DNR and DEC</w:t>
      </w:r>
      <w:r>
        <w:rPr>
          <w:rFonts w:ascii="Arial" w:hAnsi="Arial" w:cs="Arial"/>
          <w:b/>
          <w:bCs/>
          <w:sz w:val="24"/>
          <w:szCs w:val="24"/>
        </w:rPr>
        <w:t xml:space="preserve"> as to Manh Choh Mine</w:t>
      </w:r>
      <w:r w:rsidR="00D173AB">
        <w:rPr>
          <w:rFonts w:ascii="Arial" w:hAnsi="Arial" w:cs="Arial"/>
          <w:b/>
          <w:bCs/>
          <w:sz w:val="24"/>
          <w:szCs w:val="24"/>
        </w:rPr>
        <w:t xml:space="preserve"> owner</w:t>
      </w:r>
      <w:r>
        <w:rPr>
          <w:rFonts w:ascii="Arial" w:hAnsi="Arial" w:cs="Arial"/>
          <w:b/>
          <w:bCs/>
          <w:sz w:val="24"/>
          <w:szCs w:val="24"/>
        </w:rPr>
        <w:t>, permittee</w:t>
      </w:r>
    </w:p>
    <w:p w14:paraId="119B054D" w14:textId="5F04D645" w:rsidR="00204A90" w:rsidRDefault="00204A90" w:rsidP="00204A90">
      <w:pPr>
        <w:rPr>
          <w:rFonts w:ascii="Arial" w:hAnsi="Arial" w:cs="Arial"/>
          <w:sz w:val="24"/>
          <w:szCs w:val="24"/>
        </w:rPr>
      </w:pPr>
      <w:r w:rsidRPr="00B5613E">
        <w:rPr>
          <w:rFonts w:ascii="Arial" w:hAnsi="Arial" w:cs="Arial"/>
          <w:sz w:val="24"/>
          <w:szCs w:val="24"/>
        </w:rPr>
        <w:t xml:space="preserve">The first question </w:t>
      </w:r>
      <w:r w:rsidR="00DF2ECB">
        <w:rPr>
          <w:rFonts w:ascii="Arial" w:hAnsi="Arial" w:cs="Arial"/>
          <w:sz w:val="24"/>
          <w:szCs w:val="24"/>
        </w:rPr>
        <w:t>we</w:t>
      </w:r>
      <w:r w:rsidRPr="00B5613E">
        <w:rPr>
          <w:rFonts w:ascii="Arial" w:hAnsi="Arial" w:cs="Arial"/>
          <w:sz w:val="24"/>
          <w:szCs w:val="24"/>
        </w:rPr>
        <w:t xml:space="preserve"> should ask </w:t>
      </w:r>
      <w:r w:rsidR="00CF707B">
        <w:rPr>
          <w:rFonts w:ascii="Arial" w:hAnsi="Arial" w:cs="Arial"/>
          <w:sz w:val="24"/>
          <w:szCs w:val="24"/>
        </w:rPr>
        <w:t>i</w:t>
      </w:r>
      <w:r w:rsidR="00DF2ECB">
        <w:rPr>
          <w:rFonts w:ascii="Arial" w:hAnsi="Arial" w:cs="Arial"/>
          <w:sz w:val="24"/>
          <w:szCs w:val="24"/>
        </w:rPr>
        <w:t>ourselves</w:t>
      </w:r>
      <w:r w:rsidR="00CF707B">
        <w:rPr>
          <w:rFonts w:ascii="Arial" w:hAnsi="Arial" w:cs="Arial"/>
          <w:sz w:val="24"/>
          <w:szCs w:val="24"/>
        </w:rPr>
        <w:t xml:space="preserve"> </w:t>
      </w:r>
      <w:r w:rsidRPr="00B5613E">
        <w:rPr>
          <w:rFonts w:ascii="Arial" w:hAnsi="Arial" w:cs="Arial"/>
          <w:sz w:val="24"/>
          <w:szCs w:val="24"/>
        </w:rPr>
        <w:t xml:space="preserve">is “Who is the prospective permittee?” </w:t>
      </w:r>
      <w:r>
        <w:rPr>
          <w:rFonts w:ascii="Arial" w:hAnsi="Arial" w:cs="Arial"/>
          <w:sz w:val="24"/>
          <w:szCs w:val="24"/>
        </w:rPr>
        <w:t>Who will perform the duties outlined in the permit and who is signing as the party responsible for payment of any bond or failure to perform?  Both DEC and DNR have failed to a</w:t>
      </w:r>
      <w:r w:rsidR="00781770">
        <w:rPr>
          <w:rFonts w:ascii="Arial" w:hAnsi="Arial" w:cs="Arial"/>
          <w:sz w:val="24"/>
          <w:szCs w:val="24"/>
        </w:rPr>
        <w:t>nswer</w:t>
      </w:r>
      <w:r>
        <w:rPr>
          <w:rFonts w:ascii="Arial" w:hAnsi="Arial" w:cs="Arial"/>
          <w:sz w:val="24"/>
          <w:szCs w:val="24"/>
        </w:rPr>
        <w:t xml:space="preserve"> these questions</w:t>
      </w:r>
      <w:r w:rsidR="00AE334C">
        <w:rPr>
          <w:rFonts w:ascii="Arial" w:hAnsi="Arial" w:cs="Arial"/>
          <w:sz w:val="24"/>
          <w:szCs w:val="24"/>
        </w:rPr>
        <w:t xml:space="preserve"> correctly in the information provided to the public.</w:t>
      </w:r>
    </w:p>
    <w:p w14:paraId="7D207503" w14:textId="089F7DF9" w:rsidR="00B5613E" w:rsidRDefault="007F1B15">
      <w:pPr>
        <w:rPr>
          <w:rFonts w:ascii="Arial" w:hAnsi="Arial" w:cs="Arial"/>
          <w:sz w:val="24"/>
          <w:szCs w:val="24"/>
        </w:rPr>
      </w:pPr>
      <w:r w:rsidRPr="00B5613E">
        <w:rPr>
          <w:rFonts w:ascii="Arial" w:hAnsi="Arial" w:cs="Arial"/>
          <w:sz w:val="24"/>
          <w:szCs w:val="24"/>
        </w:rPr>
        <w:t xml:space="preserve">On </w:t>
      </w:r>
      <w:r w:rsidR="00204A90">
        <w:rPr>
          <w:rFonts w:ascii="Arial" w:hAnsi="Arial" w:cs="Arial"/>
          <w:sz w:val="24"/>
          <w:szCs w:val="24"/>
        </w:rPr>
        <w:t>the</w:t>
      </w:r>
      <w:r w:rsidRPr="00B5613E">
        <w:rPr>
          <w:rFonts w:ascii="Arial" w:hAnsi="Arial" w:cs="Arial"/>
          <w:sz w:val="24"/>
          <w:szCs w:val="24"/>
        </w:rPr>
        <w:t xml:space="preserve"> website</w:t>
      </w:r>
      <w:r w:rsidR="00204A90">
        <w:rPr>
          <w:rFonts w:ascii="Arial" w:hAnsi="Arial" w:cs="Arial"/>
          <w:sz w:val="24"/>
          <w:szCs w:val="24"/>
        </w:rPr>
        <w:t xml:space="preserve"> to which the public is directed, to comment</w:t>
      </w:r>
      <w:r w:rsidR="00321EF6">
        <w:rPr>
          <w:rFonts w:ascii="Arial" w:hAnsi="Arial" w:cs="Arial"/>
          <w:sz w:val="24"/>
          <w:szCs w:val="24"/>
        </w:rPr>
        <w:t xml:space="preserve"> about the Manh Choh mine and the two permits up for public review, </w:t>
      </w:r>
      <w:r w:rsidRPr="00B5613E">
        <w:rPr>
          <w:rFonts w:ascii="Arial" w:hAnsi="Arial" w:cs="Arial"/>
          <w:sz w:val="24"/>
          <w:szCs w:val="24"/>
        </w:rPr>
        <w:t xml:space="preserve">the DNR </w:t>
      </w:r>
      <w:r w:rsidR="00D173AB">
        <w:rPr>
          <w:rFonts w:ascii="Arial" w:hAnsi="Arial" w:cs="Arial"/>
          <w:sz w:val="24"/>
          <w:szCs w:val="24"/>
        </w:rPr>
        <w:t xml:space="preserve">(the website to which both agencies refer the public) </w:t>
      </w:r>
      <w:r w:rsidRPr="00B5613E">
        <w:rPr>
          <w:rFonts w:ascii="Arial" w:hAnsi="Arial" w:cs="Arial"/>
          <w:sz w:val="24"/>
          <w:szCs w:val="24"/>
        </w:rPr>
        <w:t xml:space="preserve">incorrectly states in the first sentence: </w:t>
      </w:r>
    </w:p>
    <w:p w14:paraId="72ABFEAC" w14:textId="6734E9CF" w:rsidR="00B5613E" w:rsidRPr="00B5613E" w:rsidRDefault="007F1B15">
      <w:pPr>
        <w:rPr>
          <w:rFonts w:ascii="Arial" w:hAnsi="Arial" w:cs="Arial"/>
          <w:color w:val="212529"/>
          <w:sz w:val="24"/>
          <w:szCs w:val="24"/>
          <w:shd w:val="clear" w:color="auto" w:fill="FFFFFF"/>
        </w:rPr>
      </w:pPr>
      <w:r w:rsidRPr="00B5613E">
        <w:rPr>
          <w:rFonts w:ascii="Arial" w:hAnsi="Arial" w:cs="Arial"/>
          <w:sz w:val="24"/>
          <w:szCs w:val="24"/>
        </w:rPr>
        <w:lastRenderedPageBreak/>
        <w:t>“</w:t>
      </w:r>
      <w:r w:rsidR="00B5613E" w:rsidRPr="00B5613E">
        <w:rPr>
          <w:rFonts w:ascii="Arial" w:hAnsi="Arial" w:cs="Arial"/>
          <w:color w:val="212529"/>
          <w:sz w:val="24"/>
          <w:szCs w:val="24"/>
          <w:shd w:val="clear" w:color="auto" w:fill="FFFFFF"/>
        </w:rPr>
        <w:t>Kinross Gold Corporation (Kinross), the majority owner of a joint venture (Peak Gold) with Contango ORE, Inc., has proposed to develop an open pit gold mine approximately 10 miles south of Tok, Alaska, in the Upper Tanana Athabascan Village of Tetlin.</w:t>
      </w:r>
      <w:r w:rsidR="00B5613E">
        <w:rPr>
          <w:rFonts w:ascii="Arial" w:hAnsi="Arial" w:cs="Arial"/>
          <w:color w:val="212529"/>
          <w:sz w:val="24"/>
          <w:szCs w:val="24"/>
          <w:shd w:val="clear" w:color="auto" w:fill="FFFFFF"/>
        </w:rPr>
        <w:t>”</w:t>
      </w:r>
    </w:p>
    <w:p w14:paraId="6306E609" w14:textId="69320C7A" w:rsidR="00AE334C" w:rsidRDefault="00B5613E">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The proposed permits </w:t>
      </w:r>
      <w:r w:rsidR="00CF707B">
        <w:rPr>
          <w:rFonts w:ascii="Arial" w:hAnsi="Arial" w:cs="Arial"/>
          <w:color w:val="212529"/>
          <w:sz w:val="24"/>
          <w:szCs w:val="24"/>
          <w:shd w:val="clear" w:color="auto" w:fill="FFFFFF"/>
        </w:rPr>
        <w:t xml:space="preserve">themselves prove this statement is not correct. </w:t>
      </w:r>
      <w:r>
        <w:rPr>
          <w:rFonts w:ascii="Arial" w:hAnsi="Arial" w:cs="Arial"/>
          <w:color w:val="212529"/>
          <w:sz w:val="24"/>
          <w:szCs w:val="24"/>
          <w:shd w:val="clear" w:color="auto" w:fill="FFFFFF"/>
        </w:rPr>
        <w:t xml:space="preserve">It is not Kinross Gold Corporation </w:t>
      </w:r>
      <w:r w:rsidR="00781770">
        <w:rPr>
          <w:rFonts w:ascii="Arial" w:hAnsi="Arial" w:cs="Arial"/>
          <w:color w:val="212529"/>
          <w:sz w:val="24"/>
          <w:szCs w:val="24"/>
          <w:shd w:val="clear" w:color="auto" w:fill="FFFFFF"/>
        </w:rPr>
        <w:t xml:space="preserve">or Contango ORE, Inc. </w:t>
      </w:r>
      <w:r>
        <w:rPr>
          <w:rFonts w:ascii="Arial" w:hAnsi="Arial" w:cs="Arial"/>
          <w:color w:val="212529"/>
          <w:sz w:val="24"/>
          <w:szCs w:val="24"/>
          <w:shd w:val="clear" w:color="auto" w:fill="FFFFFF"/>
        </w:rPr>
        <w:t xml:space="preserve">that will be the permittee or the liable party on any </w:t>
      </w:r>
      <w:r w:rsidR="00781770">
        <w:rPr>
          <w:rFonts w:ascii="Arial" w:hAnsi="Arial" w:cs="Arial"/>
          <w:color w:val="212529"/>
          <w:sz w:val="24"/>
          <w:szCs w:val="24"/>
          <w:shd w:val="clear" w:color="auto" w:fill="FFFFFF"/>
        </w:rPr>
        <w:t>permit</w:t>
      </w:r>
      <w:r>
        <w:rPr>
          <w:rFonts w:ascii="Arial" w:hAnsi="Arial" w:cs="Arial"/>
          <w:color w:val="212529"/>
          <w:sz w:val="24"/>
          <w:szCs w:val="24"/>
          <w:shd w:val="clear" w:color="auto" w:fill="FFFFFF"/>
        </w:rPr>
        <w:t xml:space="preserve">.  Instead, it is Peak Gold, LLC. </w:t>
      </w:r>
      <w:r w:rsidR="00734D9D">
        <w:rPr>
          <w:rFonts w:ascii="Arial" w:hAnsi="Arial" w:cs="Arial"/>
          <w:color w:val="212529"/>
          <w:sz w:val="24"/>
          <w:szCs w:val="24"/>
          <w:shd w:val="clear" w:color="auto" w:fill="FFFFFF"/>
        </w:rPr>
        <w:t xml:space="preserve"> There will be no liability for either member of Peak Gold, LLC – even if their members were  Kinross Gold Corporation or Contango ORE, Inc., which they are</w:t>
      </w:r>
      <w:r w:rsidR="00AE334C">
        <w:rPr>
          <w:rFonts w:ascii="Arial" w:hAnsi="Arial" w:cs="Arial"/>
          <w:color w:val="212529"/>
          <w:sz w:val="24"/>
          <w:szCs w:val="24"/>
          <w:shd w:val="clear" w:color="auto" w:fill="FFFFFF"/>
        </w:rPr>
        <w:t xml:space="preserve"> not</w:t>
      </w:r>
      <w:r w:rsidR="00734D9D">
        <w:rPr>
          <w:rFonts w:ascii="Arial" w:hAnsi="Arial" w:cs="Arial"/>
          <w:color w:val="212529"/>
          <w:sz w:val="24"/>
          <w:szCs w:val="24"/>
          <w:shd w:val="clear" w:color="auto" w:fill="FFFFFF"/>
        </w:rPr>
        <w:t xml:space="preserve">.  </w:t>
      </w:r>
    </w:p>
    <w:p w14:paraId="0FB14486" w14:textId="68FA3D19" w:rsidR="00B22448" w:rsidRDefault="00734D9D">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Because of this material misstatement of fact, the DNR and DEC need to </w:t>
      </w:r>
      <w:proofErr w:type="spellStart"/>
      <w:r>
        <w:rPr>
          <w:rFonts w:ascii="Arial" w:hAnsi="Arial" w:cs="Arial"/>
          <w:color w:val="212529"/>
          <w:sz w:val="24"/>
          <w:szCs w:val="24"/>
          <w:shd w:val="clear" w:color="auto" w:fill="FFFFFF"/>
        </w:rPr>
        <w:t>renotice</w:t>
      </w:r>
      <w:proofErr w:type="spellEnd"/>
      <w:r>
        <w:rPr>
          <w:rFonts w:ascii="Arial" w:hAnsi="Arial" w:cs="Arial"/>
          <w:color w:val="212529"/>
          <w:sz w:val="24"/>
          <w:szCs w:val="24"/>
          <w:shd w:val="clear" w:color="auto" w:fill="FFFFFF"/>
        </w:rPr>
        <w:t xml:space="preserve"> the public and state correctly who the permittee will be.  This </w:t>
      </w:r>
      <w:r w:rsidR="00204A90">
        <w:rPr>
          <w:rFonts w:ascii="Arial" w:hAnsi="Arial" w:cs="Arial"/>
          <w:color w:val="212529"/>
          <w:sz w:val="24"/>
          <w:szCs w:val="24"/>
          <w:shd w:val="clear" w:color="auto" w:fill="FFFFFF"/>
        </w:rPr>
        <w:t>would be</w:t>
      </w:r>
      <w:r>
        <w:rPr>
          <w:rFonts w:ascii="Arial" w:hAnsi="Arial" w:cs="Arial"/>
          <w:color w:val="212529"/>
          <w:sz w:val="24"/>
          <w:szCs w:val="24"/>
          <w:shd w:val="clear" w:color="auto" w:fill="FFFFFF"/>
        </w:rPr>
        <w:t xml:space="preserve"> the liable party and party responsible on </w:t>
      </w:r>
      <w:r w:rsidR="00D173AB">
        <w:rPr>
          <w:rFonts w:ascii="Arial" w:hAnsi="Arial" w:cs="Arial"/>
          <w:color w:val="212529"/>
          <w:sz w:val="24"/>
          <w:szCs w:val="24"/>
          <w:shd w:val="clear" w:color="auto" w:fill="FFFFFF"/>
        </w:rPr>
        <w:t>any bo</w:t>
      </w:r>
      <w:r>
        <w:rPr>
          <w:rFonts w:ascii="Arial" w:hAnsi="Arial" w:cs="Arial"/>
          <w:color w:val="212529"/>
          <w:sz w:val="24"/>
          <w:szCs w:val="24"/>
          <w:shd w:val="clear" w:color="auto" w:fill="FFFFFF"/>
        </w:rPr>
        <w:t>nd</w:t>
      </w:r>
      <w:r w:rsidR="00D173AB">
        <w:rPr>
          <w:rFonts w:ascii="Arial" w:hAnsi="Arial" w:cs="Arial"/>
          <w:color w:val="212529"/>
          <w:sz w:val="24"/>
          <w:szCs w:val="24"/>
          <w:shd w:val="clear" w:color="auto" w:fill="FFFFFF"/>
        </w:rPr>
        <w:t>s</w:t>
      </w:r>
      <w:r>
        <w:rPr>
          <w:rFonts w:ascii="Arial" w:hAnsi="Arial" w:cs="Arial"/>
          <w:color w:val="212529"/>
          <w:sz w:val="24"/>
          <w:szCs w:val="24"/>
          <w:shd w:val="clear" w:color="auto" w:fill="FFFFFF"/>
        </w:rPr>
        <w:t>.  It will not be Kinross Gold Corporation or Contango ORE, Inc.</w:t>
      </w:r>
      <w:r w:rsidR="00204A90">
        <w:rPr>
          <w:rFonts w:ascii="Arial" w:hAnsi="Arial" w:cs="Arial"/>
          <w:color w:val="212529"/>
          <w:sz w:val="24"/>
          <w:szCs w:val="24"/>
          <w:shd w:val="clear" w:color="auto" w:fill="FFFFFF"/>
        </w:rPr>
        <w:t xml:space="preserve"> as the state represents.</w:t>
      </w:r>
    </w:p>
    <w:p w14:paraId="12C007D9" w14:textId="63077E9B" w:rsidR="00204A90" w:rsidRDefault="00734D9D">
      <w:pPr>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Contrary to the state’s website, </w:t>
      </w:r>
      <w:r w:rsidR="00B22448">
        <w:rPr>
          <w:rFonts w:ascii="Arial" w:hAnsi="Arial" w:cs="Arial"/>
          <w:color w:val="212529"/>
          <w:sz w:val="24"/>
          <w:szCs w:val="24"/>
          <w:shd w:val="clear" w:color="auto" w:fill="FFFFFF"/>
        </w:rPr>
        <w:t>Peak Gold, LLC</w:t>
      </w:r>
      <w:r w:rsidR="00B5613E">
        <w:rPr>
          <w:rFonts w:ascii="Arial" w:hAnsi="Arial" w:cs="Arial"/>
          <w:color w:val="212529"/>
          <w:sz w:val="24"/>
          <w:szCs w:val="24"/>
          <w:shd w:val="clear" w:color="auto" w:fill="FFFFFF"/>
        </w:rPr>
        <w:t xml:space="preserve"> is not a joint venture</w:t>
      </w:r>
      <w:r w:rsidR="007A31EB">
        <w:rPr>
          <w:rFonts w:ascii="Arial" w:hAnsi="Arial" w:cs="Arial"/>
          <w:color w:val="212529"/>
          <w:sz w:val="24"/>
          <w:szCs w:val="24"/>
          <w:shd w:val="clear" w:color="auto" w:fill="FFFFFF"/>
        </w:rPr>
        <w:t xml:space="preserve"> between Kinross and Contango. Usually, i</w:t>
      </w:r>
      <w:r w:rsidR="00204A90">
        <w:rPr>
          <w:rFonts w:ascii="Arial" w:hAnsi="Arial" w:cs="Arial"/>
          <w:color w:val="212529"/>
          <w:sz w:val="24"/>
          <w:szCs w:val="24"/>
          <w:shd w:val="clear" w:color="auto" w:fill="FFFFFF"/>
        </w:rPr>
        <w:t xml:space="preserve">n a joint venture, each joint </w:t>
      </w:r>
      <w:proofErr w:type="spellStart"/>
      <w:r w:rsidR="00204A90">
        <w:rPr>
          <w:rFonts w:ascii="Arial" w:hAnsi="Arial" w:cs="Arial"/>
          <w:color w:val="212529"/>
          <w:sz w:val="24"/>
          <w:szCs w:val="24"/>
          <w:shd w:val="clear" w:color="auto" w:fill="FFFFFF"/>
        </w:rPr>
        <w:t>venturer</w:t>
      </w:r>
      <w:proofErr w:type="spellEnd"/>
      <w:r w:rsidR="00204A90">
        <w:rPr>
          <w:rFonts w:ascii="Arial" w:hAnsi="Arial" w:cs="Arial"/>
          <w:color w:val="212529"/>
          <w:sz w:val="24"/>
          <w:szCs w:val="24"/>
          <w:shd w:val="clear" w:color="auto" w:fill="FFFFFF"/>
        </w:rPr>
        <w:t xml:space="preserve"> is liable jointly and severally for all liabilities of the joint venture.  In a limited liability company, the members are only liable up to the amount contributed to the company, and can allow it to go bankrupt.</w:t>
      </w:r>
      <w:r w:rsidR="000227ED">
        <w:rPr>
          <w:rFonts w:ascii="Arial" w:hAnsi="Arial" w:cs="Arial"/>
          <w:color w:val="212529"/>
          <w:sz w:val="24"/>
          <w:szCs w:val="24"/>
          <w:shd w:val="clear" w:color="auto" w:fill="FFFFFF"/>
        </w:rPr>
        <w:t xml:space="preserve">  By saying a joint venture is involved, the state has misrepresented the liability of the members of Peak Gold</w:t>
      </w:r>
      <w:r w:rsidR="007A31EB">
        <w:rPr>
          <w:rFonts w:ascii="Arial" w:hAnsi="Arial" w:cs="Arial"/>
          <w:color w:val="212529"/>
          <w:sz w:val="24"/>
          <w:szCs w:val="24"/>
          <w:shd w:val="clear" w:color="auto" w:fill="FFFFFF"/>
        </w:rPr>
        <w:t xml:space="preserve">, and represented that Kinross and Contango each will be </w:t>
      </w:r>
      <w:r w:rsidR="00AE334C">
        <w:rPr>
          <w:rFonts w:ascii="Arial" w:hAnsi="Arial" w:cs="Arial"/>
          <w:color w:val="212529"/>
          <w:sz w:val="24"/>
          <w:szCs w:val="24"/>
          <w:shd w:val="clear" w:color="auto" w:fill="FFFFFF"/>
        </w:rPr>
        <w:t xml:space="preserve">jointly and severally </w:t>
      </w:r>
      <w:r w:rsidR="007A31EB">
        <w:rPr>
          <w:rFonts w:ascii="Arial" w:hAnsi="Arial" w:cs="Arial"/>
          <w:color w:val="212529"/>
          <w:sz w:val="24"/>
          <w:szCs w:val="24"/>
          <w:shd w:val="clear" w:color="auto" w:fill="FFFFFF"/>
        </w:rPr>
        <w:t>liable for the performance of Peak Gold, when th</w:t>
      </w:r>
      <w:r w:rsidR="000227ED">
        <w:rPr>
          <w:rFonts w:ascii="Arial" w:hAnsi="Arial" w:cs="Arial"/>
          <w:color w:val="212529"/>
          <w:sz w:val="24"/>
          <w:szCs w:val="24"/>
          <w:shd w:val="clear" w:color="auto" w:fill="FFFFFF"/>
        </w:rPr>
        <w:t>ey will not be liable</w:t>
      </w:r>
      <w:r w:rsidR="007A31EB">
        <w:rPr>
          <w:rFonts w:ascii="Arial" w:hAnsi="Arial" w:cs="Arial"/>
          <w:color w:val="212529"/>
          <w:sz w:val="24"/>
          <w:szCs w:val="24"/>
          <w:shd w:val="clear" w:color="auto" w:fill="FFFFFF"/>
        </w:rPr>
        <w:t>, absent special circumstances</w:t>
      </w:r>
      <w:r w:rsidR="000227ED">
        <w:rPr>
          <w:rFonts w:ascii="Arial" w:hAnsi="Arial" w:cs="Arial"/>
          <w:color w:val="212529"/>
          <w:sz w:val="24"/>
          <w:szCs w:val="24"/>
          <w:shd w:val="clear" w:color="auto" w:fill="FFFFFF"/>
        </w:rPr>
        <w:t>.</w:t>
      </w:r>
    </w:p>
    <w:p w14:paraId="0E087D23" w14:textId="4BDAD34F" w:rsidR="00AB1069" w:rsidRDefault="00204A90">
      <w:pPr>
        <w:rPr>
          <w:rFonts w:ascii="Arial" w:hAnsi="Arial" w:cs="Arial"/>
          <w:sz w:val="24"/>
          <w:szCs w:val="24"/>
        </w:rPr>
      </w:pPr>
      <w:r>
        <w:rPr>
          <w:rFonts w:ascii="Arial" w:hAnsi="Arial" w:cs="Arial"/>
          <w:color w:val="212529"/>
          <w:sz w:val="24"/>
          <w:szCs w:val="24"/>
          <w:shd w:val="clear" w:color="auto" w:fill="FFFFFF"/>
        </w:rPr>
        <w:t>But this misrepresentation is even worse.  The members of Peak Gold</w:t>
      </w:r>
      <w:r w:rsidR="007A31EB">
        <w:rPr>
          <w:rFonts w:ascii="Arial" w:hAnsi="Arial" w:cs="Arial"/>
          <w:color w:val="212529"/>
          <w:sz w:val="24"/>
          <w:szCs w:val="24"/>
          <w:shd w:val="clear" w:color="auto" w:fill="FFFFFF"/>
        </w:rPr>
        <w:t>,</w:t>
      </w:r>
      <w:r>
        <w:rPr>
          <w:rFonts w:ascii="Arial" w:hAnsi="Arial" w:cs="Arial"/>
          <w:color w:val="212529"/>
          <w:sz w:val="24"/>
          <w:szCs w:val="24"/>
          <w:shd w:val="clear" w:color="auto" w:fill="FFFFFF"/>
        </w:rPr>
        <w:t xml:space="preserve"> LLC are</w:t>
      </w:r>
      <w:r w:rsidR="00B22448">
        <w:rPr>
          <w:rFonts w:ascii="Arial" w:hAnsi="Arial" w:cs="Arial"/>
          <w:color w:val="212529"/>
          <w:sz w:val="24"/>
          <w:szCs w:val="24"/>
          <w:shd w:val="clear" w:color="auto" w:fill="FFFFFF"/>
        </w:rPr>
        <w:t xml:space="preserve"> not Kinross Gold Corporation and Contango ORE, Inc.</w:t>
      </w:r>
      <w:r w:rsidR="00AB1069">
        <w:rPr>
          <w:rFonts w:ascii="Arial" w:hAnsi="Arial" w:cs="Arial"/>
          <w:color w:val="212529"/>
          <w:sz w:val="24"/>
          <w:szCs w:val="24"/>
          <w:shd w:val="clear" w:color="auto" w:fill="FFFFFF"/>
        </w:rPr>
        <w:t xml:space="preserve">, as stated on the state’s websites.  </w:t>
      </w:r>
      <w:r w:rsidR="00B22448">
        <w:rPr>
          <w:rFonts w:ascii="Arial" w:hAnsi="Arial" w:cs="Arial"/>
          <w:color w:val="212529"/>
          <w:sz w:val="24"/>
          <w:szCs w:val="24"/>
          <w:shd w:val="clear" w:color="auto" w:fill="FFFFFF"/>
        </w:rPr>
        <w:t>The Alaska Department of Commerce, Corporations Division, lists Peak Gold, LLC as Alaska foreign entity #10026433, a Delaware limited liability company (not a joint venture.)  Entity #10026433 is owned</w:t>
      </w:r>
      <w:r w:rsidR="00B5613E" w:rsidRPr="00B5613E">
        <w:rPr>
          <w:rFonts w:ascii="Arial" w:hAnsi="Arial" w:cs="Arial"/>
          <w:sz w:val="24"/>
          <w:szCs w:val="24"/>
        </w:rPr>
        <w:t xml:space="preserve"> </w:t>
      </w:r>
      <w:r w:rsidR="00AB1069">
        <w:rPr>
          <w:rFonts w:ascii="Arial" w:hAnsi="Arial" w:cs="Arial"/>
          <w:sz w:val="24"/>
          <w:szCs w:val="24"/>
        </w:rPr>
        <w:t xml:space="preserve">30% by Core Alaska, LLC (not by Contango ORE, Inc.) and 70% by KG Mining (Alaska), Inc. (not by Kinross Gold Corporation.) </w:t>
      </w:r>
    </w:p>
    <w:p w14:paraId="57E56BDA" w14:textId="1A901335" w:rsidR="007F1B15" w:rsidRDefault="005B75CE">
      <w:pPr>
        <w:rPr>
          <w:rFonts w:ascii="Arial" w:hAnsi="Arial" w:cs="Arial"/>
          <w:sz w:val="24"/>
          <w:szCs w:val="24"/>
        </w:rPr>
      </w:pPr>
      <w:r>
        <w:rPr>
          <w:rFonts w:ascii="Arial" w:hAnsi="Arial" w:cs="Arial"/>
          <w:sz w:val="24"/>
          <w:szCs w:val="24"/>
        </w:rPr>
        <w:t xml:space="preserve">Worse still, </w:t>
      </w:r>
      <w:r w:rsidR="00AB1069" w:rsidRPr="00AB1069">
        <w:rPr>
          <w:rFonts w:ascii="Arial" w:hAnsi="Arial" w:cs="Arial"/>
          <w:sz w:val="24"/>
          <w:szCs w:val="24"/>
        </w:rPr>
        <w:t>KG Mining (Alaska), Inc.</w:t>
      </w:r>
      <w:r w:rsidR="00F71764">
        <w:rPr>
          <w:rFonts w:ascii="Arial" w:hAnsi="Arial" w:cs="Arial"/>
          <w:sz w:val="24"/>
          <w:szCs w:val="24"/>
        </w:rPr>
        <w:t xml:space="preserve"> – the real 70% owner and manager of Peak</w:t>
      </w:r>
      <w:r w:rsidR="00AB1069">
        <w:rPr>
          <w:rFonts w:ascii="Arial" w:hAnsi="Arial" w:cs="Arial"/>
          <w:sz w:val="24"/>
          <w:szCs w:val="24"/>
        </w:rPr>
        <w:t xml:space="preserve"> Gold, LLC</w:t>
      </w:r>
      <w:r w:rsidR="00F71764">
        <w:rPr>
          <w:rFonts w:ascii="Arial" w:hAnsi="Arial" w:cs="Arial"/>
          <w:sz w:val="24"/>
          <w:szCs w:val="24"/>
        </w:rPr>
        <w:t xml:space="preserve"> </w:t>
      </w:r>
      <w:r w:rsidR="00296F66">
        <w:rPr>
          <w:rFonts w:ascii="Arial" w:hAnsi="Arial" w:cs="Arial"/>
          <w:sz w:val="24"/>
          <w:szCs w:val="24"/>
        </w:rPr>
        <w:t>–</w:t>
      </w:r>
      <w:r w:rsidR="00AB1069">
        <w:rPr>
          <w:rFonts w:ascii="Arial" w:hAnsi="Arial" w:cs="Arial"/>
          <w:sz w:val="24"/>
          <w:szCs w:val="24"/>
        </w:rPr>
        <w:t xml:space="preserve"> </w:t>
      </w:r>
      <w:r w:rsidR="00296F66">
        <w:rPr>
          <w:rFonts w:ascii="Arial" w:hAnsi="Arial" w:cs="Arial"/>
          <w:sz w:val="24"/>
          <w:szCs w:val="24"/>
        </w:rPr>
        <w:t>is not authorized to do business in Alaska.</w:t>
      </w:r>
      <w:r w:rsidR="00AB1069">
        <w:rPr>
          <w:rFonts w:ascii="Arial" w:hAnsi="Arial" w:cs="Arial"/>
          <w:sz w:val="24"/>
          <w:szCs w:val="24"/>
        </w:rPr>
        <w:t xml:space="preserve">  Thus, </w:t>
      </w:r>
      <w:r>
        <w:rPr>
          <w:rFonts w:ascii="Arial" w:hAnsi="Arial" w:cs="Arial"/>
          <w:sz w:val="24"/>
          <w:szCs w:val="24"/>
        </w:rPr>
        <w:t xml:space="preserve">the manager of Peak Gold, LLC, and the entity </w:t>
      </w:r>
      <w:r w:rsidR="007A31EB">
        <w:rPr>
          <w:rFonts w:ascii="Arial" w:hAnsi="Arial" w:cs="Arial"/>
          <w:sz w:val="24"/>
          <w:szCs w:val="24"/>
        </w:rPr>
        <w:t>applying for and signing permits for Peak</w:t>
      </w:r>
      <w:r>
        <w:rPr>
          <w:rFonts w:ascii="Arial" w:hAnsi="Arial" w:cs="Arial"/>
          <w:sz w:val="24"/>
          <w:szCs w:val="24"/>
        </w:rPr>
        <w:t xml:space="preserve">, </w:t>
      </w:r>
      <w:r w:rsidR="00AB1069">
        <w:rPr>
          <w:rFonts w:ascii="Arial" w:hAnsi="Arial" w:cs="Arial"/>
          <w:sz w:val="24"/>
          <w:szCs w:val="24"/>
        </w:rPr>
        <w:t xml:space="preserve">is </w:t>
      </w:r>
      <w:r w:rsidR="007A31EB">
        <w:rPr>
          <w:rFonts w:ascii="Arial" w:hAnsi="Arial" w:cs="Arial"/>
          <w:sz w:val="24"/>
          <w:szCs w:val="24"/>
        </w:rPr>
        <w:t>conducting</w:t>
      </w:r>
      <w:r w:rsidR="00AB1069">
        <w:rPr>
          <w:rFonts w:ascii="Arial" w:hAnsi="Arial" w:cs="Arial"/>
          <w:sz w:val="24"/>
          <w:szCs w:val="24"/>
        </w:rPr>
        <w:t xml:space="preserve"> business without proper certification by the state.  Since </w:t>
      </w:r>
      <w:r w:rsidR="007A31EB">
        <w:rPr>
          <w:rFonts w:ascii="Arial" w:hAnsi="Arial" w:cs="Arial"/>
          <w:sz w:val="24"/>
          <w:szCs w:val="24"/>
        </w:rPr>
        <w:t>KG Mining</w:t>
      </w:r>
      <w:r w:rsidR="00AB1069">
        <w:rPr>
          <w:rFonts w:ascii="Arial" w:hAnsi="Arial" w:cs="Arial"/>
          <w:sz w:val="24"/>
          <w:szCs w:val="24"/>
        </w:rPr>
        <w:t xml:space="preserve"> is not a proper entity in Alaska, one does wonder whether any of its promises or agreements </w:t>
      </w:r>
      <w:r w:rsidR="007A31EB">
        <w:rPr>
          <w:rFonts w:ascii="Arial" w:hAnsi="Arial" w:cs="Arial"/>
          <w:sz w:val="24"/>
          <w:szCs w:val="24"/>
        </w:rPr>
        <w:t xml:space="preserve">– or those of Peak - </w:t>
      </w:r>
      <w:r w:rsidR="00AB1069">
        <w:rPr>
          <w:rFonts w:ascii="Arial" w:hAnsi="Arial" w:cs="Arial"/>
          <w:sz w:val="24"/>
          <w:szCs w:val="24"/>
        </w:rPr>
        <w:t>could ever be enforced.</w:t>
      </w:r>
      <w:r w:rsidR="000B5505">
        <w:rPr>
          <w:rFonts w:ascii="Arial" w:hAnsi="Arial" w:cs="Arial"/>
          <w:sz w:val="24"/>
          <w:szCs w:val="24"/>
        </w:rPr>
        <w:t xml:space="preserve">  </w:t>
      </w:r>
      <w:r w:rsidR="00AE334C">
        <w:rPr>
          <w:rFonts w:ascii="Arial" w:hAnsi="Arial" w:cs="Arial"/>
          <w:sz w:val="24"/>
          <w:szCs w:val="24"/>
        </w:rPr>
        <w:t xml:space="preserve">Are any of the permits Peak Gold holds even valid if the entity applying for them and signing on them is not authorized to do business within the state of Alaska?  </w:t>
      </w:r>
      <w:r w:rsidR="000B5505">
        <w:rPr>
          <w:rFonts w:ascii="Arial" w:hAnsi="Arial" w:cs="Arial"/>
          <w:sz w:val="24"/>
          <w:szCs w:val="24"/>
        </w:rPr>
        <w:t xml:space="preserve">If </w:t>
      </w:r>
      <w:r w:rsidR="00AE334C">
        <w:rPr>
          <w:rFonts w:ascii="Arial" w:hAnsi="Arial" w:cs="Arial"/>
          <w:sz w:val="24"/>
          <w:szCs w:val="24"/>
        </w:rPr>
        <w:t xml:space="preserve">KG Mining (Alaska), </w:t>
      </w:r>
      <w:r w:rsidR="00781770">
        <w:rPr>
          <w:rFonts w:ascii="Arial" w:hAnsi="Arial" w:cs="Arial"/>
          <w:sz w:val="24"/>
          <w:szCs w:val="24"/>
        </w:rPr>
        <w:t>Inc. has</w:t>
      </w:r>
      <w:r w:rsidR="000B5505">
        <w:rPr>
          <w:rFonts w:ascii="Arial" w:hAnsi="Arial" w:cs="Arial"/>
          <w:sz w:val="24"/>
          <w:szCs w:val="24"/>
        </w:rPr>
        <w:t xml:space="preserve"> some connection with Kinross Gold Corporation, it is not disclosed in any filings with the Alaska Corporations Division</w:t>
      </w:r>
      <w:r w:rsidR="00F71764">
        <w:rPr>
          <w:rFonts w:ascii="Arial" w:hAnsi="Arial" w:cs="Arial"/>
          <w:sz w:val="24"/>
          <w:szCs w:val="24"/>
        </w:rPr>
        <w:t>,</w:t>
      </w:r>
      <w:r w:rsidR="000B5505">
        <w:rPr>
          <w:rFonts w:ascii="Arial" w:hAnsi="Arial" w:cs="Arial"/>
          <w:sz w:val="24"/>
          <w:szCs w:val="24"/>
        </w:rPr>
        <w:t xml:space="preserve"> Department of Commerce</w:t>
      </w:r>
      <w:r w:rsidR="00D01BE8">
        <w:rPr>
          <w:rFonts w:ascii="Arial" w:hAnsi="Arial" w:cs="Arial"/>
          <w:sz w:val="24"/>
          <w:szCs w:val="24"/>
        </w:rPr>
        <w:t>.</w:t>
      </w:r>
    </w:p>
    <w:p w14:paraId="5238075B" w14:textId="77777777" w:rsidR="00AE334C" w:rsidRDefault="00FB3567" w:rsidP="00F71764">
      <w:pPr>
        <w:rPr>
          <w:rFonts w:ascii="Arial" w:hAnsi="Arial" w:cs="Arial"/>
          <w:sz w:val="24"/>
          <w:szCs w:val="24"/>
        </w:rPr>
      </w:pPr>
      <w:r>
        <w:rPr>
          <w:rFonts w:ascii="Arial" w:hAnsi="Arial" w:cs="Arial"/>
          <w:sz w:val="24"/>
          <w:szCs w:val="24"/>
        </w:rPr>
        <w:t>Core Alaska, LLC (Alaska foreign entity #10097949) is a Delaware limited liability company with a Houston address, owned 100% by Contango ORE, Inc., Alaska foreign entity #130991</w:t>
      </w:r>
      <w:r w:rsidR="00F71764">
        <w:rPr>
          <w:rFonts w:ascii="Arial" w:hAnsi="Arial" w:cs="Arial"/>
          <w:sz w:val="24"/>
          <w:szCs w:val="24"/>
        </w:rPr>
        <w:t xml:space="preserve">.  </w:t>
      </w:r>
    </w:p>
    <w:p w14:paraId="50EC9443" w14:textId="558108B6" w:rsidR="00FB3567" w:rsidRDefault="00F71764" w:rsidP="00F71764">
      <w:pPr>
        <w:rPr>
          <w:rFonts w:ascii="Arial" w:hAnsi="Arial" w:cs="Arial"/>
          <w:sz w:val="24"/>
          <w:szCs w:val="24"/>
        </w:rPr>
      </w:pPr>
      <w:r>
        <w:rPr>
          <w:rFonts w:ascii="Arial" w:hAnsi="Arial" w:cs="Arial"/>
          <w:sz w:val="24"/>
          <w:szCs w:val="24"/>
        </w:rPr>
        <w:lastRenderedPageBreak/>
        <w:t>Just because one corporation owns another does not make the parent corporation liable for debts of the subsidiary.  Just ask any bankruptcy lawyer.</w:t>
      </w:r>
      <w:r w:rsidR="00FB3567">
        <w:rPr>
          <w:rFonts w:ascii="Arial" w:hAnsi="Arial" w:cs="Arial"/>
          <w:sz w:val="24"/>
          <w:szCs w:val="24"/>
        </w:rPr>
        <w:t xml:space="preserve"> </w:t>
      </w:r>
    </w:p>
    <w:p w14:paraId="20B7D2F0" w14:textId="5017774C" w:rsidR="00296F66" w:rsidRDefault="00296F66" w:rsidP="00F71764">
      <w:pPr>
        <w:rPr>
          <w:rFonts w:ascii="Arial" w:hAnsi="Arial" w:cs="Arial"/>
          <w:sz w:val="24"/>
          <w:szCs w:val="24"/>
        </w:rPr>
      </w:pPr>
      <w:r>
        <w:rPr>
          <w:rFonts w:ascii="Arial" w:hAnsi="Arial" w:cs="Arial"/>
          <w:sz w:val="24"/>
          <w:szCs w:val="24"/>
        </w:rPr>
        <w:t xml:space="preserve">So, neither Kinross Gold Corporation nor Contango ORE, Inc. are the liable parties behind Manh Choh. </w:t>
      </w:r>
      <w:r w:rsidR="000227ED">
        <w:rPr>
          <w:rFonts w:ascii="Arial" w:hAnsi="Arial" w:cs="Arial"/>
          <w:sz w:val="24"/>
          <w:szCs w:val="24"/>
        </w:rPr>
        <w:t xml:space="preserve">They are not even the members of Peak Gold, LLC. </w:t>
      </w:r>
      <w:r>
        <w:rPr>
          <w:rFonts w:ascii="Arial" w:hAnsi="Arial" w:cs="Arial"/>
          <w:sz w:val="24"/>
          <w:szCs w:val="24"/>
        </w:rPr>
        <w:t xml:space="preserve"> Peak Gold, LLC is a shell co</w:t>
      </w:r>
      <w:r w:rsidR="007A31EB">
        <w:rPr>
          <w:rFonts w:ascii="Arial" w:hAnsi="Arial" w:cs="Arial"/>
          <w:sz w:val="24"/>
          <w:szCs w:val="24"/>
        </w:rPr>
        <w:t>mpany</w:t>
      </w:r>
      <w:r>
        <w:rPr>
          <w:rFonts w:ascii="Arial" w:hAnsi="Arial" w:cs="Arial"/>
          <w:sz w:val="24"/>
          <w:szCs w:val="24"/>
        </w:rPr>
        <w:t xml:space="preserve">, </w:t>
      </w:r>
      <w:r w:rsidR="007A31EB">
        <w:rPr>
          <w:rFonts w:ascii="Arial" w:hAnsi="Arial" w:cs="Arial"/>
          <w:sz w:val="24"/>
          <w:szCs w:val="24"/>
        </w:rPr>
        <w:t xml:space="preserve">perhaps </w:t>
      </w:r>
      <w:r>
        <w:rPr>
          <w:rFonts w:ascii="Arial" w:hAnsi="Arial" w:cs="Arial"/>
          <w:sz w:val="24"/>
          <w:szCs w:val="24"/>
        </w:rPr>
        <w:t xml:space="preserve">managed by something </w:t>
      </w:r>
      <w:r w:rsidR="007A31EB">
        <w:rPr>
          <w:rFonts w:ascii="Arial" w:hAnsi="Arial" w:cs="Arial"/>
          <w:sz w:val="24"/>
          <w:szCs w:val="24"/>
        </w:rPr>
        <w:t xml:space="preserve">– but not by an entity </w:t>
      </w:r>
      <w:r w:rsidR="00AE334C">
        <w:rPr>
          <w:rFonts w:ascii="Arial" w:hAnsi="Arial" w:cs="Arial"/>
          <w:sz w:val="24"/>
          <w:szCs w:val="24"/>
        </w:rPr>
        <w:t>authorized to do business in the s</w:t>
      </w:r>
      <w:r>
        <w:rPr>
          <w:rFonts w:ascii="Arial" w:hAnsi="Arial" w:cs="Arial"/>
          <w:sz w:val="24"/>
          <w:szCs w:val="24"/>
        </w:rPr>
        <w:t>tate of Alaska.</w:t>
      </w:r>
    </w:p>
    <w:p w14:paraId="40644C46" w14:textId="77777777" w:rsidR="00AE334C" w:rsidRDefault="00D01BE8">
      <w:pPr>
        <w:rPr>
          <w:rFonts w:ascii="Arial" w:hAnsi="Arial" w:cs="Arial"/>
          <w:sz w:val="24"/>
          <w:szCs w:val="24"/>
        </w:rPr>
      </w:pPr>
      <w:r>
        <w:rPr>
          <w:rFonts w:ascii="Arial" w:hAnsi="Arial" w:cs="Arial"/>
          <w:sz w:val="24"/>
          <w:szCs w:val="24"/>
        </w:rPr>
        <w:t xml:space="preserve">The proposed $63,507,000 bond, a major part of approval of </w:t>
      </w:r>
      <w:r w:rsidR="00FB3567">
        <w:rPr>
          <w:rFonts w:ascii="Arial" w:hAnsi="Arial" w:cs="Arial"/>
          <w:sz w:val="24"/>
          <w:szCs w:val="24"/>
        </w:rPr>
        <w:t>Manh Choh</w:t>
      </w:r>
      <w:r>
        <w:rPr>
          <w:rFonts w:ascii="Arial" w:hAnsi="Arial" w:cs="Arial"/>
          <w:sz w:val="24"/>
          <w:szCs w:val="24"/>
        </w:rPr>
        <w:t xml:space="preserve"> reclamation plan, looks like it will be signed by Peak Gold, LLC, </w:t>
      </w:r>
      <w:r w:rsidR="00AE334C">
        <w:rPr>
          <w:rFonts w:ascii="Arial" w:hAnsi="Arial" w:cs="Arial"/>
          <w:sz w:val="24"/>
          <w:szCs w:val="24"/>
        </w:rPr>
        <w:t xml:space="preserve">(through its unrecognized manager KG Mining,(Alaska), Inc., </w:t>
      </w:r>
      <w:r w:rsidR="009A5541">
        <w:rPr>
          <w:rFonts w:ascii="Arial" w:hAnsi="Arial" w:cs="Arial"/>
          <w:sz w:val="24"/>
          <w:szCs w:val="24"/>
        </w:rPr>
        <w:t>not by Kinross Gold Corporation</w:t>
      </w:r>
      <w:r w:rsidR="00FB3567">
        <w:rPr>
          <w:rFonts w:ascii="Arial" w:hAnsi="Arial" w:cs="Arial"/>
          <w:sz w:val="24"/>
          <w:szCs w:val="24"/>
        </w:rPr>
        <w:t xml:space="preserve"> or Contango Ore, Inc.   </w:t>
      </w:r>
    </w:p>
    <w:p w14:paraId="5C143E5F" w14:textId="77DD7130" w:rsidR="00D01BE8" w:rsidRDefault="00FB3567">
      <w:pPr>
        <w:rPr>
          <w:rFonts w:ascii="Arial" w:hAnsi="Arial" w:cs="Arial"/>
          <w:sz w:val="24"/>
          <w:szCs w:val="24"/>
        </w:rPr>
      </w:pPr>
      <w:r>
        <w:rPr>
          <w:rFonts w:ascii="Arial" w:hAnsi="Arial" w:cs="Arial"/>
          <w:sz w:val="24"/>
          <w:szCs w:val="24"/>
        </w:rPr>
        <w:t xml:space="preserve">Why not have those two </w:t>
      </w:r>
      <w:r w:rsidR="00781770">
        <w:rPr>
          <w:rFonts w:ascii="Arial" w:hAnsi="Arial" w:cs="Arial"/>
          <w:sz w:val="24"/>
          <w:szCs w:val="24"/>
        </w:rPr>
        <w:t xml:space="preserve">parent </w:t>
      </w:r>
      <w:r>
        <w:rPr>
          <w:rFonts w:ascii="Arial" w:hAnsi="Arial" w:cs="Arial"/>
          <w:sz w:val="24"/>
          <w:szCs w:val="24"/>
        </w:rPr>
        <w:t xml:space="preserve">corporations sign </w:t>
      </w:r>
      <w:r w:rsidR="007A31EB">
        <w:rPr>
          <w:rFonts w:ascii="Arial" w:hAnsi="Arial" w:cs="Arial"/>
          <w:sz w:val="24"/>
          <w:szCs w:val="24"/>
        </w:rPr>
        <w:t>any</w:t>
      </w:r>
      <w:r>
        <w:rPr>
          <w:rFonts w:ascii="Arial" w:hAnsi="Arial" w:cs="Arial"/>
          <w:sz w:val="24"/>
          <w:szCs w:val="24"/>
        </w:rPr>
        <w:t xml:space="preserve"> bond and guarantee </w:t>
      </w:r>
      <w:r w:rsidR="00296F66">
        <w:rPr>
          <w:rFonts w:ascii="Arial" w:hAnsi="Arial" w:cs="Arial"/>
          <w:sz w:val="24"/>
          <w:szCs w:val="24"/>
        </w:rPr>
        <w:t xml:space="preserve">to </w:t>
      </w:r>
      <w:r>
        <w:rPr>
          <w:rFonts w:ascii="Arial" w:hAnsi="Arial" w:cs="Arial"/>
          <w:sz w:val="24"/>
          <w:szCs w:val="24"/>
        </w:rPr>
        <w:t xml:space="preserve">the people of Alaska that their subsidiaries/ affiliates </w:t>
      </w:r>
      <w:r w:rsidR="007A31EB">
        <w:rPr>
          <w:rFonts w:ascii="Arial" w:hAnsi="Arial" w:cs="Arial"/>
          <w:sz w:val="24"/>
          <w:szCs w:val="24"/>
        </w:rPr>
        <w:t xml:space="preserve">– </w:t>
      </w:r>
      <w:proofErr w:type="spellStart"/>
      <w:r w:rsidR="007A31EB">
        <w:rPr>
          <w:rFonts w:ascii="Arial" w:hAnsi="Arial" w:cs="Arial"/>
          <w:sz w:val="24"/>
          <w:szCs w:val="24"/>
        </w:rPr>
        <w:t>i</w:t>
      </w:r>
      <w:r w:rsidR="00781770">
        <w:rPr>
          <w:rFonts w:ascii="Arial" w:hAnsi="Arial" w:cs="Arial"/>
          <w:sz w:val="24"/>
          <w:szCs w:val="24"/>
        </w:rPr>
        <w:t>assuming</w:t>
      </w:r>
      <w:proofErr w:type="spellEnd"/>
      <w:r w:rsidR="00781770">
        <w:rPr>
          <w:rFonts w:ascii="Arial" w:hAnsi="Arial" w:cs="Arial"/>
          <w:sz w:val="24"/>
          <w:szCs w:val="24"/>
        </w:rPr>
        <w:t xml:space="preserve"> </w:t>
      </w:r>
      <w:r w:rsidR="007A31EB">
        <w:rPr>
          <w:rFonts w:ascii="Arial" w:hAnsi="Arial" w:cs="Arial"/>
          <w:sz w:val="24"/>
          <w:szCs w:val="24"/>
        </w:rPr>
        <w:t xml:space="preserve">that’s what they are - </w:t>
      </w:r>
      <w:r>
        <w:rPr>
          <w:rFonts w:ascii="Arial" w:hAnsi="Arial" w:cs="Arial"/>
          <w:sz w:val="24"/>
          <w:szCs w:val="24"/>
        </w:rPr>
        <w:t xml:space="preserve">will faithfully perform their duties under their permits and they will </w:t>
      </w:r>
      <w:r w:rsidR="00296F66">
        <w:rPr>
          <w:rFonts w:ascii="Arial" w:hAnsi="Arial" w:cs="Arial"/>
          <w:sz w:val="24"/>
          <w:szCs w:val="24"/>
        </w:rPr>
        <w:t xml:space="preserve">responsibly manage waste and </w:t>
      </w:r>
      <w:r>
        <w:rPr>
          <w:rFonts w:ascii="Arial" w:hAnsi="Arial" w:cs="Arial"/>
          <w:sz w:val="24"/>
          <w:szCs w:val="24"/>
        </w:rPr>
        <w:t>totally reclaim and close the propert</w:t>
      </w:r>
      <w:r w:rsidR="00296F66">
        <w:rPr>
          <w:rFonts w:ascii="Arial" w:hAnsi="Arial" w:cs="Arial"/>
          <w:sz w:val="24"/>
          <w:szCs w:val="24"/>
        </w:rPr>
        <w:t xml:space="preserve">ies </w:t>
      </w:r>
      <w:r>
        <w:rPr>
          <w:rFonts w:ascii="Arial" w:hAnsi="Arial" w:cs="Arial"/>
          <w:sz w:val="24"/>
          <w:szCs w:val="24"/>
        </w:rPr>
        <w:t xml:space="preserve">as promised, or as may be required in the future? </w:t>
      </w:r>
      <w:r w:rsidR="00D01BE8">
        <w:rPr>
          <w:rFonts w:ascii="Arial" w:hAnsi="Arial" w:cs="Arial"/>
          <w:sz w:val="24"/>
          <w:szCs w:val="24"/>
        </w:rPr>
        <w:t xml:space="preserve">  </w:t>
      </w:r>
      <w:r w:rsidR="009A5541">
        <w:rPr>
          <w:rFonts w:ascii="Arial" w:hAnsi="Arial" w:cs="Arial"/>
          <w:sz w:val="24"/>
          <w:szCs w:val="24"/>
        </w:rPr>
        <w:t>Peak’s</w:t>
      </w:r>
      <w:r w:rsidR="00D01BE8">
        <w:rPr>
          <w:rFonts w:ascii="Arial" w:hAnsi="Arial" w:cs="Arial"/>
          <w:sz w:val="24"/>
          <w:szCs w:val="24"/>
        </w:rPr>
        <w:t xml:space="preserve"> majority owner and manager is not even registered in Alaska as a corporation, and there is nothing </w:t>
      </w:r>
      <w:r w:rsidR="009A5541">
        <w:rPr>
          <w:rFonts w:ascii="Arial" w:hAnsi="Arial" w:cs="Arial"/>
          <w:sz w:val="24"/>
          <w:szCs w:val="24"/>
        </w:rPr>
        <w:t>in the corporate</w:t>
      </w:r>
      <w:r w:rsidR="00D01BE8">
        <w:rPr>
          <w:rFonts w:ascii="Arial" w:hAnsi="Arial" w:cs="Arial"/>
          <w:sz w:val="24"/>
          <w:szCs w:val="24"/>
        </w:rPr>
        <w:t xml:space="preserve"> record</w:t>
      </w:r>
      <w:r w:rsidR="009A5541">
        <w:rPr>
          <w:rFonts w:ascii="Arial" w:hAnsi="Arial" w:cs="Arial"/>
          <w:sz w:val="24"/>
          <w:szCs w:val="24"/>
        </w:rPr>
        <w:t>s of Alaska or the proposed permits</w:t>
      </w:r>
      <w:r w:rsidR="00D01BE8">
        <w:rPr>
          <w:rFonts w:ascii="Arial" w:hAnsi="Arial" w:cs="Arial"/>
          <w:sz w:val="24"/>
          <w:szCs w:val="24"/>
        </w:rPr>
        <w:t xml:space="preserve"> to connect </w:t>
      </w:r>
      <w:r w:rsidR="009A5541">
        <w:rPr>
          <w:rFonts w:ascii="Arial" w:hAnsi="Arial" w:cs="Arial"/>
          <w:sz w:val="24"/>
          <w:szCs w:val="24"/>
        </w:rPr>
        <w:t>liability for faithful performance of the permit requirements</w:t>
      </w:r>
      <w:r w:rsidR="00D01BE8">
        <w:rPr>
          <w:rFonts w:ascii="Arial" w:hAnsi="Arial" w:cs="Arial"/>
          <w:sz w:val="24"/>
          <w:szCs w:val="24"/>
        </w:rPr>
        <w:t xml:space="preserve"> with </w:t>
      </w:r>
      <w:r w:rsidR="007A31EB">
        <w:rPr>
          <w:rFonts w:ascii="Arial" w:hAnsi="Arial" w:cs="Arial"/>
          <w:sz w:val="24"/>
          <w:szCs w:val="24"/>
        </w:rPr>
        <w:t xml:space="preserve">either </w:t>
      </w:r>
      <w:r w:rsidR="00D01BE8">
        <w:rPr>
          <w:rFonts w:ascii="Arial" w:hAnsi="Arial" w:cs="Arial"/>
          <w:sz w:val="24"/>
          <w:szCs w:val="24"/>
        </w:rPr>
        <w:t>Kinross Gold Corporation</w:t>
      </w:r>
      <w:r>
        <w:rPr>
          <w:rFonts w:ascii="Arial" w:hAnsi="Arial" w:cs="Arial"/>
          <w:sz w:val="24"/>
          <w:szCs w:val="24"/>
        </w:rPr>
        <w:t xml:space="preserve"> or Contango Ore, Inc</w:t>
      </w:r>
      <w:r w:rsidR="00D01BE8">
        <w:rPr>
          <w:rFonts w:ascii="Arial" w:hAnsi="Arial" w:cs="Arial"/>
          <w:sz w:val="24"/>
          <w:szCs w:val="24"/>
        </w:rPr>
        <w:t>.</w:t>
      </w:r>
      <w:r>
        <w:rPr>
          <w:rFonts w:ascii="Arial" w:hAnsi="Arial" w:cs="Arial"/>
          <w:sz w:val="24"/>
          <w:szCs w:val="24"/>
        </w:rPr>
        <w:t xml:space="preserve">  </w:t>
      </w:r>
    </w:p>
    <w:p w14:paraId="5C29420D" w14:textId="0C53FC00" w:rsidR="00685FFE" w:rsidRPr="00397536" w:rsidRDefault="00685FFE" w:rsidP="00685FFE">
      <w:pPr>
        <w:rPr>
          <w:rFonts w:ascii="Arial" w:hAnsi="Arial" w:cs="Arial"/>
          <w:sz w:val="24"/>
          <w:szCs w:val="24"/>
        </w:rPr>
      </w:pPr>
      <w:r>
        <w:rPr>
          <w:rFonts w:ascii="Arial" w:hAnsi="Arial" w:cs="Arial"/>
          <w:sz w:val="24"/>
          <w:szCs w:val="24"/>
        </w:rPr>
        <w:t>I also question whether Peak Gold, LLC is bound by the signature of its environmental director.  The limited liability company acts through a manager, which is not organized in or recognized by the state of Alaska.  So even if it signed a proper authorization of its environmental director, the authorization itself would be questionable and may have no effect. The parent corporations of the limited liability company should sign all permits and bonds.</w:t>
      </w:r>
    </w:p>
    <w:p w14:paraId="5F53888F" w14:textId="08B05D83" w:rsidR="00FB3567" w:rsidRDefault="00FB3567">
      <w:pPr>
        <w:rPr>
          <w:rFonts w:ascii="Arial" w:hAnsi="Arial" w:cs="Arial"/>
          <w:sz w:val="24"/>
          <w:szCs w:val="24"/>
        </w:rPr>
      </w:pPr>
      <w:r>
        <w:rPr>
          <w:rFonts w:ascii="Arial" w:hAnsi="Arial" w:cs="Arial"/>
          <w:sz w:val="24"/>
          <w:szCs w:val="24"/>
        </w:rPr>
        <w:t>One final point is that</w:t>
      </w:r>
      <w:r w:rsidR="00AE334C">
        <w:rPr>
          <w:rFonts w:ascii="Arial" w:hAnsi="Arial" w:cs="Arial"/>
          <w:sz w:val="24"/>
          <w:szCs w:val="24"/>
        </w:rPr>
        <w:t xml:space="preserve"> an</w:t>
      </w:r>
      <w:r>
        <w:rPr>
          <w:rFonts w:ascii="Arial" w:hAnsi="Arial" w:cs="Arial"/>
          <w:sz w:val="24"/>
          <w:szCs w:val="24"/>
        </w:rPr>
        <w:t>y security posted</w:t>
      </w:r>
      <w:r w:rsidR="000227ED">
        <w:rPr>
          <w:rFonts w:ascii="Arial" w:hAnsi="Arial" w:cs="Arial"/>
          <w:sz w:val="24"/>
          <w:szCs w:val="24"/>
        </w:rPr>
        <w:t xml:space="preserve">, letters of credit and the </w:t>
      </w:r>
      <w:proofErr w:type="gramStart"/>
      <w:r w:rsidR="000227ED">
        <w:rPr>
          <w:rFonts w:ascii="Arial" w:hAnsi="Arial" w:cs="Arial"/>
          <w:sz w:val="24"/>
          <w:szCs w:val="24"/>
        </w:rPr>
        <w:t xml:space="preserve">like, </w:t>
      </w:r>
      <w:r>
        <w:rPr>
          <w:rFonts w:ascii="Arial" w:hAnsi="Arial" w:cs="Arial"/>
          <w:sz w:val="24"/>
          <w:szCs w:val="24"/>
        </w:rPr>
        <w:t xml:space="preserve"> must</w:t>
      </w:r>
      <w:proofErr w:type="gramEnd"/>
      <w:r>
        <w:rPr>
          <w:rFonts w:ascii="Arial" w:hAnsi="Arial" w:cs="Arial"/>
          <w:sz w:val="24"/>
          <w:szCs w:val="24"/>
        </w:rPr>
        <w:t xml:space="preserve"> be double-checked to make sure that the named entities </w:t>
      </w:r>
      <w:r w:rsidR="00415926">
        <w:rPr>
          <w:rFonts w:ascii="Arial" w:hAnsi="Arial" w:cs="Arial"/>
          <w:sz w:val="24"/>
          <w:szCs w:val="24"/>
        </w:rPr>
        <w:t>actually own the</w:t>
      </w:r>
      <w:r>
        <w:rPr>
          <w:rFonts w:ascii="Arial" w:hAnsi="Arial" w:cs="Arial"/>
          <w:sz w:val="24"/>
          <w:szCs w:val="24"/>
        </w:rPr>
        <w:t xml:space="preserve"> property </w:t>
      </w:r>
      <w:r w:rsidR="00415926">
        <w:rPr>
          <w:rFonts w:ascii="Arial" w:hAnsi="Arial" w:cs="Arial"/>
          <w:sz w:val="24"/>
          <w:szCs w:val="24"/>
        </w:rPr>
        <w:t xml:space="preserve">pledged and are properly pledging </w:t>
      </w:r>
      <w:r>
        <w:rPr>
          <w:rFonts w:ascii="Arial" w:hAnsi="Arial" w:cs="Arial"/>
          <w:sz w:val="24"/>
          <w:szCs w:val="24"/>
        </w:rPr>
        <w:t xml:space="preserve">it to </w:t>
      </w:r>
      <w:r w:rsidR="00415926">
        <w:rPr>
          <w:rFonts w:ascii="Arial" w:hAnsi="Arial" w:cs="Arial"/>
          <w:sz w:val="24"/>
          <w:szCs w:val="24"/>
        </w:rPr>
        <w:t>secure</w:t>
      </w:r>
      <w:r>
        <w:rPr>
          <w:rFonts w:ascii="Arial" w:hAnsi="Arial" w:cs="Arial"/>
          <w:sz w:val="24"/>
          <w:szCs w:val="24"/>
        </w:rPr>
        <w:t xml:space="preserve"> their performance</w:t>
      </w:r>
      <w:r w:rsidR="00415926">
        <w:rPr>
          <w:rFonts w:ascii="Arial" w:hAnsi="Arial" w:cs="Arial"/>
          <w:sz w:val="24"/>
          <w:szCs w:val="24"/>
        </w:rPr>
        <w:t>.</w:t>
      </w:r>
      <w:r>
        <w:rPr>
          <w:rFonts w:ascii="Arial" w:hAnsi="Arial" w:cs="Arial"/>
          <w:sz w:val="24"/>
          <w:szCs w:val="24"/>
        </w:rPr>
        <w:t xml:space="preserve"> </w:t>
      </w:r>
      <w:r w:rsidR="00415926">
        <w:rPr>
          <w:rFonts w:ascii="Arial" w:hAnsi="Arial" w:cs="Arial"/>
          <w:sz w:val="24"/>
          <w:szCs w:val="24"/>
        </w:rPr>
        <w:t>A</w:t>
      </w:r>
      <w:r>
        <w:rPr>
          <w:rFonts w:ascii="Arial" w:hAnsi="Arial" w:cs="Arial"/>
          <w:sz w:val="24"/>
          <w:szCs w:val="24"/>
        </w:rPr>
        <w:t>re the</w:t>
      </w:r>
      <w:r w:rsidR="00415926">
        <w:rPr>
          <w:rFonts w:ascii="Arial" w:hAnsi="Arial" w:cs="Arial"/>
          <w:sz w:val="24"/>
          <w:szCs w:val="24"/>
        </w:rPr>
        <w:t>y</w:t>
      </w:r>
      <w:r>
        <w:rPr>
          <w:rFonts w:ascii="Arial" w:hAnsi="Arial" w:cs="Arial"/>
          <w:sz w:val="24"/>
          <w:szCs w:val="24"/>
        </w:rPr>
        <w:t xml:space="preserve"> </w:t>
      </w:r>
      <w:r w:rsidR="00415926">
        <w:rPr>
          <w:rFonts w:ascii="Arial" w:hAnsi="Arial" w:cs="Arial"/>
          <w:sz w:val="24"/>
          <w:szCs w:val="24"/>
        </w:rPr>
        <w:t xml:space="preserve">the </w:t>
      </w:r>
      <w:r>
        <w:rPr>
          <w:rFonts w:ascii="Arial" w:hAnsi="Arial" w:cs="Arial"/>
          <w:sz w:val="24"/>
          <w:szCs w:val="24"/>
        </w:rPr>
        <w:t>correct entities</w:t>
      </w:r>
      <w:r w:rsidR="00415926">
        <w:rPr>
          <w:rFonts w:ascii="Arial" w:hAnsi="Arial" w:cs="Arial"/>
          <w:sz w:val="24"/>
          <w:szCs w:val="24"/>
        </w:rPr>
        <w:t xml:space="preserve">?  Do they actually </w:t>
      </w:r>
      <w:r w:rsidR="000227ED">
        <w:rPr>
          <w:rFonts w:ascii="Arial" w:hAnsi="Arial" w:cs="Arial"/>
          <w:sz w:val="24"/>
          <w:szCs w:val="24"/>
        </w:rPr>
        <w:t>own the property</w:t>
      </w:r>
      <w:r w:rsidR="007A31EB">
        <w:rPr>
          <w:rFonts w:ascii="Arial" w:hAnsi="Arial" w:cs="Arial"/>
          <w:sz w:val="24"/>
          <w:szCs w:val="24"/>
        </w:rPr>
        <w:t xml:space="preserve"> pledged</w:t>
      </w:r>
      <w:r w:rsidR="00415926">
        <w:rPr>
          <w:rFonts w:ascii="Arial" w:hAnsi="Arial" w:cs="Arial"/>
          <w:sz w:val="24"/>
          <w:szCs w:val="24"/>
        </w:rPr>
        <w:t xml:space="preserve">?  Do they </w:t>
      </w:r>
      <w:proofErr w:type="gramStart"/>
      <w:r w:rsidR="00415926">
        <w:rPr>
          <w:rFonts w:ascii="Arial" w:hAnsi="Arial" w:cs="Arial"/>
          <w:sz w:val="24"/>
          <w:szCs w:val="24"/>
        </w:rPr>
        <w:t>actually</w:t>
      </w:r>
      <w:r w:rsidR="00F71764">
        <w:rPr>
          <w:rFonts w:ascii="Arial" w:hAnsi="Arial" w:cs="Arial"/>
          <w:sz w:val="24"/>
          <w:szCs w:val="24"/>
        </w:rPr>
        <w:t xml:space="preserve"> have</w:t>
      </w:r>
      <w:proofErr w:type="gramEnd"/>
      <w:r w:rsidR="00F71764">
        <w:rPr>
          <w:rFonts w:ascii="Arial" w:hAnsi="Arial" w:cs="Arial"/>
          <w:sz w:val="24"/>
          <w:szCs w:val="24"/>
        </w:rPr>
        <w:t xml:space="preserve"> </w:t>
      </w:r>
      <w:r w:rsidR="00415926">
        <w:rPr>
          <w:rFonts w:ascii="Arial" w:hAnsi="Arial" w:cs="Arial"/>
          <w:sz w:val="24"/>
          <w:szCs w:val="24"/>
        </w:rPr>
        <w:t xml:space="preserve">the </w:t>
      </w:r>
      <w:r w:rsidR="00F71764">
        <w:rPr>
          <w:rFonts w:ascii="Arial" w:hAnsi="Arial" w:cs="Arial"/>
          <w:sz w:val="24"/>
          <w:szCs w:val="24"/>
        </w:rPr>
        <w:t xml:space="preserve">financial </w:t>
      </w:r>
      <w:r w:rsidR="00415926">
        <w:rPr>
          <w:rFonts w:ascii="Arial" w:hAnsi="Arial" w:cs="Arial"/>
          <w:sz w:val="24"/>
          <w:szCs w:val="24"/>
        </w:rPr>
        <w:t>responsibility</w:t>
      </w:r>
      <w:r w:rsidR="00F71764">
        <w:rPr>
          <w:rFonts w:ascii="Arial" w:hAnsi="Arial" w:cs="Arial"/>
          <w:sz w:val="24"/>
          <w:szCs w:val="24"/>
        </w:rPr>
        <w:t xml:space="preserve"> to perform, </w:t>
      </w:r>
      <w:r>
        <w:rPr>
          <w:rFonts w:ascii="Arial" w:hAnsi="Arial" w:cs="Arial"/>
          <w:sz w:val="24"/>
          <w:szCs w:val="24"/>
        </w:rPr>
        <w:t xml:space="preserve">or </w:t>
      </w:r>
      <w:r w:rsidR="00415926">
        <w:rPr>
          <w:rFonts w:ascii="Arial" w:hAnsi="Arial" w:cs="Arial"/>
          <w:sz w:val="24"/>
          <w:szCs w:val="24"/>
        </w:rPr>
        <w:t xml:space="preserve">are </w:t>
      </w:r>
      <w:r>
        <w:rPr>
          <w:rFonts w:ascii="Arial" w:hAnsi="Arial" w:cs="Arial"/>
          <w:sz w:val="24"/>
          <w:szCs w:val="24"/>
        </w:rPr>
        <w:t>the promises</w:t>
      </w:r>
      <w:r w:rsidR="000227ED">
        <w:rPr>
          <w:rFonts w:ascii="Arial" w:hAnsi="Arial" w:cs="Arial"/>
          <w:sz w:val="24"/>
          <w:szCs w:val="24"/>
        </w:rPr>
        <w:t xml:space="preserve"> and security </w:t>
      </w:r>
      <w:r w:rsidR="00415926">
        <w:rPr>
          <w:rFonts w:ascii="Arial" w:hAnsi="Arial" w:cs="Arial"/>
          <w:sz w:val="24"/>
          <w:szCs w:val="24"/>
        </w:rPr>
        <w:t>illusory?  Or will</w:t>
      </w:r>
      <w:r>
        <w:rPr>
          <w:rFonts w:ascii="Arial" w:hAnsi="Arial" w:cs="Arial"/>
          <w:sz w:val="24"/>
          <w:szCs w:val="24"/>
        </w:rPr>
        <w:t xml:space="preserve"> the liabilities be left to future Alaskans to clean up and deal with</w:t>
      </w:r>
      <w:r w:rsidR="00415926">
        <w:rPr>
          <w:rFonts w:ascii="Arial" w:hAnsi="Arial" w:cs="Arial"/>
          <w:sz w:val="24"/>
          <w:szCs w:val="24"/>
        </w:rPr>
        <w:t>?</w:t>
      </w:r>
      <w:r w:rsidR="00781770">
        <w:rPr>
          <w:rFonts w:ascii="Arial" w:hAnsi="Arial" w:cs="Arial"/>
          <w:sz w:val="24"/>
          <w:szCs w:val="24"/>
        </w:rPr>
        <w:t xml:space="preserve"> The underlying bond, letter of credit, or other security should be posted online, available to the public.</w:t>
      </w:r>
    </w:p>
    <w:p w14:paraId="04F339B9" w14:textId="4725D1DB" w:rsidR="00296F66" w:rsidRDefault="00296F66">
      <w:pPr>
        <w:rPr>
          <w:rFonts w:ascii="Arial" w:hAnsi="Arial" w:cs="Arial"/>
          <w:b/>
          <w:bCs/>
          <w:sz w:val="24"/>
          <w:szCs w:val="24"/>
        </w:rPr>
      </w:pPr>
      <w:r>
        <w:rPr>
          <w:rFonts w:ascii="Arial" w:hAnsi="Arial" w:cs="Arial"/>
          <w:b/>
          <w:bCs/>
          <w:sz w:val="24"/>
          <w:szCs w:val="24"/>
        </w:rPr>
        <w:t xml:space="preserve">Confusing and misleading instructions on how to </w:t>
      </w:r>
      <w:proofErr w:type="gramStart"/>
      <w:r>
        <w:rPr>
          <w:rFonts w:ascii="Arial" w:hAnsi="Arial" w:cs="Arial"/>
          <w:b/>
          <w:bCs/>
          <w:sz w:val="24"/>
          <w:szCs w:val="24"/>
        </w:rPr>
        <w:t>comment</w:t>
      </w:r>
      <w:proofErr w:type="gramEnd"/>
    </w:p>
    <w:p w14:paraId="10F0A25E" w14:textId="0CF74B3E" w:rsidR="00296F66" w:rsidRDefault="00296F66">
      <w:pPr>
        <w:rPr>
          <w:rFonts w:ascii="Arial" w:hAnsi="Arial" w:cs="Arial"/>
          <w:sz w:val="24"/>
          <w:szCs w:val="24"/>
        </w:rPr>
      </w:pPr>
      <w:r>
        <w:rPr>
          <w:rFonts w:ascii="Arial" w:hAnsi="Arial" w:cs="Arial"/>
          <w:sz w:val="24"/>
          <w:szCs w:val="24"/>
        </w:rPr>
        <w:t xml:space="preserve">Depending upon which day this writer checked, the website directed the public to the DNR, or sometimes included </w:t>
      </w:r>
      <w:r w:rsidR="000227ED">
        <w:rPr>
          <w:rFonts w:ascii="Arial" w:hAnsi="Arial" w:cs="Arial"/>
          <w:sz w:val="24"/>
          <w:szCs w:val="24"/>
        </w:rPr>
        <w:t xml:space="preserve">an </w:t>
      </w:r>
      <w:r>
        <w:rPr>
          <w:rFonts w:ascii="Arial" w:hAnsi="Arial" w:cs="Arial"/>
          <w:sz w:val="24"/>
          <w:szCs w:val="24"/>
        </w:rPr>
        <w:t>DEC</w:t>
      </w:r>
      <w:r w:rsidR="000227ED">
        <w:rPr>
          <w:rFonts w:ascii="Arial" w:hAnsi="Arial" w:cs="Arial"/>
          <w:sz w:val="24"/>
          <w:szCs w:val="24"/>
        </w:rPr>
        <w:t xml:space="preserve"> address</w:t>
      </w:r>
      <w:r>
        <w:rPr>
          <w:rFonts w:ascii="Arial" w:hAnsi="Arial" w:cs="Arial"/>
          <w:sz w:val="24"/>
          <w:szCs w:val="24"/>
        </w:rPr>
        <w:t>.</w:t>
      </w:r>
      <w:r w:rsidR="000227ED">
        <w:rPr>
          <w:rFonts w:ascii="Arial" w:hAnsi="Arial" w:cs="Arial"/>
          <w:sz w:val="24"/>
          <w:szCs w:val="24"/>
        </w:rPr>
        <w:t xml:space="preserve">  Sometimes it didn’t.  The links didn’t always work.</w:t>
      </w:r>
      <w:r>
        <w:rPr>
          <w:rFonts w:ascii="Arial" w:hAnsi="Arial" w:cs="Arial"/>
          <w:sz w:val="24"/>
          <w:szCs w:val="24"/>
        </w:rPr>
        <w:t xml:space="preserve">  This alone requires a new public notice and </w:t>
      </w:r>
      <w:r w:rsidR="007A31EB">
        <w:rPr>
          <w:rFonts w:ascii="Arial" w:hAnsi="Arial" w:cs="Arial"/>
          <w:sz w:val="24"/>
          <w:szCs w:val="24"/>
        </w:rPr>
        <w:t xml:space="preserve">full 30 days </w:t>
      </w:r>
      <w:r>
        <w:rPr>
          <w:rFonts w:ascii="Arial" w:hAnsi="Arial" w:cs="Arial"/>
          <w:sz w:val="24"/>
          <w:szCs w:val="24"/>
        </w:rPr>
        <w:t xml:space="preserve">for the public to comment to the correct department.  In addition, both departments </w:t>
      </w:r>
      <w:r w:rsidR="00415926">
        <w:rPr>
          <w:rFonts w:ascii="Arial" w:hAnsi="Arial" w:cs="Arial"/>
          <w:sz w:val="24"/>
          <w:szCs w:val="24"/>
        </w:rPr>
        <w:t xml:space="preserve">should </w:t>
      </w:r>
      <w:r>
        <w:rPr>
          <w:rFonts w:ascii="Arial" w:hAnsi="Arial" w:cs="Arial"/>
          <w:sz w:val="24"/>
          <w:szCs w:val="24"/>
        </w:rPr>
        <w:t xml:space="preserve">share </w:t>
      </w:r>
      <w:r w:rsidR="003D7E8B">
        <w:rPr>
          <w:rFonts w:ascii="Arial" w:hAnsi="Arial" w:cs="Arial"/>
          <w:sz w:val="24"/>
          <w:szCs w:val="24"/>
        </w:rPr>
        <w:t xml:space="preserve">all </w:t>
      </w:r>
      <w:r>
        <w:rPr>
          <w:rFonts w:ascii="Arial" w:hAnsi="Arial" w:cs="Arial"/>
          <w:sz w:val="24"/>
          <w:szCs w:val="24"/>
        </w:rPr>
        <w:t xml:space="preserve">comments </w:t>
      </w:r>
      <w:r w:rsidR="00415926">
        <w:rPr>
          <w:rFonts w:ascii="Arial" w:hAnsi="Arial" w:cs="Arial"/>
          <w:sz w:val="24"/>
          <w:szCs w:val="24"/>
        </w:rPr>
        <w:t xml:space="preserve">they </w:t>
      </w:r>
      <w:r>
        <w:rPr>
          <w:rFonts w:ascii="Arial" w:hAnsi="Arial" w:cs="Arial"/>
          <w:sz w:val="24"/>
          <w:szCs w:val="24"/>
        </w:rPr>
        <w:t>receive with the other department.</w:t>
      </w:r>
    </w:p>
    <w:p w14:paraId="1FCE0C24" w14:textId="42E9FC5F" w:rsidR="00296F66" w:rsidRDefault="00296F66">
      <w:pPr>
        <w:rPr>
          <w:rFonts w:ascii="Arial" w:hAnsi="Arial" w:cs="Arial"/>
          <w:b/>
          <w:bCs/>
          <w:sz w:val="24"/>
          <w:szCs w:val="24"/>
        </w:rPr>
      </w:pPr>
      <w:r>
        <w:rPr>
          <w:rFonts w:ascii="Arial" w:hAnsi="Arial" w:cs="Arial"/>
          <w:b/>
          <w:bCs/>
          <w:sz w:val="24"/>
          <w:szCs w:val="24"/>
        </w:rPr>
        <w:t>A Public Hearing is Required</w:t>
      </w:r>
    </w:p>
    <w:p w14:paraId="25839A43" w14:textId="6E2C1106" w:rsidR="00296F66" w:rsidRDefault="00296F66">
      <w:pPr>
        <w:rPr>
          <w:rFonts w:ascii="Arial" w:hAnsi="Arial" w:cs="Arial"/>
          <w:sz w:val="24"/>
          <w:szCs w:val="24"/>
        </w:rPr>
      </w:pPr>
      <w:r>
        <w:rPr>
          <w:rFonts w:ascii="Arial" w:hAnsi="Arial" w:cs="Arial"/>
          <w:sz w:val="24"/>
          <w:szCs w:val="24"/>
        </w:rPr>
        <w:lastRenderedPageBreak/>
        <w:t xml:space="preserve">The reasons outlined in this letter are grounds for both </w:t>
      </w:r>
      <w:r w:rsidR="003D7E8B">
        <w:rPr>
          <w:rFonts w:ascii="Arial" w:hAnsi="Arial" w:cs="Arial"/>
          <w:sz w:val="24"/>
          <w:szCs w:val="24"/>
        </w:rPr>
        <w:t>a</w:t>
      </w:r>
      <w:r>
        <w:rPr>
          <w:rFonts w:ascii="Arial" w:hAnsi="Arial" w:cs="Arial"/>
          <w:sz w:val="24"/>
          <w:szCs w:val="24"/>
        </w:rPr>
        <w:t xml:space="preserve"> new</w:t>
      </w:r>
      <w:r w:rsidR="003D7E8B">
        <w:rPr>
          <w:rFonts w:ascii="Arial" w:hAnsi="Arial" w:cs="Arial"/>
          <w:sz w:val="24"/>
          <w:szCs w:val="24"/>
        </w:rPr>
        <w:t>, corrected</w:t>
      </w:r>
      <w:r>
        <w:rPr>
          <w:rFonts w:ascii="Arial" w:hAnsi="Arial" w:cs="Arial"/>
          <w:sz w:val="24"/>
          <w:szCs w:val="24"/>
        </w:rPr>
        <w:t xml:space="preserve"> </w:t>
      </w:r>
      <w:r w:rsidR="00415926">
        <w:rPr>
          <w:rFonts w:ascii="Arial" w:hAnsi="Arial" w:cs="Arial"/>
          <w:sz w:val="24"/>
          <w:szCs w:val="24"/>
        </w:rPr>
        <w:t xml:space="preserve">public </w:t>
      </w:r>
      <w:r>
        <w:rPr>
          <w:rFonts w:ascii="Arial" w:hAnsi="Arial" w:cs="Arial"/>
          <w:sz w:val="24"/>
          <w:szCs w:val="24"/>
        </w:rPr>
        <w:t xml:space="preserve">notice and </w:t>
      </w:r>
      <w:r w:rsidR="00415926">
        <w:rPr>
          <w:rFonts w:ascii="Arial" w:hAnsi="Arial" w:cs="Arial"/>
          <w:sz w:val="24"/>
          <w:szCs w:val="24"/>
        </w:rPr>
        <w:t xml:space="preserve">an additional </w:t>
      </w:r>
      <w:r w:rsidR="003D7E8B">
        <w:rPr>
          <w:rFonts w:ascii="Arial" w:hAnsi="Arial" w:cs="Arial"/>
          <w:sz w:val="24"/>
          <w:szCs w:val="24"/>
        </w:rPr>
        <w:t xml:space="preserve">30 days of time for </w:t>
      </w:r>
      <w:r>
        <w:rPr>
          <w:rFonts w:ascii="Arial" w:hAnsi="Arial" w:cs="Arial"/>
          <w:sz w:val="24"/>
          <w:szCs w:val="24"/>
        </w:rPr>
        <w:t xml:space="preserve">public comment to be received.  A public hearing is </w:t>
      </w:r>
      <w:proofErr w:type="gramStart"/>
      <w:r>
        <w:rPr>
          <w:rFonts w:ascii="Arial" w:hAnsi="Arial" w:cs="Arial"/>
          <w:sz w:val="24"/>
          <w:szCs w:val="24"/>
        </w:rPr>
        <w:t>required, and</w:t>
      </w:r>
      <w:proofErr w:type="gramEnd"/>
      <w:r>
        <w:rPr>
          <w:rFonts w:ascii="Arial" w:hAnsi="Arial" w:cs="Arial"/>
          <w:sz w:val="24"/>
          <w:szCs w:val="24"/>
        </w:rPr>
        <w:t xml:space="preserve"> should be granted by both departments</w:t>
      </w:r>
      <w:r w:rsidR="000227ED">
        <w:rPr>
          <w:rFonts w:ascii="Arial" w:hAnsi="Arial" w:cs="Arial"/>
          <w:sz w:val="24"/>
          <w:szCs w:val="24"/>
        </w:rPr>
        <w:t xml:space="preserve"> on these two permit requests.  </w:t>
      </w:r>
    </w:p>
    <w:p w14:paraId="2B95F7E3" w14:textId="21DC05D9" w:rsidR="006821A4" w:rsidRDefault="006821A4">
      <w:pPr>
        <w:rPr>
          <w:rFonts w:ascii="Arial" w:hAnsi="Arial" w:cs="Arial"/>
          <w:b/>
          <w:bCs/>
          <w:sz w:val="24"/>
          <w:szCs w:val="24"/>
        </w:rPr>
      </w:pPr>
      <w:r>
        <w:rPr>
          <w:rFonts w:ascii="Arial" w:hAnsi="Arial" w:cs="Arial"/>
          <w:b/>
          <w:bCs/>
          <w:sz w:val="24"/>
          <w:szCs w:val="24"/>
        </w:rPr>
        <w:t>All Agreements and Studies Referred to in the Plans Should be Available to the Public on the State’s Websites</w:t>
      </w:r>
    </w:p>
    <w:p w14:paraId="10D9252F" w14:textId="139CDFA4" w:rsidR="006821A4" w:rsidRDefault="006821A4">
      <w:pPr>
        <w:rPr>
          <w:rFonts w:ascii="Arial" w:hAnsi="Arial" w:cs="Arial"/>
          <w:sz w:val="24"/>
          <w:szCs w:val="24"/>
        </w:rPr>
      </w:pPr>
      <w:r>
        <w:rPr>
          <w:rFonts w:ascii="Arial" w:hAnsi="Arial" w:cs="Arial"/>
          <w:sz w:val="24"/>
          <w:szCs w:val="24"/>
        </w:rPr>
        <w:t>The Plans refer to a “Plan of Operations”</w:t>
      </w:r>
      <w:r w:rsidR="00781770">
        <w:rPr>
          <w:rFonts w:ascii="Arial" w:hAnsi="Arial" w:cs="Arial"/>
          <w:sz w:val="24"/>
          <w:szCs w:val="24"/>
        </w:rPr>
        <w:t>, a letter of credit</w:t>
      </w:r>
      <w:r>
        <w:rPr>
          <w:rFonts w:ascii="Arial" w:hAnsi="Arial" w:cs="Arial"/>
          <w:sz w:val="24"/>
          <w:szCs w:val="24"/>
        </w:rPr>
        <w:t xml:space="preserve"> and several other documents that could easily be made available to the public without a special request and delay.  When the plans are re-noticed to make corrections, please make all documents related to the permits available to the public on the state’s websites.</w:t>
      </w:r>
    </w:p>
    <w:p w14:paraId="4FF3F8D1" w14:textId="2FE61B9D" w:rsidR="00685FFE" w:rsidRPr="006821A4" w:rsidRDefault="00685FFE">
      <w:pPr>
        <w:rPr>
          <w:rFonts w:ascii="Arial" w:hAnsi="Arial" w:cs="Arial"/>
          <w:sz w:val="24"/>
          <w:szCs w:val="24"/>
        </w:rPr>
      </w:pPr>
      <w:r>
        <w:rPr>
          <w:rFonts w:ascii="Arial" w:hAnsi="Arial" w:cs="Arial"/>
          <w:sz w:val="24"/>
          <w:szCs w:val="24"/>
        </w:rPr>
        <w:t>For the reasons outlined in this and other letters I am sending to you, both permits should be denied.  If the process continues, a corrected public notice should issue and an additional 30 days should be allowed for public comment on both permits</w:t>
      </w:r>
      <w:r w:rsidR="00781770">
        <w:rPr>
          <w:rFonts w:ascii="Arial" w:hAnsi="Arial" w:cs="Arial"/>
          <w:sz w:val="24"/>
          <w:szCs w:val="24"/>
        </w:rPr>
        <w:t>, after all studies, plans, letters of credit, etc., are made available to the public online.</w:t>
      </w:r>
    </w:p>
    <w:p w14:paraId="242550F3" w14:textId="77777777" w:rsidR="006821A4" w:rsidRDefault="006821A4">
      <w:pPr>
        <w:rPr>
          <w:rFonts w:ascii="Arial" w:hAnsi="Arial" w:cs="Arial"/>
          <w:sz w:val="24"/>
          <w:szCs w:val="24"/>
        </w:rPr>
      </w:pPr>
    </w:p>
    <w:p w14:paraId="7EA6FD5A" w14:textId="140FF969" w:rsidR="00296F66" w:rsidRDefault="00296F66" w:rsidP="00685FFE">
      <w:pPr>
        <w:ind w:left="4320" w:firstLine="720"/>
        <w:rPr>
          <w:rFonts w:ascii="Arial" w:hAnsi="Arial" w:cs="Arial"/>
          <w:sz w:val="24"/>
          <w:szCs w:val="24"/>
        </w:rPr>
      </w:pPr>
      <w:r>
        <w:rPr>
          <w:rFonts w:ascii="Arial" w:hAnsi="Arial" w:cs="Arial"/>
          <w:sz w:val="24"/>
          <w:szCs w:val="24"/>
        </w:rPr>
        <w:t>Sincerely,</w:t>
      </w:r>
    </w:p>
    <w:p w14:paraId="43DFEE83" w14:textId="00CDE85E" w:rsidR="00296F66" w:rsidRDefault="00296F66">
      <w:pPr>
        <w:rPr>
          <w:rFonts w:ascii="Arial" w:hAnsi="Arial" w:cs="Arial"/>
          <w:sz w:val="24"/>
          <w:szCs w:val="24"/>
        </w:rPr>
      </w:pPr>
    </w:p>
    <w:p w14:paraId="76580A47" w14:textId="29BE1607" w:rsidR="00296F66" w:rsidRDefault="00296F66" w:rsidP="00685FFE">
      <w:pPr>
        <w:ind w:left="5040"/>
        <w:rPr>
          <w:rFonts w:ascii="Arial" w:hAnsi="Arial" w:cs="Arial"/>
          <w:sz w:val="24"/>
          <w:szCs w:val="24"/>
        </w:rPr>
      </w:pPr>
      <w:r>
        <w:rPr>
          <w:rFonts w:ascii="Arial" w:hAnsi="Arial" w:cs="Arial"/>
          <w:sz w:val="24"/>
          <w:szCs w:val="24"/>
        </w:rPr>
        <w:t>Barbara Schuhmann</w:t>
      </w:r>
    </w:p>
    <w:p w14:paraId="7C5FC2A9" w14:textId="00BBCF79" w:rsidR="00781770" w:rsidRDefault="00781770" w:rsidP="00781770">
      <w:pPr>
        <w:rPr>
          <w:rFonts w:ascii="Arial" w:hAnsi="Arial" w:cs="Arial"/>
          <w:sz w:val="24"/>
          <w:szCs w:val="24"/>
        </w:rPr>
      </w:pPr>
    </w:p>
    <w:p w14:paraId="40131505" w14:textId="797E1CAD" w:rsidR="00781770" w:rsidRDefault="00781770" w:rsidP="00781770">
      <w:pPr>
        <w:rPr>
          <w:rFonts w:ascii="Arial" w:hAnsi="Arial" w:cs="Arial"/>
          <w:sz w:val="24"/>
          <w:szCs w:val="24"/>
        </w:rPr>
      </w:pPr>
      <w:r>
        <w:rPr>
          <w:rFonts w:ascii="Arial" w:hAnsi="Arial" w:cs="Arial"/>
          <w:sz w:val="24"/>
          <w:szCs w:val="24"/>
        </w:rPr>
        <w:t>Website page</w:t>
      </w:r>
    </w:p>
    <w:p w14:paraId="46AC4555" w14:textId="59ECB7E7" w:rsidR="000836F7" w:rsidRDefault="000836F7" w:rsidP="000836F7">
      <w:pPr>
        <w:rPr>
          <w:rFonts w:ascii="Arial" w:hAnsi="Arial" w:cs="Arial"/>
          <w:sz w:val="24"/>
          <w:szCs w:val="24"/>
        </w:rPr>
      </w:pPr>
    </w:p>
    <w:p w14:paraId="6957F394" w14:textId="6E286CB9" w:rsidR="000836F7" w:rsidRDefault="000836F7" w:rsidP="000836F7">
      <w:pPr>
        <w:rPr>
          <w:rFonts w:ascii="Arial" w:hAnsi="Arial" w:cs="Arial"/>
          <w:sz w:val="24"/>
          <w:szCs w:val="24"/>
        </w:rPr>
      </w:pPr>
    </w:p>
    <w:p w14:paraId="1FDFEDFE" w14:textId="6CB9FB9E" w:rsidR="000836F7" w:rsidRDefault="000836F7" w:rsidP="000836F7">
      <w:pPr>
        <w:rPr>
          <w:rFonts w:ascii="Arial" w:hAnsi="Arial" w:cs="Arial"/>
          <w:sz w:val="24"/>
          <w:szCs w:val="24"/>
        </w:rPr>
      </w:pPr>
    </w:p>
    <w:p w14:paraId="35F6CE24" w14:textId="584F0ABA" w:rsidR="000836F7" w:rsidRDefault="000836F7" w:rsidP="000836F7">
      <w:pPr>
        <w:rPr>
          <w:rFonts w:ascii="Arial" w:hAnsi="Arial" w:cs="Arial"/>
          <w:sz w:val="24"/>
          <w:szCs w:val="24"/>
        </w:rPr>
      </w:pPr>
    </w:p>
    <w:p w14:paraId="6B5B5EA1" w14:textId="2B4A3742" w:rsidR="000836F7" w:rsidRDefault="000836F7" w:rsidP="000836F7">
      <w:pPr>
        <w:rPr>
          <w:rFonts w:ascii="Arial" w:hAnsi="Arial" w:cs="Arial"/>
          <w:sz w:val="24"/>
          <w:szCs w:val="24"/>
        </w:rPr>
      </w:pPr>
    </w:p>
    <w:p w14:paraId="5936A0B0" w14:textId="1FBF653E" w:rsidR="000836F7" w:rsidRDefault="000836F7" w:rsidP="000836F7">
      <w:pPr>
        <w:rPr>
          <w:rFonts w:ascii="Arial" w:hAnsi="Arial" w:cs="Arial"/>
          <w:sz w:val="24"/>
          <w:szCs w:val="24"/>
        </w:rPr>
      </w:pPr>
    </w:p>
    <w:p w14:paraId="0C9BC52E" w14:textId="4EE83E64" w:rsidR="000836F7" w:rsidRDefault="000836F7" w:rsidP="000836F7">
      <w:pPr>
        <w:rPr>
          <w:rFonts w:ascii="Arial" w:hAnsi="Arial" w:cs="Arial"/>
          <w:sz w:val="24"/>
          <w:szCs w:val="24"/>
        </w:rPr>
      </w:pPr>
    </w:p>
    <w:p w14:paraId="3EAE6383" w14:textId="432C629E" w:rsidR="000836F7" w:rsidRDefault="000836F7" w:rsidP="000836F7">
      <w:pPr>
        <w:rPr>
          <w:rFonts w:ascii="Arial" w:hAnsi="Arial" w:cs="Arial"/>
          <w:sz w:val="24"/>
          <w:szCs w:val="24"/>
        </w:rPr>
      </w:pPr>
    </w:p>
    <w:p w14:paraId="18D032EC" w14:textId="063E5451" w:rsidR="000836F7" w:rsidRDefault="000836F7" w:rsidP="000836F7">
      <w:pPr>
        <w:rPr>
          <w:rFonts w:ascii="Arial" w:hAnsi="Arial" w:cs="Arial"/>
          <w:sz w:val="24"/>
          <w:szCs w:val="24"/>
        </w:rPr>
      </w:pPr>
    </w:p>
    <w:p w14:paraId="20354CF8" w14:textId="37D679A5" w:rsidR="000836F7" w:rsidRDefault="000836F7" w:rsidP="000836F7">
      <w:pPr>
        <w:rPr>
          <w:rFonts w:ascii="Arial" w:hAnsi="Arial" w:cs="Arial"/>
          <w:sz w:val="24"/>
          <w:szCs w:val="24"/>
        </w:rPr>
      </w:pPr>
    </w:p>
    <w:p w14:paraId="3A058795" w14:textId="1420FCB6" w:rsidR="000836F7" w:rsidRPr="000836F7" w:rsidRDefault="000836F7" w:rsidP="000836F7">
      <w:pPr>
        <w:rPr>
          <w:rFonts w:ascii="Arial" w:hAnsi="Arial" w:cs="Arial"/>
          <w:color w:val="212529"/>
          <w:sz w:val="18"/>
          <w:szCs w:val="18"/>
          <w:shd w:val="clear" w:color="auto" w:fill="FFFFFF"/>
        </w:rPr>
      </w:pPr>
      <w:r>
        <w:rPr>
          <w:rFonts w:ascii="Arial" w:hAnsi="Arial" w:cs="Arial"/>
          <w:sz w:val="18"/>
          <w:szCs w:val="18"/>
        </w:rPr>
        <w:t xml:space="preserve">Obj </w:t>
      </w:r>
      <w:proofErr w:type="spellStart"/>
      <w:r>
        <w:rPr>
          <w:rFonts w:ascii="Arial" w:hAnsi="Arial" w:cs="Arial"/>
          <w:sz w:val="18"/>
          <w:szCs w:val="18"/>
        </w:rPr>
        <w:t>reqt</w:t>
      </w:r>
      <w:proofErr w:type="spellEnd"/>
      <w:r>
        <w:rPr>
          <w:rFonts w:ascii="Arial" w:hAnsi="Arial" w:cs="Arial"/>
          <w:sz w:val="18"/>
          <w:szCs w:val="18"/>
        </w:rPr>
        <w:t xml:space="preserve"> </w:t>
      </w:r>
      <w:proofErr w:type="spellStart"/>
      <w:r>
        <w:rPr>
          <w:rFonts w:ascii="Arial" w:hAnsi="Arial" w:cs="Arial"/>
          <w:sz w:val="18"/>
          <w:szCs w:val="18"/>
        </w:rPr>
        <w:t>corr</w:t>
      </w:r>
      <w:proofErr w:type="spellEnd"/>
      <w:r>
        <w:rPr>
          <w:rFonts w:ascii="Arial" w:hAnsi="Arial" w:cs="Arial"/>
          <w:sz w:val="18"/>
          <w:szCs w:val="18"/>
        </w:rPr>
        <w:t xml:space="preserve"> </w:t>
      </w:r>
      <w:proofErr w:type="spellStart"/>
      <w:r>
        <w:rPr>
          <w:rFonts w:ascii="Arial" w:hAnsi="Arial" w:cs="Arial"/>
          <w:sz w:val="18"/>
          <w:szCs w:val="18"/>
        </w:rPr>
        <w:t>ntc.adec</w:t>
      </w:r>
      <w:proofErr w:type="spellEnd"/>
    </w:p>
    <w:sectPr w:rsidR="000836F7" w:rsidRPr="000836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28F6" w14:textId="77777777" w:rsidR="00CD01CF" w:rsidRDefault="00CD01CF" w:rsidP="00685FFE">
      <w:pPr>
        <w:spacing w:after="0" w:line="240" w:lineRule="auto"/>
      </w:pPr>
      <w:r>
        <w:separator/>
      </w:r>
    </w:p>
  </w:endnote>
  <w:endnote w:type="continuationSeparator" w:id="0">
    <w:p w14:paraId="1A8C3F3C" w14:textId="77777777" w:rsidR="00CD01CF" w:rsidRDefault="00CD01CF" w:rsidP="0068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5CD1" w14:textId="77777777" w:rsidR="000836F7" w:rsidRPr="000836F7" w:rsidRDefault="000836F7">
    <w:pPr>
      <w:pStyle w:val="Footer"/>
      <w:jc w:val="center"/>
      <w:rPr>
        <w:rFonts w:ascii="Arial" w:hAnsi="Arial" w:cs="Arial"/>
        <w:sz w:val="18"/>
        <w:szCs w:val="18"/>
      </w:rPr>
    </w:pPr>
    <w:r w:rsidRPr="000836F7">
      <w:rPr>
        <w:rFonts w:ascii="Arial" w:hAnsi="Arial" w:cs="Arial"/>
        <w:sz w:val="18"/>
        <w:szCs w:val="18"/>
      </w:rPr>
      <w:t xml:space="preserve">Page </w:t>
    </w:r>
    <w:r w:rsidRPr="000836F7">
      <w:rPr>
        <w:rFonts w:ascii="Arial" w:hAnsi="Arial" w:cs="Arial"/>
        <w:sz w:val="18"/>
        <w:szCs w:val="18"/>
      </w:rPr>
      <w:fldChar w:fldCharType="begin"/>
    </w:r>
    <w:r w:rsidRPr="000836F7">
      <w:rPr>
        <w:rFonts w:ascii="Arial" w:hAnsi="Arial" w:cs="Arial"/>
        <w:sz w:val="18"/>
        <w:szCs w:val="18"/>
      </w:rPr>
      <w:instrText xml:space="preserve"> PAGE  \* Arabic  \* MERGEFORMAT </w:instrText>
    </w:r>
    <w:r w:rsidRPr="000836F7">
      <w:rPr>
        <w:rFonts w:ascii="Arial" w:hAnsi="Arial" w:cs="Arial"/>
        <w:sz w:val="18"/>
        <w:szCs w:val="18"/>
      </w:rPr>
      <w:fldChar w:fldCharType="separate"/>
    </w:r>
    <w:r w:rsidRPr="000836F7">
      <w:rPr>
        <w:rFonts w:ascii="Arial" w:hAnsi="Arial" w:cs="Arial"/>
        <w:noProof/>
        <w:sz w:val="18"/>
        <w:szCs w:val="18"/>
      </w:rPr>
      <w:t>2</w:t>
    </w:r>
    <w:r w:rsidRPr="000836F7">
      <w:rPr>
        <w:rFonts w:ascii="Arial" w:hAnsi="Arial" w:cs="Arial"/>
        <w:sz w:val="18"/>
        <w:szCs w:val="18"/>
      </w:rPr>
      <w:fldChar w:fldCharType="end"/>
    </w:r>
    <w:r w:rsidRPr="000836F7">
      <w:rPr>
        <w:rFonts w:ascii="Arial" w:hAnsi="Arial" w:cs="Arial"/>
        <w:sz w:val="18"/>
        <w:szCs w:val="18"/>
      </w:rPr>
      <w:t xml:space="preserve"> of </w:t>
    </w:r>
    <w:r w:rsidRPr="000836F7">
      <w:rPr>
        <w:rFonts w:ascii="Arial" w:hAnsi="Arial" w:cs="Arial"/>
        <w:sz w:val="18"/>
        <w:szCs w:val="18"/>
      </w:rPr>
      <w:fldChar w:fldCharType="begin"/>
    </w:r>
    <w:r w:rsidRPr="000836F7">
      <w:rPr>
        <w:rFonts w:ascii="Arial" w:hAnsi="Arial" w:cs="Arial"/>
        <w:sz w:val="18"/>
        <w:szCs w:val="18"/>
      </w:rPr>
      <w:instrText xml:space="preserve"> NUMPAGES  \* Arabic  \* MERGEFORMAT </w:instrText>
    </w:r>
    <w:r w:rsidRPr="000836F7">
      <w:rPr>
        <w:rFonts w:ascii="Arial" w:hAnsi="Arial" w:cs="Arial"/>
        <w:sz w:val="18"/>
        <w:szCs w:val="18"/>
      </w:rPr>
      <w:fldChar w:fldCharType="separate"/>
    </w:r>
    <w:r w:rsidRPr="000836F7">
      <w:rPr>
        <w:rFonts w:ascii="Arial" w:hAnsi="Arial" w:cs="Arial"/>
        <w:noProof/>
        <w:sz w:val="18"/>
        <w:szCs w:val="18"/>
      </w:rPr>
      <w:t>2</w:t>
    </w:r>
    <w:r w:rsidRPr="000836F7">
      <w:rPr>
        <w:rFonts w:ascii="Arial" w:hAnsi="Arial" w:cs="Arial"/>
        <w:sz w:val="18"/>
        <w:szCs w:val="18"/>
      </w:rPr>
      <w:fldChar w:fldCharType="end"/>
    </w:r>
  </w:p>
  <w:p w14:paraId="4DEFE50A" w14:textId="3D840E0A" w:rsidR="00685FFE" w:rsidRPr="000836F7" w:rsidRDefault="00685FF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2B8A" w14:textId="77777777" w:rsidR="00CD01CF" w:rsidRDefault="00CD01CF" w:rsidP="00685FFE">
      <w:pPr>
        <w:spacing w:after="0" w:line="240" w:lineRule="auto"/>
      </w:pPr>
      <w:r>
        <w:separator/>
      </w:r>
    </w:p>
  </w:footnote>
  <w:footnote w:type="continuationSeparator" w:id="0">
    <w:p w14:paraId="7B5ED655" w14:textId="77777777" w:rsidR="00CD01CF" w:rsidRDefault="00CD01CF" w:rsidP="00685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94A"/>
    <w:multiLevelType w:val="hybridMultilevel"/>
    <w:tmpl w:val="E54ACEF8"/>
    <w:lvl w:ilvl="0" w:tplc="BB8C7C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19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7C"/>
    <w:rsid w:val="000227ED"/>
    <w:rsid w:val="000836F7"/>
    <w:rsid w:val="000B5505"/>
    <w:rsid w:val="00105D75"/>
    <w:rsid w:val="00204A90"/>
    <w:rsid w:val="00296F66"/>
    <w:rsid w:val="00321EF6"/>
    <w:rsid w:val="00345645"/>
    <w:rsid w:val="003D7E8B"/>
    <w:rsid w:val="00415926"/>
    <w:rsid w:val="0044388C"/>
    <w:rsid w:val="00454C6A"/>
    <w:rsid w:val="005205F5"/>
    <w:rsid w:val="005354B2"/>
    <w:rsid w:val="005B75CE"/>
    <w:rsid w:val="00670129"/>
    <w:rsid w:val="006821A4"/>
    <w:rsid w:val="00685FFE"/>
    <w:rsid w:val="006E156D"/>
    <w:rsid w:val="007272B1"/>
    <w:rsid w:val="00734D9D"/>
    <w:rsid w:val="00766F7C"/>
    <w:rsid w:val="00781770"/>
    <w:rsid w:val="007A31EB"/>
    <w:rsid w:val="007E3713"/>
    <w:rsid w:val="007F1B15"/>
    <w:rsid w:val="007F5BD7"/>
    <w:rsid w:val="008E4C87"/>
    <w:rsid w:val="008F66E4"/>
    <w:rsid w:val="009A5541"/>
    <w:rsid w:val="00A67F08"/>
    <w:rsid w:val="00AB1069"/>
    <w:rsid w:val="00AE334C"/>
    <w:rsid w:val="00B22448"/>
    <w:rsid w:val="00B4397C"/>
    <w:rsid w:val="00B5613E"/>
    <w:rsid w:val="00CD01CF"/>
    <w:rsid w:val="00CF707B"/>
    <w:rsid w:val="00D01BE8"/>
    <w:rsid w:val="00D173AB"/>
    <w:rsid w:val="00DF2ECB"/>
    <w:rsid w:val="00F31994"/>
    <w:rsid w:val="00F417E9"/>
    <w:rsid w:val="00F71764"/>
    <w:rsid w:val="00F75466"/>
    <w:rsid w:val="00FB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6AD"/>
  <w15:chartTrackingRefBased/>
  <w15:docId w15:val="{63D2A705-5181-457F-AB03-4A0589FA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129"/>
    <w:pPr>
      <w:ind w:left="720"/>
      <w:contextualSpacing/>
    </w:pPr>
  </w:style>
  <w:style w:type="character" w:styleId="Hyperlink">
    <w:name w:val="Hyperlink"/>
    <w:basedOn w:val="DefaultParagraphFont"/>
    <w:uiPriority w:val="99"/>
    <w:unhideWhenUsed/>
    <w:rsid w:val="00415926"/>
    <w:rPr>
      <w:color w:val="0563C1" w:themeColor="hyperlink"/>
      <w:u w:val="single"/>
    </w:rPr>
  </w:style>
  <w:style w:type="character" w:styleId="UnresolvedMention">
    <w:name w:val="Unresolved Mention"/>
    <w:basedOn w:val="DefaultParagraphFont"/>
    <w:uiPriority w:val="99"/>
    <w:semiHidden/>
    <w:unhideWhenUsed/>
    <w:rsid w:val="00415926"/>
    <w:rPr>
      <w:color w:val="605E5C"/>
      <w:shd w:val="clear" w:color="auto" w:fill="E1DFDD"/>
    </w:rPr>
  </w:style>
  <w:style w:type="paragraph" w:styleId="Header">
    <w:name w:val="header"/>
    <w:basedOn w:val="Normal"/>
    <w:link w:val="HeaderChar"/>
    <w:uiPriority w:val="99"/>
    <w:unhideWhenUsed/>
    <w:rsid w:val="0068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FE"/>
  </w:style>
  <w:style w:type="paragraph" w:styleId="Footer">
    <w:name w:val="footer"/>
    <w:basedOn w:val="Normal"/>
    <w:link w:val="FooterChar"/>
    <w:uiPriority w:val="99"/>
    <w:unhideWhenUsed/>
    <w:rsid w:val="0068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5</cp:revision>
  <cp:lastPrinted>2023-03-11T02:44:00Z</cp:lastPrinted>
  <dcterms:created xsi:type="dcterms:W3CDTF">2023-03-12T20:21:00Z</dcterms:created>
  <dcterms:modified xsi:type="dcterms:W3CDTF">2023-03-13T00:36:00Z</dcterms:modified>
</cp:coreProperties>
</file>