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A14B1" w14:textId="5C68AF71" w:rsidR="005C2FD4" w:rsidRPr="00183BE7" w:rsidRDefault="003031AE" w:rsidP="00B1738B">
      <w:pPr>
        <w:pStyle w:val="Title"/>
        <w:rPr>
          <w:rFonts w:eastAsia="Calibri"/>
          <w:sz w:val="36"/>
          <w:szCs w:val="36"/>
        </w:rPr>
      </w:pPr>
      <w:r>
        <w:rPr>
          <w:sz w:val="36"/>
          <w:szCs w:val="36"/>
        </w:rPr>
        <w:t xml:space="preserve">Updated </w:t>
      </w:r>
      <w:r w:rsidR="005C2FD4" w:rsidRPr="00183BE7">
        <w:rPr>
          <w:sz w:val="36"/>
          <w:szCs w:val="36"/>
        </w:rPr>
        <w:t>National</w:t>
      </w:r>
      <w:r w:rsidR="00687131">
        <w:rPr>
          <w:rFonts w:eastAsia="Calibri"/>
          <w:sz w:val="36"/>
          <w:szCs w:val="36"/>
        </w:rPr>
        <w:t xml:space="preserve"> </w:t>
      </w:r>
      <w:r w:rsidR="005C2FD4" w:rsidRPr="00183BE7">
        <w:rPr>
          <w:rFonts w:eastAsia="Calibri"/>
          <w:sz w:val="36"/>
          <w:szCs w:val="36"/>
        </w:rPr>
        <w:t>Park</w:t>
      </w:r>
      <w:r w:rsidR="00687131">
        <w:rPr>
          <w:rFonts w:eastAsia="Calibri"/>
          <w:sz w:val="36"/>
          <w:szCs w:val="36"/>
        </w:rPr>
        <w:t xml:space="preserve"> </w:t>
      </w:r>
      <w:r w:rsidR="005C2FD4" w:rsidRPr="00183BE7">
        <w:rPr>
          <w:rFonts w:eastAsia="Calibri"/>
          <w:sz w:val="36"/>
          <w:szCs w:val="36"/>
        </w:rPr>
        <w:t>Service</w:t>
      </w:r>
      <w:r w:rsidR="00687131">
        <w:rPr>
          <w:rFonts w:eastAsia="Calibri"/>
          <w:sz w:val="36"/>
          <w:szCs w:val="36"/>
        </w:rPr>
        <w:t xml:space="preserve"> </w:t>
      </w:r>
      <w:r w:rsidR="005C2FD4" w:rsidRPr="00183BE7">
        <w:rPr>
          <w:rFonts w:eastAsia="Calibri"/>
          <w:sz w:val="36"/>
          <w:szCs w:val="36"/>
        </w:rPr>
        <w:t>(NPS)</w:t>
      </w:r>
      <w:r w:rsidR="00687131">
        <w:rPr>
          <w:rFonts w:eastAsia="Calibri"/>
          <w:sz w:val="36"/>
          <w:szCs w:val="36"/>
        </w:rPr>
        <w:t xml:space="preserve"> </w:t>
      </w:r>
      <w:r w:rsidR="005C2FD4" w:rsidRPr="00183BE7">
        <w:rPr>
          <w:rFonts w:eastAsia="Calibri"/>
          <w:sz w:val="36"/>
          <w:szCs w:val="36"/>
        </w:rPr>
        <w:t>Regional</w:t>
      </w:r>
      <w:r w:rsidR="00687131">
        <w:rPr>
          <w:rFonts w:eastAsia="Calibri"/>
          <w:sz w:val="36"/>
          <w:szCs w:val="36"/>
        </w:rPr>
        <w:t xml:space="preserve"> </w:t>
      </w:r>
      <w:r w:rsidR="005C2FD4" w:rsidRPr="00183BE7">
        <w:rPr>
          <w:rFonts w:eastAsia="Calibri"/>
          <w:sz w:val="36"/>
          <w:szCs w:val="36"/>
        </w:rPr>
        <w:t>Haze</w:t>
      </w:r>
      <w:r w:rsidR="00687131">
        <w:rPr>
          <w:rFonts w:eastAsia="Calibri"/>
          <w:sz w:val="36"/>
          <w:szCs w:val="36"/>
        </w:rPr>
        <w:t xml:space="preserve"> </w:t>
      </w:r>
      <w:r w:rsidR="005C2FD4" w:rsidRPr="00183BE7">
        <w:rPr>
          <w:rFonts w:eastAsia="Calibri"/>
          <w:sz w:val="36"/>
          <w:szCs w:val="36"/>
        </w:rPr>
        <w:t>SIP</w:t>
      </w:r>
      <w:r w:rsidR="00687131">
        <w:rPr>
          <w:rFonts w:eastAsia="Calibri"/>
          <w:sz w:val="36"/>
          <w:szCs w:val="36"/>
        </w:rPr>
        <w:t xml:space="preserve"> </w:t>
      </w:r>
      <w:r w:rsidR="005C2FD4" w:rsidRPr="00183BE7">
        <w:rPr>
          <w:rFonts w:eastAsia="Calibri"/>
          <w:sz w:val="36"/>
          <w:szCs w:val="36"/>
        </w:rPr>
        <w:t>feedback</w:t>
      </w:r>
      <w:r w:rsidR="00687131">
        <w:rPr>
          <w:rFonts w:eastAsia="Calibri"/>
          <w:sz w:val="36"/>
          <w:szCs w:val="36"/>
        </w:rPr>
        <w:t xml:space="preserve"> </w:t>
      </w:r>
      <w:r w:rsidR="005C2FD4" w:rsidRPr="00183BE7">
        <w:rPr>
          <w:rFonts w:eastAsia="Calibri"/>
          <w:sz w:val="36"/>
          <w:szCs w:val="36"/>
        </w:rPr>
        <w:t>for</w:t>
      </w:r>
      <w:r w:rsidR="00687131">
        <w:rPr>
          <w:rFonts w:eastAsia="Calibri"/>
          <w:sz w:val="36"/>
          <w:szCs w:val="36"/>
        </w:rPr>
        <w:t xml:space="preserve"> </w:t>
      </w:r>
      <w:r w:rsidR="005C2FD4" w:rsidRPr="00183BE7">
        <w:rPr>
          <w:rFonts w:eastAsia="Calibri"/>
          <w:sz w:val="36"/>
          <w:szCs w:val="36"/>
        </w:rPr>
        <w:t>the</w:t>
      </w:r>
      <w:r w:rsidR="00687131">
        <w:rPr>
          <w:rFonts w:eastAsia="Calibri"/>
          <w:sz w:val="36"/>
          <w:szCs w:val="36"/>
        </w:rPr>
        <w:t xml:space="preserve"> </w:t>
      </w:r>
      <w:r w:rsidR="00166992">
        <w:rPr>
          <w:rFonts w:eastAsia="Calibri"/>
          <w:sz w:val="36"/>
          <w:szCs w:val="36"/>
        </w:rPr>
        <w:t>Minnesota Pollution Control Agency</w:t>
      </w:r>
      <w:r w:rsidR="00687131">
        <w:rPr>
          <w:rFonts w:eastAsia="Calibri"/>
          <w:sz w:val="36"/>
          <w:szCs w:val="36"/>
        </w:rPr>
        <w:t xml:space="preserve"> </w:t>
      </w:r>
    </w:p>
    <w:p w14:paraId="2C386BB8" w14:textId="47915A18" w:rsidR="005C2FD4" w:rsidRDefault="0097276E" w:rsidP="00B1738B">
      <w:pPr>
        <w:pStyle w:val="Subtitle"/>
        <w:spacing w:line="240" w:lineRule="auto"/>
        <w:contextualSpacing/>
        <w:rPr>
          <w:rFonts w:eastAsia="Calibri"/>
        </w:rPr>
      </w:pPr>
      <w:r>
        <w:rPr>
          <w:rFonts w:eastAsia="Calibri"/>
        </w:rPr>
        <w:t xml:space="preserve">October </w:t>
      </w:r>
      <w:r w:rsidR="00746F21">
        <w:rPr>
          <w:rFonts w:eastAsia="Calibri"/>
        </w:rPr>
        <w:t>3</w:t>
      </w:r>
      <w:r w:rsidR="005C2FD4">
        <w:rPr>
          <w:rFonts w:eastAsia="Calibri"/>
        </w:rPr>
        <w:t>,</w:t>
      </w:r>
      <w:r w:rsidR="00687131">
        <w:rPr>
          <w:rFonts w:eastAsia="Calibri"/>
        </w:rPr>
        <w:t xml:space="preserve"> </w:t>
      </w:r>
      <w:r w:rsidR="005C2FD4">
        <w:rPr>
          <w:rFonts w:eastAsia="Calibri"/>
        </w:rPr>
        <w:t>202</w:t>
      </w:r>
      <w:r w:rsidR="00166992">
        <w:rPr>
          <w:rFonts w:eastAsia="Calibri"/>
        </w:rPr>
        <w:t>2</w:t>
      </w:r>
    </w:p>
    <w:p w14:paraId="0B894C23" w14:textId="5A6CA85A" w:rsidR="005C2FD4" w:rsidRDefault="005C2FD4" w:rsidP="003B5841">
      <w:pPr>
        <w:pStyle w:val="Default"/>
      </w:pPr>
    </w:p>
    <w:p w14:paraId="2D3A94F9" w14:textId="03942891" w:rsidR="0005297B" w:rsidRDefault="00755794" w:rsidP="003B5841">
      <w:pPr>
        <w:pStyle w:val="Default"/>
      </w:pPr>
      <w:r>
        <w:tab/>
      </w:r>
    </w:p>
    <w:p w14:paraId="1A3AC867" w14:textId="0A638892" w:rsidR="005C2FD4" w:rsidRDefault="0068405A" w:rsidP="003B5841">
      <w:pPr>
        <w:pStyle w:val="Default"/>
      </w:pPr>
      <w:r>
        <w:t>Contents</w:t>
      </w:r>
    </w:p>
    <w:p w14:paraId="35FCAF8F" w14:textId="15C526A1" w:rsidR="00E31E43" w:rsidRDefault="00FD1DC7">
      <w:pPr>
        <w:pStyle w:val="TOC1"/>
        <w:rPr>
          <w:rFonts w:asciiTheme="minorHAnsi" w:eastAsiaTheme="minorEastAsia" w:hAnsiTheme="minorHAnsi"/>
          <w:noProof/>
          <w:sz w:val="22"/>
        </w:rPr>
      </w:pPr>
      <w:r>
        <w:rPr>
          <w:rFonts w:asciiTheme="minorHAnsi" w:hAnsiTheme="minorHAnsi"/>
          <w:sz w:val="22"/>
          <w:highlight w:val="yellow"/>
        </w:rPr>
        <w:fldChar w:fldCharType="begin"/>
      </w:r>
      <w:r>
        <w:rPr>
          <w:highlight w:val="yellow"/>
        </w:rPr>
        <w:instrText xml:space="preserve"> TOC \o "1-2" \h \z \u </w:instrText>
      </w:r>
      <w:r>
        <w:rPr>
          <w:rFonts w:asciiTheme="minorHAnsi" w:hAnsiTheme="minorHAnsi"/>
          <w:sz w:val="22"/>
          <w:highlight w:val="yellow"/>
        </w:rPr>
        <w:fldChar w:fldCharType="separate"/>
      </w:r>
      <w:hyperlink w:anchor="_Toc115775415" w:history="1">
        <w:r w:rsidR="00E31E43" w:rsidRPr="00C73008">
          <w:rPr>
            <w:rStyle w:val="Hyperlink"/>
            <w:rFonts w:eastAsia="Calibri"/>
            <w:noProof/>
          </w:rPr>
          <w:t>1</w:t>
        </w:r>
        <w:r w:rsidR="00E31E43">
          <w:rPr>
            <w:rFonts w:asciiTheme="minorHAnsi" w:eastAsiaTheme="minorEastAsia" w:hAnsiTheme="minorHAnsi"/>
            <w:noProof/>
            <w:sz w:val="22"/>
          </w:rPr>
          <w:tab/>
        </w:r>
        <w:r w:rsidR="00E31E43" w:rsidRPr="00C73008">
          <w:rPr>
            <w:rStyle w:val="Hyperlink"/>
            <w:rFonts w:eastAsia="Calibri"/>
            <w:noProof/>
          </w:rPr>
          <w:t>Executive Summary</w:t>
        </w:r>
        <w:r w:rsidR="00E31E43">
          <w:rPr>
            <w:noProof/>
            <w:webHidden/>
          </w:rPr>
          <w:tab/>
        </w:r>
        <w:r w:rsidR="00E31E43">
          <w:rPr>
            <w:noProof/>
            <w:webHidden/>
          </w:rPr>
          <w:fldChar w:fldCharType="begin"/>
        </w:r>
        <w:r w:rsidR="00E31E43">
          <w:rPr>
            <w:noProof/>
            <w:webHidden/>
          </w:rPr>
          <w:instrText xml:space="preserve"> PAGEREF _Toc115775415 \h </w:instrText>
        </w:r>
        <w:r w:rsidR="00E31E43">
          <w:rPr>
            <w:noProof/>
            <w:webHidden/>
          </w:rPr>
        </w:r>
        <w:r w:rsidR="00E31E43">
          <w:rPr>
            <w:noProof/>
            <w:webHidden/>
          </w:rPr>
          <w:fldChar w:fldCharType="separate"/>
        </w:r>
        <w:r w:rsidR="00E31E43">
          <w:rPr>
            <w:noProof/>
            <w:webHidden/>
          </w:rPr>
          <w:t>2</w:t>
        </w:r>
        <w:r w:rsidR="00E31E43">
          <w:rPr>
            <w:noProof/>
            <w:webHidden/>
          </w:rPr>
          <w:fldChar w:fldCharType="end"/>
        </w:r>
      </w:hyperlink>
    </w:p>
    <w:p w14:paraId="39E7C4AF" w14:textId="6D082FA4" w:rsidR="00E31E43" w:rsidRDefault="00E31E43">
      <w:pPr>
        <w:pStyle w:val="TOC1"/>
        <w:rPr>
          <w:rFonts w:asciiTheme="minorHAnsi" w:eastAsiaTheme="minorEastAsia" w:hAnsiTheme="minorHAnsi"/>
          <w:noProof/>
          <w:sz w:val="22"/>
        </w:rPr>
      </w:pPr>
      <w:hyperlink w:anchor="_Toc115775416" w:history="1">
        <w:r w:rsidRPr="00C73008">
          <w:rPr>
            <w:rStyle w:val="Hyperlink"/>
            <w:noProof/>
          </w:rPr>
          <w:t>2</w:t>
        </w:r>
        <w:r>
          <w:rPr>
            <w:rFonts w:asciiTheme="minorHAnsi" w:eastAsiaTheme="minorEastAsia" w:hAnsiTheme="minorHAnsi"/>
            <w:noProof/>
            <w:sz w:val="22"/>
          </w:rPr>
          <w:tab/>
        </w:r>
        <w:r w:rsidRPr="00C73008">
          <w:rPr>
            <w:rStyle w:val="Hyperlink"/>
            <w:noProof/>
          </w:rPr>
          <w:t>Overarching Feedback</w:t>
        </w:r>
        <w:r>
          <w:rPr>
            <w:noProof/>
            <w:webHidden/>
          </w:rPr>
          <w:tab/>
        </w:r>
        <w:r>
          <w:rPr>
            <w:noProof/>
            <w:webHidden/>
          </w:rPr>
          <w:fldChar w:fldCharType="begin"/>
        </w:r>
        <w:r>
          <w:rPr>
            <w:noProof/>
            <w:webHidden/>
          </w:rPr>
          <w:instrText xml:space="preserve"> PAGEREF _Toc115775416 \h </w:instrText>
        </w:r>
        <w:r>
          <w:rPr>
            <w:noProof/>
            <w:webHidden/>
          </w:rPr>
        </w:r>
        <w:r>
          <w:rPr>
            <w:noProof/>
            <w:webHidden/>
          </w:rPr>
          <w:fldChar w:fldCharType="separate"/>
        </w:r>
        <w:r>
          <w:rPr>
            <w:noProof/>
            <w:webHidden/>
          </w:rPr>
          <w:t>2</w:t>
        </w:r>
        <w:r>
          <w:rPr>
            <w:noProof/>
            <w:webHidden/>
          </w:rPr>
          <w:fldChar w:fldCharType="end"/>
        </w:r>
      </w:hyperlink>
    </w:p>
    <w:p w14:paraId="0B714F36" w14:textId="34CD6943" w:rsidR="00E31E43" w:rsidRDefault="00E31E43">
      <w:pPr>
        <w:pStyle w:val="TOC2"/>
        <w:tabs>
          <w:tab w:val="left" w:pos="880"/>
          <w:tab w:val="right" w:leader="dot" w:pos="9350"/>
        </w:tabs>
        <w:rPr>
          <w:rFonts w:asciiTheme="minorHAnsi" w:eastAsiaTheme="minorEastAsia" w:hAnsiTheme="minorHAnsi"/>
          <w:noProof/>
          <w:sz w:val="22"/>
        </w:rPr>
      </w:pPr>
      <w:hyperlink w:anchor="_Toc115775417" w:history="1">
        <w:r w:rsidRPr="00C73008">
          <w:rPr>
            <w:rStyle w:val="Hyperlink"/>
            <w:noProof/>
          </w:rPr>
          <w:t>2.1</w:t>
        </w:r>
        <w:r>
          <w:rPr>
            <w:rFonts w:asciiTheme="minorHAnsi" w:eastAsiaTheme="minorEastAsia" w:hAnsiTheme="minorHAnsi"/>
            <w:noProof/>
            <w:sz w:val="22"/>
          </w:rPr>
          <w:tab/>
        </w:r>
        <w:r w:rsidRPr="00C73008">
          <w:rPr>
            <w:rStyle w:val="Hyperlink"/>
            <w:noProof/>
          </w:rPr>
          <w:t>Four-factor Analysis Screening - Demonstration of Effective Controls</w:t>
        </w:r>
        <w:r>
          <w:rPr>
            <w:noProof/>
            <w:webHidden/>
          </w:rPr>
          <w:tab/>
        </w:r>
        <w:r>
          <w:rPr>
            <w:noProof/>
            <w:webHidden/>
          </w:rPr>
          <w:fldChar w:fldCharType="begin"/>
        </w:r>
        <w:r>
          <w:rPr>
            <w:noProof/>
            <w:webHidden/>
          </w:rPr>
          <w:instrText xml:space="preserve"> PAGEREF _Toc115775417 \h </w:instrText>
        </w:r>
        <w:r>
          <w:rPr>
            <w:noProof/>
            <w:webHidden/>
          </w:rPr>
        </w:r>
        <w:r>
          <w:rPr>
            <w:noProof/>
            <w:webHidden/>
          </w:rPr>
          <w:fldChar w:fldCharType="separate"/>
        </w:r>
        <w:r>
          <w:rPr>
            <w:noProof/>
            <w:webHidden/>
          </w:rPr>
          <w:t>3</w:t>
        </w:r>
        <w:r>
          <w:rPr>
            <w:noProof/>
            <w:webHidden/>
          </w:rPr>
          <w:fldChar w:fldCharType="end"/>
        </w:r>
      </w:hyperlink>
    </w:p>
    <w:p w14:paraId="14F871BC" w14:textId="07D89FDA" w:rsidR="00E31E43" w:rsidRDefault="00E31E43">
      <w:pPr>
        <w:pStyle w:val="TOC2"/>
        <w:tabs>
          <w:tab w:val="left" w:pos="880"/>
          <w:tab w:val="right" w:leader="dot" w:pos="9350"/>
        </w:tabs>
        <w:rPr>
          <w:rFonts w:asciiTheme="minorHAnsi" w:eastAsiaTheme="minorEastAsia" w:hAnsiTheme="minorHAnsi"/>
          <w:noProof/>
          <w:sz w:val="22"/>
        </w:rPr>
      </w:pPr>
      <w:hyperlink w:anchor="_Toc115775418" w:history="1">
        <w:r w:rsidRPr="00C73008">
          <w:rPr>
            <w:rStyle w:val="Hyperlink"/>
            <w:noProof/>
          </w:rPr>
          <w:t>2.2</w:t>
        </w:r>
        <w:r>
          <w:rPr>
            <w:rFonts w:asciiTheme="minorHAnsi" w:eastAsiaTheme="minorEastAsia" w:hAnsiTheme="minorHAnsi"/>
            <w:noProof/>
            <w:sz w:val="22"/>
          </w:rPr>
          <w:tab/>
        </w:r>
        <w:r w:rsidRPr="00C73008">
          <w:rPr>
            <w:rStyle w:val="Hyperlink"/>
            <w:noProof/>
          </w:rPr>
          <w:t>Retrofit Factors in Cost Analyses</w:t>
        </w:r>
        <w:r>
          <w:rPr>
            <w:noProof/>
            <w:webHidden/>
          </w:rPr>
          <w:tab/>
        </w:r>
        <w:r>
          <w:rPr>
            <w:noProof/>
            <w:webHidden/>
          </w:rPr>
          <w:fldChar w:fldCharType="begin"/>
        </w:r>
        <w:r>
          <w:rPr>
            <w:noProof/>
            <w:webHidden/>
          </w:rPr>
          <w:instrText xml:space="preserve"> PAGEREF _Toc115775418 \h </w:instrText>
        </w:r>
        <w:r>
          <w:rPr>
            <w:noProof/>
            <w:webHidden/>
          </w:rPr>
        </w:r>
        <w:r>
          <w:rPr>
            <w:noProof/>
            <w:webHidden/>
          </w:rPr>
          <w:fldChar w:fldCharType="separate"/>
        </w:r>
        <w:r>
          <w:rPr>
            <w:noProof/>
            <w:webHidden/>
          </w:rPr>
          <w:t>3</w:t>
        </w:r>
        <w:r>
          <w:rPr>
            <w:noProof/>
            <w:webHidden/>
          </w:rPr>
          <w:fldChar w:fldCharType="end"/>
        </w:r>
      </w:hyperlink>
    </w:p>
    <w:p w14:paraId="1A2FE5BB" w14:textId="309A93FB" w:rsidR="00E31E43" w:rsidRDefault="00E31E43">
      <w:pPr>
        <w:pStyle w:val="TOC2"/>
        <w:tabs>
          <w:tab w:val="left" w:pos="880"/>
          <w:tab w:val="right" w:leader="dot" w:pos="9350"/>
        </w:tabs>
        <w:rPr>
          <w:rFonts w:asciiTheme="minorHAnsi" w:eastAsiaTheme="minorEastAsia" w:hAnsiTheme="minorHAnsi"/>
          <w:noProof/>
          <w:sz w:val="22"/>
        </w:rPr>
      </w:pPr>
      <w:hyperlink w:anchor="_Toc115775419" w:history="1">
        <w:r w:rsidRPr="00C73008">
          <w:rPr>
            <w:rStyle w:val="Hyperlink"/>
            <w:noProof/>
          </w:rPr>
          <w:t>2.3</w:t>
        </w:r>
        <w:r>
          <w:rPr>
            <w:rFonts w:asciiTheme="minorHAnsi" w:eastAsiaTheme="minorEastAsia" w:hAnsiTheme="minorHAnsi"/>
            <w:noProof/>
            <w:sz w:val="22"/>
          </w:rPr>
          <w:tab/>
        </w:r>
        <w:r w:rsidRPr="00C73008">
          <w:rPr>
            <w:rStyle w:val="Hyperlink"/>
            <w:noProof/>
          </w:rPr>
          <w:t>Control Efficiency and Outlet Emissions</w:t>
        </w:r>
        <w:r>
          <w:rPr>
            <w:noProof/>
            <w:webHidden/>
          </w:rPr>
          <w:tab/>
        </w:r>
        <w:r>
          <w:rPr>
            <w:noProof/>
            <w:webHidden/>
          </w:rPr>
          <w:fldChar w:fldCharType="begin"/>
        </w:r>
        <w:r>
          <w:rPr>
            <w:noProof/>
            <w:webHidden/>
          </w:rPr>
          <w:instrText xml:space="preserve"> PAGEREF _Toc115775419 \h </w:instrText>
        </w:r>
        <w:r>
          <w:rPr>
            <w:noProof/>
            <w:webHidden/>
          </w:rPr>
        </w:r>
        <w:r>
          <w:rPr>
            <w:noProof/>
            <w:webHidden/>
          </w:rPr>
          <w:fldChar w:fldCharType="separate"/>
        </w:r>
        <w:r>
          <w:rPr>
            <w:noProof/>
            <w:webHidden/>
          </w:rPr>
          <w:t>4</w:t>
        </w:r>
        <w:r>
          <w:rPr>
            <w:noProof/>
            <w:webHidden/>
          </w:rPr>
          <w:fldChar w:fldCharType="end"/>
        </w:r>
      </w:hyperlink>
    </w:p>
    <w:p w14:paraId="3A8D05C2" w14:textId="3D443533" w:rsidR="00E31E43" w:rsidRDefault="00E31E43">
      <w:pPr>
        <w:pStyle w:val="TOC2"/>
        <w:tabs>
          <w:tab w:val="left" w:pos="880"/>
          <w:tab w:val="right" w:leader="dot" w:pos="9350"/>
        </w:tabs>
        <w:rPr>
          <w:rFonts w:asciiTheme="minorHAnsi" w:eastAsiaTheme="minorEastAsia" w:hAnsiTheme="minorHAnsi"/>
          <w:noProof/>
          <w:sz w:val="22"/>
        </w:rPr>
      </w:pPr>
      <w:hyperlink w:anchor="_Toc115775420" w:history="1">
        <w:r w:rsidRPr="00C73008">
          <w:rPr>
            <w:rStyle w:val="Hyperlink"/>
            <w:noProof/>
          </w:rPr>
          <w:t>2.4</w:t>
        </w:r>
        <w:r>
          <w:rPr>
            <w:rFonts w:asciiTheme="minorHAnsi" w:eastAsiaTheme="minorEastAsia" w:hAnsiTheme="minorHAnsi"/>
            <w:noProof/>
            <w:sz w:val="22"/>
          </w:rPr>
          <w:tab/>
        </w:r>
        <w:r w:rsidRPr="00C73008">
          <w:rPr>
            <w:rStyle w:val="Hyperlink"/>
            <w:noProof/>
          </w:rPr>
          <w:t>Control Equipment Life</w:t>
        </w:r>
        <w:r>
          <w:rPr>
            <w:noProof/>
            <w:webHidden/>
          </w:rPr>
          <w:tab/>
        </w:r>
        <w:r>
          <w:rPr>
            <w:noProof/>
            <w:webHidden/>
          </w:rPr>
          <w:fldChar w:fldCharType="begin"/>
        </w:r>
        <w:r>
          <w:rPr>
            <w:noProof/>
            <w:webHidden/>
          </w:rPr>
          <w:instrText xml:space="preserve"> PAGEREF _Toc115775420 \h </w:instrText>
        </w:r>
        <w:r>
          <w:rPr>
            <w:noProof/>
            <w:webHidden/>
          </w:rPr>
        </w:r>
        <w:r>
          <w:rPr>
            <w:noProof/>
            <w:webHidden/>
          </w:rPr>
          <w:fldChar w:fldCharType="separate"/>
        </w:r>
        <w:r>
          <w:rPr>
            <w:noProof/>
            <w:webHidden/>
          </w:rPr>
          <w:t>4</w:t>
        </w:r>
        <w:r>
          <w:rPr>
            <w:noProof/>
            <w:webHidden/>
          </w:rPr>
          <w:fldChar w:fldCharType="end"/>
        </w:r>
      </w:hyperlink>
    </w:p>
    <w:p w14:paraId="4F22C09D" w14:textId="1C0D9E98" w:rsidR="00E31E43" w:rsidRDefault="00E31E43">
      <w:pPr>
        <w:pStyle w:val="TOC2"/>
        <w:tabs>
          <w:tab w:val="left" w:pos="880"/>
          <w:tab w:val="right" w:leader="dot" w:pos="9350"/>
        </w:tabs>
        <w:rPr>
          <w:rFonts w:asciiTheme="minorHAnsi" w:eastAsiaTheme="minorEastAsia" w:hAnsiTheme="minorHAnsi"/>
          <w:noProof/>
          <w:sz w:val="22"/>
        </w:rPr>
      </w:pPr>
      <w:hyperlink w:anchor="_Toc115775421" w:history="1">
        <w:r w:rsidRPr="00C73008">
          <w:rPr>
            <w:rStyle w:val="Hyperlink"/>
            <w:noProof/>
          </w:rPr>
          <w:t>2.5</w:t>
        </w:r>
        <w:r>
          <w:rPr>
            <w:rFonts w:asciiTheme="minorHAnsi" w:eastAsiaTheme="minorEastAsia" w:hAnsiTheme="minorHAnsi"/>
            <w:noProof/>
            <w:sz w:val="22"/>
          </w:rPr>
          <w:tab/>
        </w:r>
        <w:r w:rsidRPr="00C73008">
          <w:rPr>
            <w:rStyle w:val="Hyperlink"/>
            <w:noProof/>
          </w:rPr>
          <w:t>Unsupported Costs</w:t>
        </w:r>
        <w:r>
          <w:rPr>
            <w:noProof/>
            <w:webHidden/>
          </w:rPr>
          <w:tab/>
        </w:r>
        <w:r>
          <w:rPr>
            <w:noProof/>
            <w:webHidden/>
          </w:rPr>
          <w:fldChar w:fldCharType="begin"/>
        </w:r>
        <w:r>
          <w:rPr>
            <w:noProof/>
            <w:webHidden/>
          </w:rPr>
          <w:instrText xml:space="preserve"> PAGEREF _Toc115775421 \h </w:instrText>
        </w:r>
        <w:r>
          <w:rPr>
            <w:noProof/>
            <w:webHidden/>
          </w:rPr>
        </w:r>
        <w:r>
          <w:rPr>
            <w:noProof/>
            <w:webHidden/>
          </w:rPr>
          <w:fldChar w:fldCharType="separate"/>
        </w:r>
        <w:r>
          <w:rPr>
            <w:noProof/>
            <w:webHidden/>
          </w:rPr>
          <w:t>5</w:t>
        </w:r>
        <w:r>
          <w:rPr>
            <w:noProof/>
            <w:webHidden/>
          </w:rPr>
          <w:fldChar w:fldCharType="end"/>
        </w:r>
      </w:hyperlink>
    </w:p>
    <w:p w14:paraId="03441869" w14:textId="2EDA935C" w:rsidR="00E31E43" w:rsidRDefault="00E31E43">
      <w:pPr>
        <w:pStyle w:val="TOC2"/>
        <w:tabs>
          <w:tab w:val="left" w:pos="880"/>
          <w:tab w:val="right" w:leader="dot" w:pos="9350"/>
        </w:tabs>
        <w:rPr>
          <w:rFonts w:asciiTheme="minorHAnsi" w:eastAsiaTheme="minorEastAsia" w:hAnsiTheme="minorHAnsi"/>
          <w:noProof/>
          <w:sz w:val="22"/>
        </w:rPr>
      </w:pPr>
      <w:hyperlink w:anchor="_Toc115775422" w:history="1">
        <w:r w:rsidRPr="00C73008">
          <w:rPr>
            <w:rStyle w:val="Hyperlink"/>
            <w:noProof/>
          </w:rPr>
          <w:t>2.6</w:t>
        </w:r>
        <w:r>
          <w:rPr>
            <w:rFonts w:asciiTheme="minorHAnsi" w:eastAsiaTheme="minorEastAsia" w:hAnsiTheme="minorHAnsi"/>
            <w:noProof/>
            <w:sz w:val="22"/>
          </w:rPr>
          <w:tab/>
        </w:r>
        <w:r w:rsidRPr="00C73008">
          <w:rPr>
            <w:rStyle w:val="Hyperlink"/>
            <w:noProof/>
          </w:rPr>
          <w:t>Missing and Incomplete Analyses/Unsupported Control Determinations</w:t>
        </w:r>
        <w:r>
          <w:rPr>
            <w:noProof/>
            <w:webHidden/>
          </w:rPr>
          <w:tab/>
        </w:r>
        <w:r>
          <w:rPr>
            <w:noProof/>
            <w:webHidden/>
          </w:rPr>
          <w:fldChar w:fldCharType="begin"/>
        </w:r>
        <w:r>
          <w:rPr>
            <w:noProof/>
            <w:webHidden/>
          </w:rPr>
          <w:instrText xml:space="preserve"> PAGEREF _Toc115775422 \h </w:instrText>
        </w:r>
        <w:r>
          <w:rPr>
            <w:noProof/>
            <w:webHidden/>
          </w:rPr>
        </w:r>
        <w:r>
          <w:rPr>
            <w:noProof/>
            <w:webHidden/>
          </w:rPr>
          <w:fldChar w:fldCharType="separate"/>
        </w:r>
        <w:r>
          <w:rPr>
            <w:noProof/>
            <w:webHidden/>
          </w:rPr>
          <w:t>5</w:t>
        </w:r>
        <w:r>
          <w:rPr>
            <w:noProof/>
            <w:webHidden/>
          </w:rPr>
          <w:fldChar w:fldCharType="end"/>
        </w:r>
      </w:hyperlink>
    </w:p>
    <w:p w14:paraId="666931A9" w14:textId="047A5DDF" w:rsidR="00E31E43" w:rsidRDefault="00E31E43">
      <w:pPr>
        <w:pStyle w:val="TOC2"/>
        <w:tabs>
          <w:tab w:val="left" w:pos="880"/>
          <w:tab w:val="right" w:leader="dot" w:pos="9350"/>
        </w:tabs>
        <w:rPr>
          <w:rFonts w:asciiTheme="minorHAnsi" w:eastAsiaTheme="minorEastAsia" w:hAnsiTheme="minorHAnsi"/>
          <w:noProof/>
          <w:sz w:val="22"/>
        </w:rPr>
      </w:pPr>
      <w:hyperlink w:anchor="_Toc115775423" w:history="1">
        <w:r w:rsidRPr="00C73008">
          <w:rPr>
            <w:rStyle w:val="Hyperlink"/>
            <w:noProof/>
          </w:rPr>
          <w:t>2.7</w:t>
        </w:r>
        <w:r>
          <w:rPr>
            <w:rFonts w:asciiTheme="minorHAnsi" w:eastAsiaTheme="minorEastAsia" w:hAnsiTheme="minorHAnsi"/>
            <w:noProof/>
            <w:sz w:val="22"/>
          </w:rPr>
          <w:tab/>
        </w:r>
        <w:r w:rsidRPr="00C73008">
          <w:rPr>
            <w:rStyle w:val="Hyperlink"/>
            <w:noProof/>
          </w:rPr>
          <w:t>Cost Effectiveness Thresholds</w:t>
        </w:r>
        <w:r>
          <w:rPr>
            <w:noProof/>
            <w:webHidden/>
          </w:rPr>
          <w:tab/>
        </w:r>
        <w:r>
          <w:rPr>
            <w:noProof/>
            <w:webHidden/>
          </w:rPr>
          <w:fldChar w:fldCharType="begin"/>
        </w:r>
        <w:r>
          <w:rPr>
            <w:noProof/>
            <w:webHidden/>
          </w:rPr>
          <w:instrText xml:space="preserve"> PAGEREF _Toc115775423 \h </w:instrText>
        </w:r>
        <w:r>
          <w:rPr>
            <w:noProof/>
            <w:webHidden/>
          </w:rPr>
        </w:r>
        <w:r>
          <w:rPr>
            <w:noProof/>
            <w:webHidden/>
          </w:rPr>
          <w:fldChar w:fldCharType="separate"/>
        </w:r>
        <w:r>
          <w:rPr>
            <w:noProof/>
            <w:webHidden/>
          </w:rPr>
          <w:t>5</w:t>
        </w:r>
        <w:r>
          <w:rPr>
            <w:noProof/>
            <w:webHidden/>
          </w:rPr>
          <w:fldChar w:fldCharType="end"/>
        </w:r>
      </w:hyperlink>
    </w:p>
    <w:p w14:paraId="6CA2FF1B" w14:textId="41B2977D" w:rsidR="00E31E43" w:rsidRDefault="00E31E43">
      <w:pPr>
        <w:pStyle w:val="TOC1"/>
        <w:rPr>
          <w:rFonts w:asciiTheme="minorHAnsi" w:eastAsiaTheme="minorEastAsia" w:hAnsiTheme="minorHAnsi"/>
          <w:noProof/>
          <w:sz w:val="22"/>
        </w:rPr>
      </w:pPr>
      <w:hyperlink w:anchor="_Toc115775424" w:history="1">
        <w:r w:rsidRPr="00C73008">
          <w:rPr>
            <w:rStyle w:val="Hyperlink"/>
            <w:noProof/>
          </w:rPr>
          <w:t>3</w:t>
        </w:r>
        <w:r>
          <w:rPr>
            <w:rFonts w:asciiTheme="minorHAnsi" w:eastAsiaTheme="minorEastAsia" w:hAnsiTheme="minorHAnsi"/>
            <w:noProof/>
            <w:sz w:val="22"/>
          </w:rPr>
          <w:tab/>
        </w:r>
        <w:r w:rsidRPr="00C73008">
          <w:rPr>
            <w:rStyle w:val="Hyperlink"/>
            <w:noProof/>
          </w:rPr>
          <w:t>Electric Generating Facilities – Four-Factor Feedback</w:t>
        </w:r>
        <w:r>
          <w:rPr>
            <w:noProof/>
            <w:webHidden/>
          </w:rPr>
          <w:tab/>
        </w:r>
        <w:r>
          <w:rPr>
            <w:noProof/>
            <w:webHidden/>
          </w:rPr>
          <w:fldChar w:fldCharType="begin"/>
        </w:r>
        <w:r>
          <w:rPr>
            <w:noProof/>
            <w:webHidden/>
          </w:rPr>
          <w:instrText xml:space="preserve"> PAGEREF _Toc115775424 \h </w:instrText>
        </w:r>
        <w:r>
          <w:rPr>
            <w:noProof/>
            <w:webHidden/>
          </w:rPr>
        </w:r>
        <w:r>
          <w:rPr>
            <w:noProof/>
            <w:webHidden/>
          </w:rPr>
          <w:fldChar w:fldCharType="separate"/>
        </w:r>
        <w:r>
          <w:rPr>
            <w:noProof/>
            <w:webHidden/>
          </w:rPr>
          <w:t>7</w:t>
        </w:r>
        <w:r>
          <w:rPr>
            <w:noProof/>
            <w:webHidden/>
          </w:rPr>
          <w:fldChar w:fldCharType="end"/>
        </w:r>
      </w:hyperlink>
    </w:p>
    <w:p w14:paraId="44219011" w14:textId="62265E58" w:rsidR="00E31E43" w:rsidRDefault="00E31E43">
      <w:pPr>
        <w:pStyle w:val="TOC2"/>
        <w:tabs>
          <w:tab w:val="left" w:pos="880"/>
          <w:tab w:val="right" w:leader="dot" w:pos="9350"/>
        </w:tabs>
        <w:rPr>
          <w:rFonts w:asciiTheme="minorHAnsi" w:eastAsiaTheme="minorEastAsia" w:hAnsiTheme="minorHAnsi"/>
          <w:noProof/>
          <w:sz w:val="22"/>
        </w:rPr>
      </w:pPr>
      <w:hyperlink w:anchor="_Toc115775425" w:history="1">
        <w:r w:rsidRPr="00C73008">
          <w:rPr>
            <w:rStyle w:val="Hyperlink"/>
            <w:noProof/>
          </w:rPr>
          <w:t>3.1</w:t>
        </w:r>
        <w:r>
          <w:rPr>
            <w:rFonts w:asciiTheme="minorHAnsi" w:eastAsiaTheme="minorEastAsia" w:hAnsiTheme="minorHAnsi"/>
            <w:noProof/>
            <w:sz w:val="22"/>
          </w:rPr>
          <w:tab/>
        </w:r>
        <w:r w:rsidRPr="00C73008">
          <w:rPr>
            <w:rStyle w:val="Hyperlink"/>
            <w:noProof/>
          </w:rPr>
          <w:t>Hibbing Public Utilities Commission</w:t>
        </w:r>
        <w:r>
          <w:rPr>
            <w:noProof/>
            <w:webHidden/>
          </w:rPr>
          <w:tab/>
        </w:r>
        <w:r>
          <w:rPr>
            <w:noProof/>
            <w:webHidden/>
          </w:rPr>
          <w:fldChar w:fldCharType="begin"/>
        </w:r>
        <w:r>
          <w:rPr>
            <w:noProof/>
            <w:webHidden/>
          </w:rPr>
          <w:instrText xml:space="preserve"> PAGEREF _Toc115775425 \h </w:instrText>
        </w:r>
        <w:r>
          <w:rPr>
            <w:noProof/>
            <w:webHidden/>
          </w:rPr>
        </w:r>
        <w:r>
          <w:rPr>
            <w:noProof/>
            <w:webHidden/>
          </w:rPr>
          <w:fldChar w:fldCharType="separate"/>
        </w:r>
        <w:r>
          <w:rPr>
            <w:noProof/>
            <w:webHidden/>
          </w:rPr>
          <w:t>7</w:t>
        </w:r>
        <w:r>
          <w:rPr>
            <w:noProof/>
            <w:webHidden/>
          </w:rPr>
          <w:fldChar w:fldCharType="end"/>
        </w:r>
      </w:hyperlink>
    </w:p>
    <w:p w14:paraId="56A0AD52" w14:textId="61D60616" w:rsidR="00E31E43" w:rsidRDefault="00E31E43">
      <w:pPr>
        <w:pStyle w:val="TOC2"/>
        <w:tabs>
          <w:tab w:val="left" w:pos="880"/>
          <w:tab w:val="right" w:leader="dot" w:pos="9350"/>
        </w:tabs>
        <w:rPr>
          <w:rFonts w:asciiTheme="minorHAnsi" w:eastAsiaTheme="minorEastAsia" w:hAnsiTheme="minorHAnsi"/>
          <w:noProof/>
          <w:sz w:val="22"/>
        </w:rPr>
      </w:pPr>
      <w:hyperlink w:anchor="_Toc115775426" w:history="1">
        <w:r w:rsidRPr="00C73008">
          <w:rPr>
            <w:rStyle w:val="Hyperlink"/>
            <w:noProof/>
          </w:rPr>
          <w:t>3.2</w:t>
        </w:r>
        <w:r>
          <w:rPr>
            <w:rFonts w:asciiTheme="minorHAnsi" w:eastAsiaTheme="minorEastAsia" w:hAnsiTheme="minorHAnsi"/>
            <w:noProof/>
            <w:sz w:val="22"/>
          </w:rPr>
          <w:tab/>
        </w:r>
        <w:r w:rsidRPr="00C73008">
          <w:rPr>
            <w:rStyle w:val="Hyperlink"/>
            <w:noProof/>
          </w:rPr>
          <w:t>Minnesota Power–Boswell Energy Center</w:t>
        </w:r>
        <w:r>
          <w:rPr>
            <w:noProof/>
            <w:webHidden/>
          </w:rPr>
          <w:tab/>
        </w:r>
        <w:r>
          <w:rPr>
            <w:noProof/>
            <w:webHidden/>
          </w:rPr>
          <w:fldChar w:fldCharType="begin"/>
        </w:r>
        <w:r>
          <w:rPr>
            <w:noProof/>
            <w:webHidden/>
          </w:rPr>
          <w:instrText xml:space="preserve"> PAGEREF _Toc115775426 \h </w:instrText>
        </w:r>
        <w:r>
          <w:rPr>
            <w:noProof/>
            <w:webHidden/>
          </w:rPr>
        </w:r>
        <w:r>
          <w:rPr>
            <w:noProof/>
            <w:webHidden/>
          </w:rPr>
          <w:fldChar w:fldCharType="separate"/>
        </w:r>
        <w:r>
          <w:rPr>
            <w:noProof/>
            <w:webHidden/>
          </w:rPr>
          <w:t>7</w:t>
        </w:r>
        <w:r>
          <w:rPr>
            <w:noProof/>
            <w:webHidden/>
          </w:rPr>
          <w:fldChar w:fldCharType="end"/>
        </w:r>
      </w:hyperlink>
    </w:p>
    <w:p w14:paraId="6D261820" w14:textId="5552129B" w:rsidR="00E31E43" w:rsidRDefault="00E31E43">
      <w:pPr>
        <w:pStyle w:val="TOC1"/>
        <w:rPr>
          <w:rFonts w:asciiTheme="minorHAnsi" w:eastAsiaTheme="minorEastAsia" w:hAnsiTheme="minorHAnsi"/>
          <w:noProof/>
          <w:sz w:val="22"/>
        </w:rPr>
      </w:pPr>
      <w:hyperlink w:anchor="_Toc115775427" w:history="1">
        <w:r w:rsidRPr="00C73008">
          <w:rPr>
            <w:rStyle w:val="Hyperlink"/>
            <w:noProof/>
          </w:rPr>
          <w:t>4</w:t>
        </w:r>
        <w:r>
          <w:rPr>
            <w:rFonts w:asciiTheme="minorHAnsi" w:eastAsiaTheme="minorEastAsia" w:hAnsiTheme="minorHAnsi"/>
            <w:noProof/>
            <w:sz w:val="22"/>
          </w:rPr>
          <w:tab/>
        </w:r>
        <w:r w:rsidRPr="00C73008">
          <w:rPr>
            <w:rStyle w:val="Hyperlink"/>
            <w:noProof/>
          </w:rPr>
          <w:t>Sugar beet Processing Facilities – Four-Factor Feedback</w:t>
        </w:r>
        <w:r>
          <w:rPr>
            <w:noProof/>
            <w:webHidden/>
          </w:rPr>
          <w:tab/>
        </w:r>
        <w:r>
          <w:rPr>
            <w:noProof/>
            <w:webHidden/>
          </w:rPr>
          <w:fldChar w:fldCharType="begin"/>
        </w:r>
        <w:r>
          <w:rPr>
            <w:noProof/>
            <w:webHidden/>
          </w:rPr>
          <w:instrText xml:space="preserve"> PAGEREF _Toc115775427 \h </w:instrText>
        </w:r>
        <w:r>
          <w:rPr>
            <w:noProof/>
            <w:webHidden/>
          </w:rPr>
        </w:r>
        <w:r>
          <w:rPr>
            <w:noProof/>
            <w:webHidden/>
          </w:rPr>
          <w:fldChar w:fldCharType="separate"/>
        </w:r>
        <w:r>
          <w:rPr>
            <w:noProof/>
            <w:webHidden/>
          </w:rPr>
          <w:t>8</w:t>
        </w:r>
        <w:r>
          <w:rPr>
            <w:noProof/>
            <w:webHidden/>
          </w:rPr>
          <w:fldChar w:fldCharType="end"/>
        </w:r>
      </w:hyperlink>
    </w:p>
    <w:p w14:paraId="69786EB2" w14:textId="4D45A285" w:rsidR="00E31E43" w:rsidRDefault="00E31E43">
      <w:pPr>
        <w:pStyle w:val="TOC2"/>
        <w:tabs>
          <w:tab w:val="left" w:pos="880"/>
          <w:tab w:val="right" w:leader="dot" w:pos="9350"/>
        </w:tabs>
        <w:rPr>
          <w:rFonts w:asciiTheme="minorHAnsi" w:eastAsiaTheme="minorEastAsia" w:hAnsiTheme="minorHAnsi"/>
          <w:noProof/>
          <w:sz w:val="22"/>
        </w:rPr>
      </w:pPr>
      <w:hyperlink w:anchor="_Toc115775428" w:history="1">
        <w:r w:rsidRPr="00C73008">
          <w:rPr>
            <w:rStyle w:val="Hyperlink"/>
            <w:noProof/>
          </w:rPr>
          <w:t>4.1</w:t>
        </w:r>
        <w:r>
          <w:rPr>
            <w:rFonts w:asciiTheme="minorHAnsi" w:eastAsiaTheme="minorEastAsia" w:hAnsiTheme="minorHAnsi"/>
            <w:noProof/>
            <w:sz w:val="22"/>
          </w:rPr>
          <w:tab/>
        </w:r>
        <w:r w:rsidRPr="00C73008">
          <w:rPr>
            <w:rStyle w:val="Hyperlink"/>
            <w:noProof/>
          </w:rPr>
          <w:t>American Crystal Sugar – Crookston</w:t>
        </w:r>
        <w:r>
          <w:rPr>
            <w:noProof/>
            <w:webHidden/>
          </w:rPr>
          <w:tab/>
        </w:r>
        <w:r>
          <w:rPr>
            <w:noProof/>
            <w:webHidden/>
          </w:rPr>
          <w:fldChar w:fldCharType="begin"/>
        </w:r>
        <w:r>
          <w:rPr>
            <w:noProof/>
            <w:webHidden/>
          </w:rPr>
          <w:instrText xml:space="preserve"> PAGEREF _Toc115775428 \h </w:instrText>
        </w:r>
        <w:r>
          <w:rPr>
            <w:noProof/>
            <w:webHidden/>
          </w:rPr>
        </w:r>
        <w:r>
          <w:rPr>
            <w:noProof/>
            <w:webHidden/>
          </w:rPr>
          <w:fldChar w:fldCharType="separate"/>
        </w:r>
        <w:r>
          <w:rPr>
            <w:noProof/>
            <w:webHidden/>
          </w:rPr>
          <w:t>8</w:t>
        </w:r>
        <w:r>
          <w:rPr>
            <w:noProof/>
            <w:webHidden/>
          </w:rPr>
          <w:fldChar w:fldCharType="end"/>
        </w:r>
      </w:hyperlink>
    </w:p>
    <w:p w14:paraId="4C3B923B" w14:textId="493C81AE" w:rsidR="00E31E43" w:rsidRDefault="00E31E43">
      <w:pPr>
        <w:pStyle w:val="TOC2"/>
        <w:tabs>
          <w:tab w:val="left" w:pos="880"/>
          <w:tab w:val="right" w:leader="dot" w:pos="9350"/>
        </w:tabs>
        <w:rPr>
          <w:rFonts w:asciiTheme="minorHAnsi" w:eastAsiaTheme="minorEastAsia" w:hAnsiTheme="minorHAnsi"/>
          <w:noProof/>
          <w:sz w:val="22"/>
        </w:rPr>
      </w:pPr>
      <w:hyperlink w:anchor="_Toc115775429" w:history="1">
        <w:r w:rsidRPr="00C73008">
          <w:rPr>
            <w:rStyle w:val="Hyperlink"/>
            <w:noProof/>
          </w:rPr>
          <w:t>4.2</w:t>
        </w:r>
        <w:r>
          <w:rPr>
            <w:rFonts w:asciiTheme="minorHAnsi" w:eastAsiaTheme="minorEastAsia" w:hAnsiTheme="minorHAnsi"/>
            <w:noProof/>
            <w:sz w:val="22"/>
          </w:rPr>
          <w:tab/>
        </w:r>
        <w:r w:rsidRPr="00C73008">
          <w:rPr>
            <w:rStyle w:val="Hyperlink"/>
            <w:noProof/>
          </w:rPr>
          <w:t>American Crystal Sugar–East Grand Forks</w:t>
        </w:r>
        <w:r>
          <w:rPr>
            <w:noProof/>
            <w:webHidden/>
          </w:rPr>
          <w:tab/>
        </w:r>
        <w:r>
          <w:rPr>
            <w:noProof/>
            <w:webHidden/>
          </w:rPr>
          <w:fldChar w:fldCharType="begin"/>
        </w:r>
        <w:r>
          <w:rPr>
            <w:noProof/>
            <w:webHidden/>
          </w:rPr>
          <w:instrText xml:space="preserve"> PAGEREF _Toc115775429 \h </w:instrText>
        </w:r>
        <w:r>
          <w:rPr>
            <w:noProof/>
            <w:webHidden/>
          </w:rPr>
        </w:r>
        <w:r>
          <w:rPr>
            <w:noProof/>
            <w:webHidden/>
          </w:rPr>
          <w:fldChar w:fldCharType="separate"/>
        </w:r>
        <w:r>
          <w:rPr>
            <w:noProof/>
            <w:webHidden/>
          </w:rPr>
          <w:t>17</w:t>
        </w:r>
        <w:r>
          <w:rPr>
            <w:noProof/>
            <w:webHidden/>
          </w:rPr>
          <w:fldChar w:fldCharType="end"/>
        </w:r>
      </w:hyperlink>
    </w:p>
    <w:p w14:paraId="2465CD08" w14:textId="1EFA7713" w:rsidR="00E31E43" w:rsidRDefault="00E31E43">
      <w:pPr>
        <w:pStyle w:val="TOC2"/>
        <w:tabs>
          <w:tab w:val="left" w:pos="880"/>
          <w:tab w:val="right" w:leader="dot" w:pos="9350"/>
        </w:tabs>
        <w:rPr>
          <w:rFonts w:asciiTheme="minorHAnsi" w:eastAsiaTheme="minorEastAsia" w:hAnsiTheme="minorHAnsi"/>
          <w:noProof/>
          <w:sz w:val="22"/>
        </w:rPr>
      </w:pPr>
      <w:hyperlink w:anchor="_Toc115775430" w:history="1">
        <w:r w:rsidRPr="00C73008">
          <w:rPr>
            <w:rStyle w:val="Hyperlink"/>
            <w:noProof/>
          </w:rPr>
          <w:t>4.3</w:t>
        </w:r>
        <w:r>
          <w:rPr>
            <w:rFonts w:asciiTheme="minorHAnsi" w:eastAsiaTheme="minorEastAsia" w:hAnsiTheme="minorHAnsi"/>
            <w:noProof/>
            <w:sz w:val="22"/>
          </w:rPr>
          <w:tab/>
        </w:r>
        <w:r w:rsidRPr="00C73008">
          <w:rPr>
            <w:rStyle w:val="Hyperlink"/>
            <w:noProof/>
          </w:rPr>
          <w:t>Southern Minnesota Beet Sugar Cooperative</w:t>
        </w:r>
        <w:r>
          <w:rPr>
            <w:noProof/>
            <w:webHidden/>
          </w:rPr>
          <w:tab/>
        </w:r>
        <w:r>
          <w:rPr>
            <w:noProof/>
            <w:webHidden/>
          </w:rPr>
          <w:fldChar w:fldCharType="begin"/>
        </w:r>
        <w:r>
          <w:rPr>
            <w:noProof/>
            <w:webHidden/>
          </w:rPr>
          <w:instrText xml:space="preserve"> PAGEREF _Toc115775430 \h </w:instrText>
        </w:r>
        <w:r>
          <w:rPr>
            <w:noProof/>
            <w:webHidden/>
          </w:rPr>
        </w:r>
        <w:r>
          <w:rPr>
            <w:noProof/>
            <w:webHidden/>
          </w:rPr>
          <w:fldChar w:fldCharType="separate"/>
        </w:r>
        <w:r>
          <w:rPr>
            <w:noProof/>
            <w:webHidden/>
          </w:rPr>
          <w:t>24</w:t>
        </w:r>
        <w:r>
          <w:rPr>
            <w:noProof/>
            <w:webHidden/>
          </w:rPr>
          <w:fldChar w:fldCharType="end"/>
        </w:r>
      </w:hyperlink>
    </w:p>
    <w:p w14:paraId="70777F73" w14:textId="549AB3AE" w:rsidR="00E31E43" w:rsidRDefault="00E31E43">
      <w:pPr>
        <w:pStyle w:val="TOC1"/>
        <w:rPr>
          <w:rFonts w:asciiTheme="minorHAnsi" w:eastAsiaTheme="minorEastAsia" w:hAnsiTheme="minorHAnsi"/>
          <w:noProof/>
          <w:sz w:val="22"/>
        </w:rPr>
      </w:pPr>
      <w:hyperlink w:anchor="_Toc115775431" w:history="1">
        <w:r w:rsidRPr="00C73008">
          <w:rPr>
            <w:rStyle w:val="Hyperlink"/>
            <w:noProof/>
          </w:rPr>
          <w:t>5</w:t>
        </w:r>
        <w:r>
          <w:rPr>
            <w:rFonts w:asciiTheme="minorHAnsi" w:eastAsiaTheme="minorEastAsia" w:hAnsiTheme="minorHAnsi"/>
            <w:noProof/>
            <w:sz w:val="22"/>
          </w:rPr>
          <w:tab/>
        </w:r>
        <w:r w:rsidRPr="00C73008">
          <w:rPr>
            <w:rStyle w:val="Hyperlink"/>
            <w:noProof/>
          </w:rPr>
          <w:t>Paper Manufacturing – Four-Factor Feedback</w:t>
        </w:r>
        <w:r>
          <w:rPr>
            <w:noProof/>
            <w:webHidden/>
          </w:rPr>
          <w:tab/>
        </w:r>
        <w:r>
          <w:rPr>
            <w:noProof/>
            <w:webHidden/>
          </w:rPr>
          <w:fldChar w:fldCharType="begin"/>
        </w:r>
        <w:r>
          <w:rPr>
            <w:noProof/>
            <w:webHidden/>
          </w:rPr>
          <w:instrText xml:space="preserve"> PAGEREF _Toc115775431 \h </w:instrText>
        </w:r>
        <w:r>
          <w:rPr>
            <w:noProof/>
            <w:webHidden/>
          </w:rPr>
        </w:r>
        <w:r>
          <w:rPr>
            <w:noProof/>
            <w:webHidden/>
          </w:rPr>
          <w:fldChar w:fldCharType="separate"/>
        </w:r>
        <w:r>
          <w:rPr>
            <w:noProof/>
            <w:webHidden/>
          </w:rPr>
          <w:t>36</w:t>
        </w:r>
        <w:r>
          <w:rPr>
            <w:noProof/>
            <w:webHidden/>
          </w:rPr>
          <w:fldChar w:fldCharType="end"/>
        </w:r>
      </w:hyperlink>
    </w:p>
    <w:p w14:paraId="33614CEC" w14:textId="3843ED3B" w:rsidR="00E31E43" w:rsidRDefault="00E31E43">
      <w:pPr>
        <w:pStyle w:val="TOC2"/>
        <w:tabs>
          <w:tab w:val="left" w:pos="880"/>
          <w:tab w:val="right" w:leader="dot" w:pos="9350"/>
        </w:tabs>
        <w:rPr>
          <w:rFonts w:asciiTheme="minorHAnsi" w:eastAsiaTheme="minorEastAsia" w:hAnsiTheme="minorHAnsi"/>
          <w:noProof/>
          <w:sz w:val="22"/>
        </w:rPr>
      </w:pPr>
      <w:hyperlink w:anchor="_Toc115775432" w:history="1">
        <w:r w:rsidRPr="00C73008">
          <w:rPr>
            <w:rStyle w:val="Hyperlink"/>
            <w:noProof/>
          </w:rPr>
          <w:t>5.1</w:t>
        </w:r>
        <w:r>
          <w:rPr>
            <w:rFonts w:asciiTheme="minorHAnsi" w:eastAsiaTheme="minorEastAsia" w:hAnsiTheme="minorHAnsi"/>
            <w:noProof/>
            <w:sz w:val="22"/>
          </w:rPr>
          <w:tab/>
        </w:r>
        <w:r w:rsidRPr="00C73008">
          <w:rPr>
            <w:rStyle w:val="Hyperlink"/>
            <w:noProof/>
          </w:rPr>
          <w:t>Sappi Cloquet LLC</w:t>
        </w:r>
        <w:r>
          <w:rPr>
            <w:noProof/>
            <w:webHidden/>
          </w:rPr>
          <w:tab/>
        </w:r>
        <w:r>
          <w:rPr>
            <w:noProof/>
            <w:webHidden/>
          </w:rPr>
          <w:fldChar w:fldCharType="begin"/>
        </w:r>
        <w:r>
          <w:rPr>
            <w:noProof/>
            <w:webHidden/>
          </w:rPr>
          <w:instrText xml:space="preserve"> PAGEREF _Toc115775432 \h </w:instrText>
        </w:r>
        <w:r>
          <w:rPr>
            <w:noProof/>
            <w:webHidden/>
          </w:rPr>
        </w:r>
        <w:r>
          <w:rPr>
            <w:noProof/>
            <w:webHidden/>
          </w:rPr>
          <w:fldChar w:fldCharType="separate"/>
        </w:r>
        <w:r>
          <w:rPr>
            <w:noProof/>
            <w:webHidden/>
          </w:rPr>
          <w:t>36</w:t>
        </w:r>
        <w:r>
          <w:rPr>
            <w:noProof/>
            <w:webHidden/>
          </w:rPr>
          <w:fldChar w:fldCharType="end"/>
        </w:r>
      </w:hyperlink>
    </w:p>
    <w:p w14:paraId="36D0D42C" w14:textId="1AC19361" w:rsidR="00E31E43" w:rsidRDefault="00E31E43">
      <w:pPr>
        <w:pStyle w:val="TOC2"/>
        <w:tabs>
          <w:tab w:val="left" w:pos="880"/>
          <w:tab w:val="right" w:leader="dot" w:pos="9350"/>
        </w:tabs>
        <w:rPr>
          <w:rFonts w:asciiTheme="minorHAnsi" w:eastAsiaTheme="minorEastAsia" w:hAnsiTheme="minorHAnsi"/>
          <w:noProof/>
          <w:sz w:val="22"/>
        </w:rPr>
      </w:pPr>
      <w:hyperlink w:anchor="_Toc115775433" w:history="1">
        <w:r w:rsidRPr="00C73008">
          <w:rPr>
            <w:rStyle w:val="Hyperlink"/>
            <w:noProof/>
          </w:rPr>
          <w:t>5.2</w:t>
        </w:r>
        <w:r>
          <w:rPr>
            <w:rFonts w:asciiTheme="minorHAnsi" w:eastAsiaTheme="minorEastAsia" w:hAnsiTheme="minorHAnsi"/>
            <w:noProof/>
            <w:sz w:val="22"/>
          </w:rPr>
          <w:tab/>
        </w:r>
        <w:r w:rsidRPr="00C73008">
          <w:rPr>
            <w:rStyle w:val="Hyperlink"/>
            <w:noProof/>
          </w:rPr>
          <w:t>Boise White Paper</w:t>
        </w:r>
        <w:r>
          <w:rPr>
            <w:noProof/>
            <w:webHidden/>
          </w:rPr>
          <w:tab/>
        </w:r>
        <w:r>
          <w:rPr>
            <w:noProof/>
            <w:webHidden/>
          </w:rPr>
          <w:fldChar w:fldCharType="begin"/>
        </w:r>
        <w:r>
          <w:rPr>
            <w:noProof/>
            <w:webHidden/>
          </w:rPr>
          <w:instrText xml:space="preserve"> PAGEREF _Toc115775433 \h </w:instrText>
        </w:r>
        <w:r>
          <w:rPr>
            <w:noProof/>
            <w:webHidden/>
          </w:rPr>
        </w:r>
        <w:r>
          <w:rPr>
            <w:noProof/>
            <w:webHidden/>
          </w:rPr>
          <w:fldChar w:fldCharType="separate"/>
        </w:r>
        <w:r>
          <w:rPr>
            <w:noProof/>
            <w:webHidden/>
          </w:rPr>
          <w:t>40</w:t>
        </w:r>
        <w:r>
          <w:rPr>
            <w:noProof/>
            <w:webHidden/>
          </w:rPr>
          <w:fldChar w:fldCharType="end"/>
        </w:r>
      </w:hyperlink>
    </w:p>
    <w:p w14:paraId="04687F0B" w14:textId="6A5F3663" w:rsidR="00E31E43" w:rsidRDefault="00E31E43">
      <w:pPr>
        <w:pStyle w:val="TOC1"/>
        <w:rPr>
          <w:rFonts w:asciiTheme="minorHAnsi" w:eastAsiaTheme="minorEastAsia" w:hAnsiTheme="minorHAnsi"/>
          <w:noProof/>
          <w:sz w:val="22"/>
        </w:rPr>
      </w:pPr>
      <w:hyperlink w:anchor="_Toc115775434" w:history="1">
        <w:r w:rsidRPr="00C73008">
          <w:rPr>
            <w:rStyle w:val="Hyperlink"/>
            <w:noProof/>
          </w:rPr>
          <w:t>6</w:t>
        </w:r>
        <w:r>
          <w:rPr>
            <w:rFonts w:asciiTheme="minorHAnsi" w:eastAsiaTheme="minorEastAsia" w:hAnsiTheme="minorHAnsi"/>
            <w:noProof/>
            <w:sz w:val="22"/>
          </w:rPr>
          <w:tab/>
        </w:r>
        <w:r w:rsidRPr="00C73008">
          <w:rPr>
            <w:rStyle w:val="Hyperlink"/>
            <w:noProof/>
          </w:rPr>
          <w:t>Taconite – Four-Factor Feedback</w:t>
        </w:r>
        <w:r>
          <w:rPr>
            <w:noProof/>
            <w:webHidden/>
          </w:rPr>
          <w:tab/>
        </w:r>
        <w:r>
          <w:rPr>
            <w:noProof/>
            <w:webHidden/>
          </w:rPr>
          <w:fldChar w:fldCharType="begin"/>
        </w:r>
        <w:r>
          <w:rPr>
            <w:noProof/>
            <w:webHidden/>
          </w:rPr>
          <w:instrText xml:space="preserve"> PAGEREF _Toc115775434 \h </w:instrText>
        </w:r>
        <w:r>
          <w:rPr>
            <w:noProof/>
            <w:webHidden/>
          </w:rPr>
        </w:r>
        <w:r>
          <w:rPr>
            <w:noProof/>
            <w:webHidden/>
          </w:rPr>
          <w:fldChar w:fldCharType="separate"/>
        </w:r>
        <w:r>
          <w:rPr>
            <w:noProof/>
            <w:webHidden/>
          </w:rPr>
          <w:t>46</w:t>
        </w:r>
        <w:r>
          <w:rPr>
            <w:noProof/>
            <w:webHidden/>
          </w:rPr>
          <w:fldChar w:fldCharType="end"/>
        </w:r>
      </w:hyperlink>
    </w:p>
    <w:p w14:paraId="37DE816B" w14:textId="414C9636" w:rsidR="00E31E43" w:rsidRDefault="00E31E43">
      <w:pPr>
        <w:pStyle w:val="TOC2"/>
        <w:tabs>
          <w:tab w:val="left" w:pos="880"/>
          <w:tab w:val="right" w:leader="dot" w:pos="9350"/>
        </w:tabs>
        <w:rPr>
          <w:rFonts w:asciiTheme="minorHAnsi" w:eastAsiaTheme="minorEastAsia" w:hAnsiTheme="minorHAnsi"/>
          <w:noProof/>
          <w:sz w:val="22"/>
        </w:rPr>
      </w:pPr>
      <w:hyperlink w:anchor="_Toc115775435" w:history="1">
        <w:r w:rsidRPr="00C73008">
          <w:rPr>
            <w:rStyle w:val="Hyperlink"/>
            <w:noProof/>
          </w:rPr>
          <w:t>6.1</w:t>
        </w:r>
        <w:r>
          <w:rPr>
            <w:rFonts w:asciiTheme="minorHAnsi" w:eastAsiaTheme="minorEastAsia" w:hAnsiTheme="minorHAnsi"/>
            <w:noProof/>
            <w:sz w:val="22"/>
          </w:rPr>
          <w:tab/>
        </w:r>
        <w:r w:rsidRPr="00C73008">
          <w:rPr>
            <w:rStyle w:val="Hyperlink"/>
            <w:noProof/>
          </w:rPr>
          <w:t>Overarching Taconite</w:t>
        </w:r>
        <w:r>
          <w:rPr>
            <w:noProof/>
            <w:webHidden/>
          </w:rPr>
          <w:tab/>
        </w:r>
        <w:r>
          <w:rPr>
            <w:noProof/>
            <w:webHidden/>
          </w:rPr>
          <w:fldChar w:fldCharType="begin"/>
        </w:r>
        <w:r>
          <w:rPr>
            <w:noProof/>
            <w:webHidden/>
          </w:rPr>
          <w:instrText xml:space="preserve"> PAGEREF _Toc115775435 \h </w:instrText>
        </w:r>
        <w:r>
          <w:rPr>
            <w:noProof/>
            <w:webHidden/>
          </w:rPr>
        </w:r>
        <w:r>
          <w:rPr>
            <w:noProof/>
            <w:webHidden/>
          </w:rPr>
          <w:fldChar w:fldCharType="separate"/>
        </w:r>
        <w:r>
          <w:rPr>
            <w:noProof/>
            <w:webHidden/>
          </w:rPr>
          <w:t>46</w:t>
        </w:r>
        <w:r>
          <w:rPr>
            <w:noProof/>
            <w:webHidden/>
          </w:rPr>
          <w:fldChar w:fldCharType="end"/>
        </w:r>
      </w:hyperlink>
    </w:p>
    <w:p w14:paraId="6E17B717" w14:textId="50475C79" w:rsidR="00E31E43" w:rsidRDefault="00E31E43">
      <w:pPr>
        <w:pStyle w:val="TOC2"/>
        <w:tabs>
          <w:tab w:val="left" w:pos="880"/>
          <w:tab w:val="right" w:leader="dot" w:pos="9350"/>
        </w:tabs>
        <w:rPr>
          <w:rFonts w:asciiTheme="minorHAnsi" w:eastAsiaTheme="minorEastAsia" w:hAnsiTheme="minorHAnsi"/>
          <w:noProof/>
          <w:sz w:val="22"/>
        </w:rPr>
      </w:pPr>
      <w:hyperlink w:anchor="_Toc115775436" w:history="1">
        <w:r w:rsidRPr="00C73008">
          <w:rPr>
            <w:rStyle w:val="Hyperlink"/>
            <w:noProof/>
          </w:rPr>
          <w:t>6.2</w:t>
        </w:r>
        <w:r>
          <w:rPr>
            <w:rFonts w:asciiTheme="minorHAnsi" w:eastAsiaTheme="minorEastAsia" w:hAnsiTheme="minorHAnsi"/>
            <w:noProof/>
            <w:sz w:val="22"/>
          </w:rPr>
          <w:tab/>
        </w:r>
        <w:r w:rsidRPr="00C73008">
          <w:rPr>
            <w:rStyle w:val="Hyperlink"/>
            <w:noProof/>
          </w:rPr>
          <w:t>United Taconite LLC–Fairlane Plant</w:t>
        </w:r>
        <w:r>
          <w:rPr>
            <w:noProof/>
            <w:webHidden/>
          </w:rPr>
          <w:tab/>
        </w:r>
        <w:r>
          <w:rPr>
            <w:noProof/>
            <w:webHidden/>
          </w:rPr>
          <w:fldChar w:fldCharType="begin"/>
        </w:r>
        <w:r>
          <w:rPr>
            <w:noProof/>
            <w:webHidden/>
          </w:rPr>
          <w:instrText xml:space="preserve"> PAGEREF _Toc115775436 \h </w:instrText>
        </w:r>
        <w:r>
          <w:rPr>
            <w:noProof/>
            <w:webHidden/>
          </w:rPr>
        </w:r>
        <w:r>
          <w:rPr>
            <w:noProof/>
            <w:webHidden/>
          </w:rPr>
          <w:fldChar w:fldCharType="separate"/>
        </w:r>
        <w:r>
          <w:rPr>
            <w:noProof/>
            <w:webHidden/>
          </w:rPr>
          <w:t>48</w:t>
        </w:r>
        <w:r>
          <w:rPr>
            <w:noProof/>
            <w:webHidden/>
          </w:rPr>
          <w:fldChar w:fldCharType="end"/>
        </w:r>
      </w:hyperlink>
    </w:p>
    <w:p w14:paraId="565D8DDE" w14:textId="1ED7E9AA" w:rsidR="005C2FD4" w:rsidRDefault="00FD1DC7" w:rsidP="003B5841">
      <w:pPr>
        <w:pStyle w:val="Default"/>
      </w:pPr>
      <w:r>
        <w:rPr>
          <w:highlight w:val="yellow"/>
        </w:rPr>
        <w:fldChar w:fldCharType="end"/>
      </w:r>
    </w:p>
    <w:p w14:paraId="69FD6442" w14:textId="77777777" w:rsidR="005C2FD4" w:rsidRDefault="005C2FD4" w:rsidP="003B5841">
      <w:pPr>
        <w:pStyle w:val="Default"/>
      </w:pPr>
    </w:p>
    <w:p w14:paraId="3591F5FA" w14:textId="77777777" w:rsidR="0068405A" w:rsidRDefault="0068405A" w:rsidP="00B1738B">
      <w:pPr>
        <w:spacing w:line="240" w:lineRule="auto"/>
        <w:contextualSpacing/>
        <w:rPr>
          <w:rFonts w:asciiTheme="majorHAnsi" w:eastAsia="Calibri" w:hAnsiTheme="majorHAnsi" w:cstheme="majorBidi"/>
          <w:color w:val="2F5496" w:themeColor="accent1" w:themeShade="BF"/>
          <w:sz w:val="32"/>
          <w:szCs w:val="32"/>
        </w:rPr>
      </w:pPr>
      <w:r>
        <w:rPr>
          <w:rFonts w:eastAsia="Calibri"/>
        </w:rPr>
        <w:br w:type="page"/>
      </w:r>
    </w:p>
    <w:p w14:paraId="3B71E3C5" w14:textId="75A5AB97" w:rsidR="005C2FD4" w:rsidRDefault="008373BC" w:rsidP="00B1738B">
      <w:pPr>
        <w:pStyle w:val="Heading1"/>
        <w:spacing w:line="240" w:lineRule="auto"/>
        <w:contextualSpacing/>
        <w:rPr>
          <w:rFonts w:eastAsia="Calibri"/>
        </w:rPr>
      </w:pPr>
      <w:bookmarkStart w:id="0" w:name="_Toc115775415"/>
      <w:r>
        <w:rPr>
          <w:rFonts w:eastAsia="Calibri"/>
        </w:rPr>
        <w:t>Executive Summary</w:t>
      </w:r>
      <w:bookmarkEnd w:id="0"/>
    </w:p>
    <w:p w14:paraId="05D2720F" w14:textId="3C8036DF" w:rsidR="008754F2" w:rsidRDefault="007E5D18" w:rsidP="00B1738B">
      <w:pPr>
        <w:spacing w:line="240" w:lineRule="auto"/>
        <w:contextualSpacing/>
      </w:pPr>
      <w:r>
        <w:t>This document is an updated version of the consultation feedback provided by NPS</w:t>
      </w:r>
      <w:r w:rsidR="00224757">
        <w:t xml:space="preserve"> in July</w:t>
      </w:r>
      <w:r w:rsidR="00222ADD">
        <w:t>,</w:t>
      </w:r>
      <w:r w:rsidR="00224757">
        <w:t xml:space="preserve"> </w:t>
      </w:r>
      <w:r w:rsidR="00BA4116">
        <w:t>2022</w:t>
      </w:r>
      <w:r w:rsidR="00222ADD">
        <w:t>.</w:t>
      </w:r>
    </w:p>
    <w:p w14:paraId="34BC34E1" w14:textId="77777777" w:rsidR="008754F2" w:rsidRDefault="008754F2" w:rsidP="00B1738B">
      <w:pPr>
        <w:spacing w:line="240" w:lineRule="auto"/>
        <w:contextualSpacing/>
      </w:pPr>
    </w:p>
    <w:p w14:paraId="3A5B13B0" w14:textId="2323F008" w:rsidR="00DC5926" w:rsidRDefault="0010114D" w:rsidP="00B1738B">
      <w:pPr>
        <w:spacing w:line="240" w:lineRule="auto"/>
        <w:contextualSpacing/>
      </w:pPr>
      <w:r>
        <w:t>The NPS</w:t>
      </w:r>
      <w:r w:rsidR="00080B4F">
        <w:t xml:space="preserve"> commend</w:t>
      </w:r>
      <w:r>
        <w:t>s</w:t>
      </w:r>
      <w:r w:rsidR="00EA577D">
        <w:t xml:space="preserve"> </w:t>
      </w:r>
      <w:r w:rsidR="00BD4E23">
        <w:t xml:space="preserve">the </w:t>
      </w:r>
      <w:r w:rsidR="00BD4E23" w:rsidRPr="00BD4E23">
        <w:t>Minnesota Pollution Control Agency (MPCA)</w:t>
      </w:r>
      <w:r w:rsidR="00BD4E23">
        <w:t xml:space="preserve"> </w:t>
      </w:r>
      <w:r w:rsidR="00080B4F">
        <w:t>for a robust source selection process</w:t>
      </w:r>
      <w:r w:rsidR="008868EC">
        <w:t xml:space="preserve">, commitment to </w:t>
      </w:r>
      <w:r w:rsidR="002023F7">
        <w:t xml:space="preserve">working </w:t>
      </w:r>
      <w:r w:rsidR="00240EAE">
        <w:t>with NPS and other FLMs through</w:t>
      </w:r>
      <w:r w:rsidR="009A5BE7">
        <w:t>out the consultation process</w:t>
      </w:r>
      <w:r w:rsidR="00872FD2">
        <w:t>,</w:t>
      </w:r>
      <w:r w:rsidR="00C34530">
        <w:t xml:space="preserve"> </w:t>
      </w:r>
      <w:r w:rsidR="000D6B76">
        <w:t>rejection of international endpoint adjustments</w:t>
      </w:r>
      <w:r w:rsidR="007A7CD7">
        <w:t xml:space="preserve">, </w:t>
      </w:r>
      <w:r w:rsidR="00EF37AC">
        <w:t xml:space="preserve">and </w:t>
      </w:r>
      <w:r w:rsidR="007E7435">
        <w:t>the use of a $10k initial screening</w:t>
      </w:r>
      <w:r w:rsidR="00C34530">
        <w:t xml:space="preserve"> </w:t>
      </w:r>
      <w:r w:rsidR="005B4EB5">
        <w:t>cost threshold for controls.</w:t>
      </w:r>
      <w:r w:rsidR="00C34530">
        <w:t xml:space="preserve"> </w:t>
      </w:r>
      <w:r w:rsidR="00A348F8">
        <w:t>Overall</w:t>
      </w:r>
      <w:r w:rsidR="00604AF7">
        <w:t>,</w:t>
      </w:r>
      <w:r w:rsidR="00A348F8">
        <w:t xml:space="preserve"> the Minnesota draft regional haze SIP is one of the most technically sound and complete plans that the NPS has reviewed in this planning period.</w:t>
      </w:r>
    </w:p>
    <w:p w14:paraId="3A086EA9" w14:textId="2E3A2F80" w:rsidR="005F24DA" w:rsidRDefault="00E1404E" w:rsidP="005F24DA">
      <w:pPr>
        <w:spacing w:line="240" w:lineRule="auto"/>
        <w:contextualSpacing/>
      </w:pPr>
      <w:r>
        <w:t>However, in some cases</w:t>
      </w:r>
      <w:r w:rsidR="00C903A2">
        <w:t xml:space="preserve"> NPS</w:t>
      </w:r>
      <w:r w:rsidR="00381EDC">
        <w:t xml:space="preserve"> disagrees with the conclusions reached by MPCA</w:t>
      </w:r>
      <w:r w:rsidR="00857202">
        <w:t xml:space="preserve">. </w:t>
      </w:r>
      <w:r w:rsidR="005F24DA">
        <w:t>We continue to encourage Minnesota to seriously evaluate additional emission controls for the state’s taconite facilities. Minnesota taconite facilities emit over 35,000 tons annually of visibility-impairing emissions and are relatively close to Voyageurs and Isle Royale National Parks. Based on an analysis of emissions relative to distance to NPS Class I areas, Minnesota ranked 9th in the US, with the taconite facilities comprising more than half of those impacts. As our analysis demonstrates, there are more effective controls available that may be technically feasible and cost-effective.</w:t>
      </w:r>
    </w:p>
    <w:p w14:paraId="663DD8B5" w14:textId="77777777" w:rsidR="00500340" w:rsidRDefault="00500340" w:rsidP="005F24DA">
      <w:pPr>
        <w:spacing w:line="240" w:lineRule="auto"/>
        <w:contextualSpacing/>
      </w:pPr>
    </w:p>
    <w:p w14:paraId="4CCDA4F8" w14:textId="71DF484B" w:rsidR="00A771AC" w:rsidRDefault="005F24DA" w:rsidP="005F24DA">
      <w:pPr>
        <w:spacing w:line="240" w:lineRule="auto"/>
        <w:contextualSpacing/>
      </w:pPr>
      <w:r>
        <w:t xml:space="preserve">In addition, the NPS finds that emission controls </w:t>
      </w:r>
      <w:r w:rsidR="008E1AAA">
        <w:t xml:space="preserve">for specific units </w:t>
      </w:r>
      <w:r>
        <w:t>may be cost effective for American Crystal Sugar (ACS) Crookston, ACS East Grand Forks, the Southern Minnesota Beet Sugar Cooperative, the Sappi Cloquet paper mill</w:t>
      </w:r>
      <w:r w:rsidR="003738B9">
        <w:t>, and Boise White Paper</w:t>
      </w:r>
      <w:r>
        <w:t xml:space="preserve">. Based on the public comment version of MPCA’s SIP, we have revised some of our technical analyses, as reflected in the </w:t>
      </w:r>
      <w:r w:rsidR="00EA0A22">
        <w:t xml:space="preserve">attached workbooks and </w:t>
      </w:r>
      <w:r w:rsidR="00165626">
        <w:t>sections 3, 4, and 5 in this technical feedback document</w:t>
      </w:r>
      <w:r>
        <w:t xml:space="preserve">. Specifically, the NPS has adjusted cost estimates based on the parameters used by MPCA in the latest draft of the SIP. </w:t>
      </w:r>
      <w:r w:rsidR="002F0D70">
        <w:t>R</w:t>
      </w:r>
      <w:r>
        <w:t xml:space="preserve">evised analyses indicate that additional controls may be available at these facilities within the $7,600/ton cost threshold established by MPCA. The NPS recommends that cost-effective emission controls that achieve the greatest level of reductions be required for these facilities. </w:t>
      </w:r>
    </w:p>
    <w:p w14:paraId="023A9CA4" w14:textId="77777777" w:rsidR="00500340" w:rsidRDefault="00500340" w:rsidP="005F24DA">
      <w:pPr>
        <w:spacing w:line="240" w:lineRule="auto"/>
        <w:contextualSpacing/>
      </w:pPr>
    </w:p>
    <w:p w14:paraId="0B12F66D" w14:textId="7132EEFD" w:rsidR="00C715FC" w:rsidRPr="00B22F54" w:rsidRDefault="00D71184" w:rsidP="00B1738B">
      <w:pPr>
        <w:spacing w:line="240" w:lineRule="auto"/>
        <w:contextualSpacing/>
        <w:rPr>
          <w:rFonts w:cs="Times New Roman"/>
          <w:szCs w:val="24"/>
        </w:rPr>
      </w:pPr>
      <w:r>
        <w:t>Emission reductions achieved through the regional</w:t>
      </w:r>
      <w:r w:rsidR="00835724" w:rsidRPr="00835724">
        <w:t xml:space="preserve"> haze </w:t>
      </w:r>
      <w:r>
        <w:t xml:space="preserve">planning process will </w:t>
      </w:r>
      <w:r w:rsidR="00835724" w:rsidRPr="00835724">
        <w:t>advan</w:t>
      </w:r>
      <w:r>
        <w:t>ce the</w:t>
      </w:r>
      <w:r w:rsidR="00835724" w:rsidRPr="00835724">
        <w:t xml:space="preserve"> incremental improvement of visibility at Voyageurs and Isle Royale National Parks as well as other Class I areas in the region.</w:t>
      </w:r>
    </w:p>
    <w:p w14:paraId="369C0C36" w14:textId="24A54486" w:rsidR="00783705" w:rsidRDefault="00783705" w:rsidP="00B1738B">
      <w:pPr>
        <w:pStyle w:val="Heading1"/>
        <w:spacing w:line="240" w:lineRule="auto"/>
        <w:contextualSpacing/>
      </w:pPr>
      <w:bookmarkStart w:id="1" w:name="_Toc115775416"/>
      <w:r>
        <w:t>Overarching Feedback</w:t>
      </w:r>
      <w:bookmarkEnd w:id="1"/>
    </w:p>
    <w:p w14:paraId="0E2E712F" w14:textId="2B82E773" w:rsidR="009B3F05" w:rsidRDefault="009B3F05" w:rsidP="009B3F05">
      <w:r>
        <w:t xml:space="preserve">In response to the public </w:t>
      </w:r>
      <w:r w:rsidR="00706734">
        <w:t xml:space="preserve">review draft </w:t>
      </w:r>
      <w:r>
        <w:t xml:space="preserve">of the Minnesota Regional Haze SIP, the NPS </w:t>
      </w:r>
      <w:r w:rsidR="007A4E52">
        <w:t xml:space="preserve">has </w:t>
      </w:r>
      <w:r>
        <w:t>adjusted</w:t>
      </w:r>
      <w:r w:rsidR="007A4E52">
        <w:t xml:space="preserve"> some </w:t>
      </w:r>
      <w:r>
        <w:t xml:space="preserve">previous feedback to reflect significant </w:t>
      </w:r>
      <w:r w:rsidR="007D3EB2">
        <w:t>differences</w:t>
      </w:r>
      <w:r>
        <w:t xml:space="preserve"> involving control cost estimates. Since 2019, the Chemical Engineering Plant Cost Index (CEPCI) has risen from 607.5 to 708.0 and the prime interest rate has risen from 3.25% to 5.5%. Instead of continuing to use these recent values in cost estimates, the NPS is revising the estimates previously provided to be consistent with the values used by MPCA—namely CEPCI </w:t>
      </w:r>
      <w:r w:rsidR="00711C27">
        <w:t>of</w:t>
      </w:r>
      <w:r>
        <w:t xml:space="preserve"> 607.5 and a 3.5% interest rate reflective of 2019 values. Following is a discussion of some overarching issues as well as how the revised NPS control cost estimates differ from those presented by MPCA.</w:t>
      </w:r>
    </w:p>
    <w:p w14:paraId="23C3BE1F" w14:textId="3C2C847B" w:rsidR="002D6B61" w:rsidRDefault="005D4B6D">
      <w:pPr>
        <w:pStyle w:val="Heading2"/>
      </w:pPr>
      <w:bookmarkStart w:id="2" w:name="_Toc115775417"/>
      <w:r>
        <w:t>Four-factor Analysis Screening</w:t>
      </w:r>
      <w:r w:rsidR="005C76B6">
        <w:t xml:space="preserve"> - </w:t>
      </w:r>
      <w:r>
        <w:t xml:space="preserve">Demonstration of Effective </w:t>
      </w:r>
      <w:r w:rsidR="00FA5FFF">
        <w:t>Controls</w:t>
      </w:r>
      <w:bookmarkEnd w:id="2"/>
      <w:r w:rsidR="00A42569">
        <w:t xml:space="preserve"> </w:t>
      </w:r>
    </w:p>
    <w:p w14:paraId="64FDAD8A" w14:textId="07904328" w:rsidR="00911AAA" w:rsidRPr="002C61B1" w:rsidRDefault="00911AAA" w:rsidP="00B1738B">
      <w:pPr>
        <w:spacing w:line="240" w:lineRule="auto"/>
        <w:contextualSpacing/>
      </w:pPr>
      <w:r w:rsidRPr="002C61B1">
        <w:t>In its July 2021 clarification memo,</w:t>
      </w:r>
      <w:r>
        <w:t xml:space="preserve"> </w:t>
      </w:r>
      <w:r w:rsidRPr="002C61B1">
        <w:t xml:space="preserve">EPA advised that </w:t>
      </w:r>
      <w:r w:rsidR="0001122E">
        <w:t xml:space="preserve">once a source is selected </w:t>
      </w:r>
      <w:r w:rsidRPr="002C61B1">
        <w:t>states must show why additional emission reductions are not necessary to make reasonable progress</w:t>
      </w:r>
      <w:r w:rsidR="0001122E">
        <w:t xml:space="preserve"> to use “effective controls” as rationale to forgo a four-factor analysis</w:t>
      </w:r>
      <w:r w:rsidRPr="002C61B1">
        <w:t>. Section 2.3 addressed the analytical expectations for “effectively controlled” determinations:</w:t>
      </w:r>
    </w:p>
    <w:p w14:paraId="72F77559" w14:textId="77777777" w:rsidR="00911AAA" w:rsidRPr="002C61B1" w:rsidRDefault="00911AAA" w:rsidP="00B1738B">
      <w:pPr>
        <w:pStyle w:val="Quote"/>
        <w:spacing w:line="240" w:lineRule="auto"/>
        <w:contextualSpacing/>
      </w:pPr>
      <w:r w:rsidRPr="002C61B1">
        <w:t xml:space="preserve">The underlying rationale for the “effective controls” flexibility is that if a source’s emissions are already well controlled, it is unlikely that further cost-effective reductions are available. </w:t>
      </w:r>
      <w:r w:rsidRPr="002C61B1">
        <w:rPr>
          <w:b/>
          <w:bCs/>
        </w:rPr>
        <w:t>A state relying on an “effective control” to avoid performing a four-factor analysis for a source should demonstrate why, for that source specifically, a four-factor analysis would not result in new controls and would, therefore, be a futile exercise.</w:t>
      </w:r>
    </w:p>
    <w:p w14:paraId="04C819BF" w14:textId="694E2F2B" w:rsidR="00F6313E" w:rsidRPr="00F6313E" w:rsidRDefault="000D5ADD" w:rsidP="00B1738B">
      <w:pPr>
        <w:spacing w:line="240" w:lineRule="auto"/>
        <w:contextualSpacing/>
      </w:pPr>
      <w:r>
        <w:t>NPS finds that</w:t>
      </w:r>
      <w:r w:rsidR="00A434D6">
        <w:t xml:space="preserve">, </w:t>
      </w:r>
      <w:r w:rsidR="006508C8">
        <w:t>for many</w:t>
      </w:r>
      <w:r w:rsidR="00A434D6">
        <w:t xml:space="preserve"> of the </w:t>
      </w:r>
      <w:r w:rsidR="000C36BA">
        <w:t>sources that MPCA determined were effectively controlled</w:t>
      </w:r>
      <w:r w:rsidR="00217CDB">
        <w:t>,</w:t>
      </w:r>
      <w:r w:rsidR="00637331">
        <w:t xml:space="preserve"> a 4-factor analysis may</w:t>
      </w:r>
      <w:r w:rsidR="004149C6">
        <w:t>, in fact, have resulted in additional controls.</w:t>
      </w:r>
      <w:r w:rsidR="00D10223">
        <w:t xml:space="preserve"> See the comments on individual facilities for</w:t>
      </w:r>
      <w:r w:rsidR="00E34023">
        <w:t xml:space="preserve"> specific information.</w:t>
      </w:r>
    </w:p>
    <w:p w14:paraId="0910970F" w14:textId="1F655EF9" w:rsidR="005D4B6D" w:rsidRPr="005D4B6D" w:rsidRDefault="009C4E79">
      <w:pPr>
        <w:pStyle w:val="Heading2"/>
      </w:pPr>
      <w:bookmarkStart w:id="3" w:name="_Toc115775418"/>
      <w:r>
        <w:t>Retrofit Factors in Cost Analyses</w:t>
      </w:r>
      <w:bookmarkEnd w:id="3"/>
      <w:r w:rsidR="00FA5FFF">
        <w:t xml:space="preserve"> </w:t>
      </w:r>
    </w:p>
    <w:p w14:paraId="31A1EBDD" w14:textId="77777777" w:rsidR="009B3F05" w:rsidRDefault="009B3F05" w:rsidP="009B3F05">
      <w:r>
        <w:t xml:space="preserve">MPCA assumed a retrofit factor of 1.5 for adding SNCR to each of the coal-fired boilers at the beet sugar plants. Instructions for the SNCR cost estimation workbook advise: </w:t>
      </w:r>
    </w:p>
    <w:p w14:paraId="2BE25913" w14:textId="77777777" w:rsidR="009B3F05" w:rsidRDefault="009B3F05" w:rsidP="00B448C7">
      <w:pPr>
        <w:pStyle w:val="Quote"/>
      </w:pPr>
      <w:r>
        <w:t>If the SNCR will be installed on an existing boiler, enter a retrofit factor equal to or greater than 0.84. Use 1 for retrofits with an average level of difficulty. For more difficult retrofits, you may use a retrofit factor greater than 1; however, you must document why the value used is appropriate.</w:t>
      </w:r>
    </w:p>
    <w:p w14:paraId="257FF4F0" w14:textId="77777777" w:rsidR="009B3F05" w:rsidRDefault="009B3F05" w:rsidP="009B3F05">
      <w:r>
        <w:t>Neither the facilities nor MPCA provided adequate documentation to justify application of the maximum retrofit factor to a relatively simple technology like SNCR. As a result NPS analyses applied a retrofit factor of 1.0.</w:t>
      </w:r>
    </w:p>
    <w:p w14:paraId="2ACA1480" w14:textId="77777777" w:rsidR="009B3F05" w:rsidRDefault="009B3F05" w:rsidP="009B3F05">
      <w:r>
        <w:t xml:space="preserve">MPCA assumed a retrofit factor of 1.5 for adding SCR to each of the coal-fired boilers at the beet sugar plants. Instructions for the SCR cost estimation workbook advise: </w:t>
      </w:r>
    </w:p>
    <w:p w14:paraId="25812F6B" w14:textId="77777777" w:rsidR="009B3F05" w:rsidRDefault="009B3F05" w:rsidP="00B448C7">
      <w:pPr>
        <w:pStyle w:val="Quote"/>
      </w:pPr>
      <w:r>
        <w:t>If the SCR will be installed on an existing boiler, enter a retrofit factor between 0.8 and 1.5. Use 1 for retrofits with an average level of difficulty. For more difficult retrofits, you may use a retrofit factor greater than 1; however, you must document why the value used is appropriate.</w:t>
      </w:r>
    </w:p>
    <w:p w14:paraId="6804E932" w14:textId="77777777" w:rsidR="009B3F05" w:rsidRDefault="009B3F05" w:rsidP="009B3F05">
      <w:r>
        <w:t>Most of the facilities and MPCA provided inadequate documentation to justify application of the maximum retrofit factor. NPS analyses used a retrofit factor of 1.0 except for the boiler at Southern Minnesota Beet Sugar which did provide justification for the 1.5 factor.</w:t>
      </w:r>
    </w:p>
    <w:p w14:paraId="1BFBC309" w14:textId="6CCAB308" w:rsidR="009B3F05" w:rsidRDefault="009B3F05" w:rsidP="009B3F05">
      <w:r>
        <w:t>The MPCA retrofit factor of 1.33 for adding SCR to the biomass-fired boiler at the Sappi Cloquet paper mill represents a 66% increase versus a “greenfield” estimate. Due to a lack of documentation for the higher retrofit factor, NPS analyses applied the default 1.0 retrofit factor.</w:t>
      </w:r>
    </w:p>
    <w:p w14:paraId="5A10A3A9" w14:textId="77777777" w:rsidR="009B3F05" w:rsidRDefault="009B3F05" w:rsidP="009B3F05">
      <w:r>
        <w:t>For taconite furnaces, NPS analyses applied a 1.5 retrofit factor due to the unproven nature of this control strategy on these emission units. UTAC used a retrofit factor of 1.6.</w:t>
      </w:r>
    </w:p>
    <w:p w14:paraId="313F054A" w14:textId="7FA0C1B3" w:rsidR="00AE4854" w:rsidRPr="00AE4854" w:rsidRDefault="009B3F05" w:rsidP="00B448C7">
      <w:r>
        <w:t>MPCA applied a 1.5 retrofit factor to SO</w:t>
      </w:r>
      <w:r w:rsidRPr="00B448C7">
        <w:rPr>
          <w:vertAlign w:val="subscript"/>
        </w:rPr>
        <w:t>2</w:t>
      </w:r>
      <w:r>
        <w:t xml:space="preserve"> controls at Southern Minnesota Beet Sugar. MPCA also used undefined and undocumented retrofit factors provided by American Crystal Sugar for SO</w:t>
      </w:r>
      <w:r w:rsidRPr="00B448C7">
        <w:rPr>
          <w:vertAlign w:val="subscript"/>
        </w:rPr>
        <w:t>2</w:t>
      </w:r>
      <w:r>
        <w:t xml:space="preserve"> controls at its Crookston and East </w:t>
      </w:r>
      <w:r w:rsidR="00264860">
        <w:t>G</w:t>
      </w:r>
      <w:r>
        <w:t>rand Forks facilities.</w:t>
      </w:r>
    </w:p>
    <w:p w14:paraId="571BE859" w14:textId="0820AC34" w:rsidR="00E551AA" w:rsidRDefault="00E551AA" w:rsidP="00B448C7">
      <w:pPr>
        <w:pStyle w:val="Heading2"/>
      </w:pPr>
      <w:bookmarkStart w:id="4" w:name="_Toc115775419"/>
      <w:r>
        <w:t>Control Efficiency and Outlet Emissions</w:t>
      </w:r>
      <w:bookmarkEnd w:id="4"/>
    </w:p>
    <w:p w14:paraId="71409B1D" w14:textId="1DE54F59" w:rsidR="00E551AA" w:rsidRDefault="00E551AA" w:rsidP="00B448C7">
      <w:r>
        <w:t xml:space="preserve">NPS analyses applied Figure 1.1c of the SNCR section EPA’s Control Cost Manual (CCM) to estimate control efficiency. If urea was proposed as the reagent, </w:t>
      </w:r>
      <w:r w:rsidR="0036474F">
        <w:t xml:space="preserve">the NPS </w:t>
      </w:r>
      <w:r>
        <w:t>also applied Equation 1.17 to estimate the Normalized Stoichiometric Ratio.</w:t>
      </w:r>
    </w:p>
    <w:p w14:paraId="568BA6D6" w14:textId="77777777" w:rsidR="00E551AA" w:rsidRDefault="00E551AA" w:rsidP="00B448C7">
      <w:r>
        <w:t>For SCR, the CCM advises:</w:t>
      </w:r>
    </w:p>
    <w:p w14:paraId="468C50F5" w14:textId="77777777" w:rsidR="00E551AA" w:rsidRPr="00E9301C" w:rsidRDefault="00E551AA" w:rsidP="00B448C7">
      <w:pPr>
        <w:pStyle w:val="Quote"/>
      </w:pPr>
      <w:r w:rsidRPr="00897A48">
        <w:t>In practice, commercial coal-, oil-, and natural gas–fired SCR systems are ofte</w:t>
      </w:r>
      <w:r w:rsidRPr="005865A1">
        <w:t>n designed to meet control targets of ove</w:t>
      </w:r>
      <w:r w:rsidRPr="005B759B">
        <w:t>r 90 percent. However, the reduction may be less than 90 percent when SCR follows other NOx controls such as LNB or FGR that achieve relatively low emissions on their own. The outlet concentration from SCR on a util</w:t>
      </w:r>
      <w:r w:rsidRPr="00476113">
        <w:t xml:space="preserve">ity boiler is rarely less than 0.04 </w:t>
      </w:r>
      <w:proofErr w:type="spellStart"/>
      <w:r w:rsidRPr="00476113">
        <w:t>lb</w:t>
      </w:r>
      <w:proofErr w:type="spellEnd"/>
      <w:r w:rsidRPr="00476113">
        <w:t>/million British thermal units (MMBtu)</w:t>
      </w:r>
    </w:p>
    <w:p w14:paraId="100AB274" w14:textId="2031B965" w:rsidR="00E551AA" w:rsidRDefault="00E551AA" w:rsidP="00B448C7">
      <w:r>
        <w:t xml:space="preserve">To be conservative, </w:t>
      </w:r>
      <w:r w:rsidR="00D64453">
        <w:t>NPS analyses</w:t>
      </w:r>
      <w:r>
        <w:t xml:space="preserve"> assumed that addition of SCR to the coal- and biomass-fired boilers could reduce NO</w:t>
      </w:r>
      <w:r w:rsidR="007E0B9F" w:rsidRPr="00B448C7">
        <w:rPr>
          <w:vertAlign w:val="subscript"/>
        </w:rPr>
        <w:t>x</w:t>
      </w:r>
      <w:r>
        <w:t xml:space="preserve"> emissions no lower than 0.05 </w:t>
      </w:r>
      <w:proofErr w:type="spellStart"/>
      <w:r>
        <w:t>lb</w:t>
      </w:r>
      <w:proofErr w:type="spellEnd"/>
      <w:r>
        <w:t>/</w:t>
      </w:r>
      <w:proofErr w:type="spellStart"/>
      <w:r>
        <w:t>mmBtu</w:t>
      </w:r>
      <w:proofErr w:type="spellEnd"/>
      <w:r>
        <w:t xml:space="preserve"> at not more than 90% control efficiency. For taconite furnaces, </w:t>
      </w:r>
      <w:r w:rsidR="00D64453">
        <w:t>NPS analyses</w:t>
      </w:r>
      <w:r>
        <w:t xml:space="preserve"> limited SCR control efficiency to 80% due to the unproven nature of this control strategy on these emission units.</w:t>
      </w:r>
    </w:p>
    <w:p w14:paraId="3AB782C6" w14:textId="77777777" w:rsidR="00E551AA" w:rsidRDefault="00E551AA" w:rsidP="00B448C7">
      <w:r>
        <w:t>MPCA assumed that addition of Dry Sorbent Injection (DSI) would require use of trona and a baghouse, and underestimated the control efficiency of using milled trona followed by a baghouse at 70%. According to Sargent &amp; Lundy, the developer of the IPM DSI cost model:</w:t>
      </w:r>
    </w:p>
    <w:p w14:paraId="2D20BF78" w14:textId="7C639C42" w:rsidR="00E551AA" w:rsidRDefault="00E551AA" w:rsidP="00B448C7">
      <w:pPr>
        <w:pStyle w:val="Quote"/>
      </w:pPr>
      <w:r>
        <w:t>Based on commercial testing, removal efficiencies with DSI are limited by the particulate capture device employed. Trona, when captured in an ESP, typically removes 40 to 50% of SO2 without an increase in particulate emissions, whereas hydrated lime may remove an even lower percentage of SO2. A baghouse used with sodium-based sorbents generally achieves a higher SO2 removal efficiency (70</w:t>
      </w:r>
      <w:r w:rsidR="00B30657">
        <w:t>–</w:t>
      </w:r>
      <w:r>
        <w:t>90%) than that of an ESP.</w:t>
      </w:r>
    </w:p>
    <w:p w14:paraId="5C5E3AC1" w14:textId="146E938E" w:rsidR="00E551AA" w:rsidRDefault="00E551AA" w:rsidP="00B448C7">
      <w:r>
        <w:t xml:space="preserve">Also, NPS review of EPA’s Clean Air Markets Data (CAMD) indicate that DSI can achieve 0.10 </w:t>
      </w:r>
      <w:proofErr w:type="spellStart"/>
      <w:r>
        <w:t>lb</w:t>
      </w:r>
      <w:proofErr w:type="spellEnd"/>
      <w:r>
        <w:t>/</w:t>
      </w:r>
      <w:proofErr w:type="spellStart"/>
      <w:r>
        <w:t>mmbtu</w:t>
      </w:r>
      <w:proofErr w:type="spellEnd"/>
      <w:r>
        <w:t xml:space="preserve"> when followed by an ESP and 0.08 </w:t>
      </w:r>
      <w:proofErr w:type="spellStart"/>
      <w:r>
        <w:t>lb</w:t>
      </w:r>
      <w:proofErr w:type="spellEnd"/>
      <w:r>
        <w:t>/</w:t>
      </w:r>
      <w:proofErr w:type="spellStart"/>
      <w:r>
        <w:t>mmBtu</w:t>
      </w:r>
      <w:proofErr w:type="spellEnd"/>
      <w:r>
        <w:t xml:space="preserve"> when followed by a baghouse . </w:t>
      </w:r>
    </w:p>
    <w:p w14:paraId="0BD0A1A4" w14:textId="23FC7CD7" w:rsidR="00E551AA" w:rsidRDefault="00E551AA" w:rsidP="00B448C7">
      <w:pPr>
        <w:pStyle w:val="Heading2"/>
      </w:pPr>
      <w:bookmarkStart w:id="5" w:name="_Toc115775420"/>
      <w:r>
        <w:t>Control Equipment Life</w:t>
      </w:r>
      <w:bookmarkEnd w:id="5"/>
    </w:p>
    <w:p w14:paraId="6CCF1EC1" w14:textId="77777777" w:rsidR="00E551AA" w:rsidRDefault="00E551AA" w:rsidP="00B448C7">
      <w:r>
        <w:t xml:space="preserve">The CCM recommends a 20-year life for SNCR and 20–25 years for SCR on industrial boilers. </w:t>
      </w:r>
    </w:p>
    <w:p w14:paraId="6C0EFFF2" w14:textId="77777777" w:rsidR="00E551AA" w:rsidRDefault="00E551AA" w:rsidP="00B448C7">
      <w:r>
        <w:t xml:space="preserve">Because the coal-fired boilers at the beet sugar facilities operate on a seasonal basis with substantial downtime for maintenance, NPS analyses generally assumed a 25-year lifespan. MPCA assumed 20-year lives for SCR on all of these boilers. </w:t>
      </w:r>
    </w:p>
    <w:p w14:paraId="4F9A6C13" w14:textId="77777777" w:rsidR="00E551AA" w:rsidRDefault="00E551AA" w:rsidP="00B448C7">
      <w:r>
        <w:t xml:space="preserve">For boilers at paper mills, MPCA used a 25-year life for SCR on the </w:t>
      </w:r>
      <w:proofErr w:type="spellStart"/>
      <w:r>
        <w:t>woodwaste</w:t>
      </w:r>
      <w:proofErr w:type="spellEnd"/>
      <w:r>
        <w:t>-fired Sappi Cloquet Boiler #9 and 20 years for SCR on the natural gas-fired Boiler #1 at Boise White.</w:t>
      </w:r>
    </w:p>
    <w:p w14:paraId="7230E3E0" w14:textId="77777777" w:rsidR="00E551AA" w:rsidRDefault="00E551AA" w:rsidP="00B448C7">
      <w:r>
        <w:t>SCR on a natural-gas fired boiler is expected to last at least 25 years.</w:t>
      </w:r>
    </w:p>
    <w:p w14:paraId="58A2F372" w14:textId="77777777" w:rsidR="00E551AA" w:rsidRDefault="00E551AA" w:rsidP="00B448C7">
      <w:r>
        <w:t xml:space="preserve">For taconite furnaces, NPS analyses assumed a 20-year SCR life due to the unproven nature of this control strategy on these emission units. </w:t>
      </w:r>
    </w:p>
    <w:p w14:paraId="1C09C7C8" w14:textId="77777777" w:rsidR="00E551AA" w:rsidRDefault="00E551AA" w:rsidP="00B448C7">
      <w:r>
        <w:t>The CCM recommends a 30-year life for SO2 scrubbers. MPCA used 20 years for DSI at the beet sugar facilities.</w:t>
      </w:r>
    </w:p>
    <w:p w14:paraId="6325B60C" w14:textId="5176766F" w:rsidR="00E551AA" w:rsidRDefault="00E551AA" w:rsidP="00B448C7">
      <w:pPr>
        <w:pStyle w:val="Heading2"/>
      </w:pPr>
      <w:bookmarkStart w:id="6" w:name="_Toc115775421"/>
      <w:r>
        <w:t>Unsupported Costs</w:t>
      </w:r>
      <w:bookmarkEnd w:id="6"/>
    </w:p>
    <w:p w14:paraId="17FE9371" w14:textId="77777777" w:rsidR="00E551AA" w:rsidRDefault="00E551AA" w:rsidP="00B448C7">
      <w:r>
        <w:t>In at least one instance, MPCA relied on vendor quotes that were unavailable to NPS.</w:t>
      </w:r>
    </w:p>
    <w:p w14:paraId="1C6B0CAD" w14:textId="77777777" w:rsidR="00E551AA" w:rsidRDefault="00E551AA" w:rsidP="00B448C7">
      <w:r>
        <w:t>MPCA included costs that were unjustified (e.g., demolitions, ESP replacements, and stack replacements) and did not account for avoided operating costs (e.g., ESP removal).</w:t>
      </w:r>
    </w:p>
    <w:p w14:paraId="022E1248" w14:textId="778321C1" w:rsidR="00E551AA" w:rsidRDefault="00E551AA" w:rsidP="00B448C7">
      <w:pPr>
        <w:pStyle w:val="Heading2"/>
      </w:pPr>
      <w:bookmarkStart w:id="7" w:name="_Toc115775422"/>
      <w:r>
        <w:t>Missing and Incomplete Analyses/Unsupported Control Determinations</w:t>
      </w:r>
      <w:bookmarkEnd w:id="7"/>
      <w:r w:rsidR="005A6F68">
        <w:t xml:space="preserve"> </w:t>
      </w:r>
    </w:p>
    <w:p w14:paraId="174FBC6A" w14:textId="172F5C88" w:rsidR="00E551AA" w:rsidRDefault="00E551AA" w:rsidP="00B448C7">
      <w:r>
        <w:t>Although MPCA did not discuss Selective Catalytic Reduction (SCR) at American Crystal Sugar’s Crookston and East Grand Forks plants in its final draft, it included evaluations of SCR on all five boilers in Appendix E.</w:t>
      </w:r>
    </w:p>
    <w:p w14:paraId="2601A537" w14:textId="18E7776E" w:rsidR="00E551AA" w:rsidRDefault="00E551AA" w:rsidP="00B448C7">
      <w:r>
        <w:t>In its “Table 51. NO</w:t>
      </w:r>
      <w:r w:rsidR="00500A1C" w:rsidRPr="00B448C7">
        <w:rPr>
          <w:vertAlign w:val="subscript"/>
        </w:rPr>
        <w:t>x</w:t>
      </w:r>
      <w:r>
        <w:t xml:space="preserve"> control information (MPCA revision),” MPCA estimated that addition of SCR at Southern Minnesota Beet Sugar could reduce NO</w:t>
      </w:r>
      <w:r w:rsidR="00F26EA8" w:rsidRPr="00B448C7">
        <w:rPr>
          <w:vertAlign w:val="subscript"/>
        </w:rPr>
        <w:t>x</w:t>
      </w:r>
      <w:r>
        <w:t xml:space="preserve"> emissions by 832 tons/</w:t>
      </w:r>
      <w:proofErr w:type="spellStart"/>
      <w:r>
        <w:t>yr</w:t>
      </w:r>
      <w:proofErr w:type="spellEnd"/>
      <w:r>
        <w:t xml:space="preserve"> at $5,986/ton. Even though the MPCA estimated cost-effectiveness is</w:t>
      </w:r>
      <w:r w:rsidDel="00175FEF">
        <w:t xml:space="preserve"> </w:t>
      </w:r>
      <w:r>
        <w:t>below its $7,600/ton threshold, it did not select this control strategy and provide</w:t>
      </w:r>
      <w:r w:rsidR="00F62F8C">
        <w:t>s</w:t>
      </w:r>
      <w:r>
        <w:t xml:space="preserve"> no explanation for that decision.</w:t>
      </w:r>
    </w:p>
    <w:p w14:paraId="1E929D03" w14:textId="2507AAE0" w:rsidR="00E551AA" w:rsidRDefault="00E551AA" w:rsidP="00557C5F">
      <w:r>
        <w:t>MPCA provided an analysis of SNCR on Boise White Boiler #1 and determined that SNCR could reduce NOx emissions by 38 tons/</w:t>
      </w:r>
      <w:proofErr w:type="spellStart"/>
      <w:r>
        <w:t>yr</w:t>
      </w:r>
      <w:proofErr w:type="spellEnd"/>
      <w:r>
        <w:t xml:space="preserve"> at an annual cost of about $250,000 for a cost-effectiveness value of just over $6,600/ton of NO</w:t>
      </w:r>
      <w:r w:rsidRPr="00B448C7">
        <w:rPr>
          <w:vertAlign w:val="subscript"/>
        </w:rPr>
        <w:t>x</w:t>
      </w:r>
      <w:r>
        <w:t xml:space="preserve"> removed. Even though the MPCA estimated cost-effectiveness is well below its $7,600/ton threshold, it did not select this control strategy and provid</w:t>
      </w:r>
      <w:r w:rsidR="00A05892">
        <w:t>es</w:t>
      </w:r>
      <w:r>
        <w:t xml:space="preserve"> no explanation for that decision.</w:t>
      </w:r>
    </w:p>
    <w:p w14:paraId="0E0C61DC" w14:textId="77777777" w:rsidR="00543483" w:rsidRDefault="00543483" w:rsidP="00B448C7">
      <w:pPr>
        <w:pStyle w:val="Heading2"/>
      </w:pPr>
      <w:bookmarkStart w:id="8" w:name="_bookmark0"/>
      <w:bookmarkStart w:id="9" w:name="_Toc115775423"/>
      <w:bookmarkEnd w:id="8"/>
      <w:r>
        <w:t>Cost Effectiveness Thresholds</w:t>
      </w:r>
      <w:bookmarkEnd w:id="9"/>
    </w:p>
    <w:p w14:paraId="773C7EE8" w14:textId="3814423C" w:rsidR="00315A09" w:rsidRPr="00315A09" w:rsidRDefault="00315A09" w:rsidP="00315A09">
      <w:r w:rsidRPr="00315A09">
        <w:t xml:space="preserve">MPCA has relied on three sources of information in developing its cost-effectiveness threshold of $7,600/ton. The cost effectiveness from: </w:t>
      </w:r>
    </w:p>
    <w:p w14:paraId="66DD6ED5" w14:textId="77777777" w:rsidR="00315A09" w:rsidRPr="00315A09" w:rsidRDefault="00315A09" w:rsidP="00B448C7">
      <w:pPr>
        <w:pStyle w:val="ListParagraph"/>
      </w:pPr>
      <w:r w:rsidRPr="00315A09">
        <w:t>the first implementation period</w:t>
      </w:r>
    </w:p>
    <w:p w14:paraId="57F1D897" w14:textId="77777777" w:rsidR="00315A09" w:rsidRPr="00315A09" w:rsidRDefault="00315A09" w:rsidP="00B448C7">
      <w:pPr>
        <w:pStyle w:val="ListParagraph"/>
      </w:pPr>
      <w:r w:rsidRPr="00315A09">
        <w:t>other states’ Regional Haze SIPs</w:t>
      </w:r>
    </w:p>
    <w:p w14:paraId="740EF251" w14:textId="77777777" w:rsidR="00315A09" w:rsidRPr="00315A09" w:rsidRDefault="00315A09" w:rsidP="00B448C7">
      <w:pPr>
        <w:pStyle w:val="ListParagraph"/>
      </w:pPr>
      <w:r w:rsidRPr="00315A09">
        <w:t>EPA’s RACT/BACT/LAER clearing house</w:t>
      </w:r>
    </w:p>
    <w:p w14:paraId="693DFD5C" w14:textId="2A367D87" w:rsidR="0016621C" w:rsidRDefault="0016621C">
      <w:r>
        <w:br w:type="page"/>
      </w:r>
    </w:p>
    <w:p w14:paraId="642C7340" w14:textId="77777777" w:rsidR="00315A09" w:rsidRPr="00315A09" w:rsidRDefault="00315A09" w:rsidP="00A57E0D">
      <w:r w:rsidRPr="00315A09">
        <w:t xml:space="preserve">With respect to the first implementation period MPCA says that: </w:t>
      </w:r>
    </w:p>
    <w:p w14:paraId="184E5803" w14:textId="77777777" w:rsidR="00315A09" w:rsidRPr="00315A09" w:rsidRDefault="00315A09" w:rsidP="00B448C7">
      <w:pPr>
        <w:pStyle w:val="Quote"/>
      </w:pPr>
      <w:r w:rsidRPr="00315A09">
        <w:t xml:space="preserve">The Arkansas DEQ complied the costs of control determinations for BART and reasonable progress in the first planning period and scaled the cost per ton values in each determination to 2019 dollars using the Chemical Engineering Plant Cost Index (CEPCI)…This analysis found that the cost-effectiveness of controls installed as a result of the first regional haze implementation period were generally $5,200 per ton of pollutant reduced. </w:t>
      </w:r>
    </w:p>
    <w:p w14:paraId="77FCC75A" w14:textId="77777777" w:rsidR="00315A09" w:rsidRPr="00315A09" w:rsidRDefault="00315A09" w:rsidP="00315A09">
      <w:r w:rsidRPr="00315A09">
        <w:t>However, the Arkansas DEQ analysis is not applicable to this round of Reasonable Progress (RP) determinations because most of the data considered originates from BART analyses which included an additional fifth “degree of visibility improvement” factor. As such, cost-effectiveness was not necessarily the determining factor for BART determinations. Furthermore, BART cost-effectiveness values do not reflect the actual cost-effectiveness threshold or what the actual ceiling on an acceptable cost-effectiveness value might be. For example, a control measure that costs $1,000/ton may have been selected even though the actual cost-effectiveness threshold was much higher. Finally, EPA cautioned against using Round 1 BART thresholds in its comments to Arizona:</w:t>
      </w:r>
    </w:p>
    <w:p w14:paraId="3778C26E" w14:textId="77777777" w:rsidR="00315A09" w:rsidRPr="00315A09" w:rsidRDefault="00315A09" w:rsidP="00B448C7">
      <w:pPr>
        <w:pStyle w:val="Quote"/>
      </w:pPr>
      <w:r w:rsidRPr="00315A09">
        <w:t>Given the differences between the BART factors and RP factors and the nature of the applicability criteria that would trigger BART and RP analyses, we do not necessarily consider the cost- effectiveness and visibility benefit values from BART determinations to be directly comparable to RP analyses.</w:t>
      </w:r>
      <w:r w:rsidRPr="00315A09">
        <w:rPr>
          <w:vertAlign w:val="superscript"/>
        </w:rPr>
        <w:footnoteReference w:id="2"/>
      </w:r>
    </w:p>
    <w:p w14:paraId="3E10C812" w14:textId="4C201E17" w:rsidR="00315A09" w:rsidRPr="00315A09" w:rsidRDefault="00315A09" w:rsidP="00315A09">
      <w:bookmarkStart w:id="10" w:name="_Hlk114670210"/>
      <w:r w:rsidRPr="00B448C7">
        <w:t xml:space="preserve">With respect to cost thresholds from other states’ round two Regional Haze SIPs. </w:t>
      </w:r>
      <w:r w:rsidRPr="00315A09">
        <w:t>Minnesota did not choose a single state as a guide but did consider its cost effectiveness threshold of $7,600/ton to be within the range of other state proposals.</w:t>
      </w:r>
    </w:p>
    <w:p w14:paraId="24D841F1" w14:textId="77777777" w:rsidR="00315A09" w:rsidRPr="00A57E0D" w:rsidRDefault="00315A09" w:rsidP="00897A48">
      <w:r w:rsidRPr="00B448C7">
        <w:t>The NPS is</w:t>
      </w:r>
      <w:r w:rsidRPr="00897A48">
        <w:t xml:space="preserve"> cur</w:t>
      </w:r>
      <w:r w:rsidRPr="005865A1">
        <w:t>rently aware of the</w:t>
      </w:r>
      <w:r w:rsidRPr="00B80BE2">
        <w:t xml:space="preserve"> following</w:t>
      </w:r>
      <w:r w:rsidRPr="00B05F2D">
        <w:t xml:space="preserve"> cost-effectiveness thresholds that have been made public:</w:t>
      </w:r>
    </w:p>
    <w:p w14:paraId="17668781" w14:textId="77777777" w:rsidR="00315A09" w:rsidRPr="00315A09" w:rsidRDefault="00315A09" w:rsidP="00B448C7">
      <w:pPr>
        <w:pStyle w:val="ListParagraph"/>
      </w:pPr>
      <w:r w:rsidRPr="00315A09">
        <w:t>AR: $5,200/ton</w:t>
      </w:r>
    </w:p>
    <w:p w14:paraId="5369283E" w14:textId="77777777" w:rsidR="00315A09" w:rsidRPr="00315A09" w:rsidRDefault="00315A09" w:rsidP="00B448C7">
      <w:pPr>
        <w:pStyle w:val="ListParagraph"/>
      </w:pPr>
      <w:r w:rsidRPr="00315A09">
        <w:t>AZ: $4,000 - $6,500/ton</w:t>
      </w:r>
    </w:p>
    <w:p w14:paraId="0439BE33" w14:textId="77777777" w:rsidR="00315A09" w:rsidRPr="00315A09" w:rsidRDefault="00315A09" w:rsidP="00B448C7">
      <w:pPr>
        <w:pStyle w:val="ListParagraph"/>
      </w:pPr>
      <w:r w:rsidRPr="00315A09">
        <w:t>TX: $5,000/ton</w:t>
      </w:r>
    </w:p>
    <w:p w14:paraId="36425EAE" w14:textId="77777777" w:rsidR="00315A09" w:rsidRPr="00315A09" w:rsidRDefault="00315A09" w:rsidP="00B448C7">
      <w:pPr>
        <w:pStyle w:val="ListParagraph"/>
      </w:pPr>
      <w:r w:rsidRPr="00315A09">
        <w:t>HI: $5,800/ton</w:t>
      </w:r>
    </w:p>
    <w:p w14:paraId="2B36FCDF" w14:textId="77777777" w:rsidR="00315A09" w:rsidRPr="00315A09" w:rsidRDefault="00315A09" w:rsidP="00B448C7">
      <w:pPr>
        <w:pStyle w:val="ListParagraph"/>
      </w:pPr>
      <w:r w:rsidRPr="00315A09">
        <w:t>ID: $6,100/ton</w:t>
      </w:r>
    </w:p>
    <w:p w14:paraId="778FD1AC" w14:textId="77777777" w:rsidR="00315A09" w:rsidRPr="00315A09" w:rsidRDefault="00315A09" w:rsidP="00B448C7">
      <w:pPr>
        <w:pStyle w:val="ListParagraph"/>
      </w:pPr>
      <w:r w:rsidRPr="00315A09">
        <w:t>MN: $7,600/ton</w:t>
      </w:r>
    </w:p>
    <w:p w14:paraId="636BAB71" w14:textId="77777777" w:rsidR="00315A09" w:rsidRPr="00315A09" w:rsidRDefault="00315A09" w:rsidP="00B448C7">
      <w:pPr>
        <w:pStyle w:val="ListParagraph"/>
      </w:pPr>
      <w:r w:rsidRPr="00315A09">
        <w:t>CO, NV, OR: $10,000/ton</w:t>
      </w:r>
    </w:p>
    <w:p w14:paraId="493531A0" w14:textId="727E920E" w:rsidR="00315A09" w:rsidRPr="00315A09" w:rsidRDefault="00315A09" w:rsidP="00315A09">
      <w:r w:rsidRPr="00B448C7">
        <w:t xml:space="preserve">With respect to </w:t>
      </w:r>
      <w:r w:rsidRPr="00897A48">
        <w:t>EPA’s RACT/BACT/LAER clearin</w:t>
      </w:r>
      <w:r w:rsidRPr="005865A1">
        <w:t>g house</w:t>
      </w:r>
      <w:r w:rsidR="009D3DBE">
        <w:t xml:space="preserve">; </w:t>
      </w:r>
      <w:r w:rsidRPr="00315A09">
        <w:t>MPCA found cost data for 11 coal-fired boilers (greater than 250 MMBtu/</w:t>
      </w:r>
      <w:proofErr w:type="spellStart"/>
      <w:r w:rsidRPr="00315A09">
        <w:t>hr</w:t>
      </w:r>
      <w:proofErr w:type="spellEnd"/>
      <w:r w:rsidRPr="00315A09">
        <w:t>) that ranged from $158 to $9,242 per ton of pollutant reduced (NO</w:t>
      </w:r>
      <w:r w:rsidR="00EE1CD3">
        <w:rPr>
          <w:vertAlign w:val="subscript"/>
        </w:rPr>
        <w:t>x</w:t>
      </w:r>
      <w:r w:rsidRPr="00315A09">
        <w:t xml:space="preserve"> or SO</w:t>
      </w:r>
      <w:r w:rsidRPr="00315A09">
        <w:rPr>
          <w:vertAlign w:val="subscript"/>
        </w:rPr>
        <w:t>2</w:t>
      </w:r>
      <w:r w:rsidRPr="00315A09">
        <w:t>).</w:t>
      </w:r>
    </w:p>
    <w:p w14:paraId="18BD9700" w14:textId="7CB62981" w:rsidR="00315A09" w:rsidRPr="00315A09" w:rsidRDefault="006929D2" w:rsidP="00315A09">
      <w:r>
        <w:t>I</w:t>
      </w:r>
      <w:r w:rsidR="00315A09" w:rsidRPr="00315A09">
        <w:t>t is not clear if MPCA adjusted these costs for inflation. Nevertheless, the upper end of the range cited by MPCA is consistent with the cost-effectiveness thresholds selected by CO, NV, and OR.</w:t>
      </w:r>
    </w:p>
    <w:p w14:paraId="6FB83545" w14:textId="4026243F" w:rsidR="00315A09" w:rsidRPr="00315A09" w:rsidRDefault="00315A09" w:rsidP="00315A09">
      <w:r w:rsidRPr="00315A09">
        <w:t xml:space="preserve">It is </w:t>
      </w:r>
      <w:r w:rsidR="004A71CF">
        <w:t>also</w:t>
      </w:r>
      <w:r w:rsidRPr="00315A09">
        <w:t xml:space="preserve"> not clear if MPCA made control determinations based upon a derived cost-effectiveness threshold ($7,600/ton in 2019$) or if the $7,600/ton threshold was the result of a subjective determination of what constitutes a reasonable control strategy. If MPCA is basing its determinations on the $7,600/ton threshold, it should show how that value was derived. Otherwise, MPCA should provide a clearer explanation of </w:t>
      </w:r>
      <w:r w:rsidR="001D722C">
        <w:t>h</w:t>
      </w:r>
      <w:r w:rsidRPr="00315A09">
        <w:t>ow it arrived at it $7,600/ton threshold.</w:t>
      </w:r>
    </w:p>
    <w:p w14:paraId="4E7FDD38" w14:textId="77777777" w:rsidR="00315A09" w:rsidRDefault="00315A09" w:rsidP="00B448C7"/>
    <w:p w14:paraId="2BADED9F" w14:textId="52838130" w:rsidR="006A19DF" w:rsidRDefault="006A19DF" w:rsidP="00B1738B">
      <w:pPr>
        <w:pStyle w:val="Heading1"/>
        <w:spacing w:line="240" w:lineRule="auto"/>
        <w:contextualSpacing/>
      </w:pPr>
      <w:bookmarkStart w:id="11" w:name="_Toc115775424"/>
      <w:bookmarkEnd w:id="10"/>
      <w:r>
        <w:t xml:space="preserve">Electric Generating </w:t>
      </w:r>
      <w:r w:rsidR="005E16B4">
        <w:t xml:space="preserve">Facilities – </w:t>
      </w:r>
      <w:r w:rsidR="00074B30">
        <w:t>Four-Factor Feedback</w:t>
      </w:r>
      <w:bookmarkEnd w:id="11"/>
    </w:p>
    <w:p w14:paraId="27D92AC1" w14:textId="77777777" w:rsidR="001F4C6B" w:rsidRPr="001F4C6B" w:rsidRDefault="001F4C6B">
      <w:pPr>
        <w:pStyle w:val="Heading2"/>
      </w:pPr>
      <w:bookmarkStart w:id="12" w:name="_Toc115775425"/>
      <w:r w:rsidRPr="001F4C6B">
        <w:t>Hibbing Public Utilities Commission</w:t>
      </w:r>
      <w:bookmarkEnd w:id="12"/>
    </w:p>
    <w:p w14:paraId="01FBF3F9" w14:textId="0912867B" w:rsidR="00811D3C" w:rsidRPr="00811D3C" w:rsidRDefault="00A21695" w:rsidP="00B1738B">
      <w:pPr>
        <w:spacing w:line="240" w:lineRule="auto"/>
        <w:contextualSpacing/>
      </w:pPr>
      <w:r w:rsidRPr="00A21695">
        <w:t xml:space="preserve">In </w:t>
      </w:r>
      <w:r w:rsidR="0046786B">
        <w:t>the FLM review</w:t>
      </w:r>
      <w:r w:rsidRPr="00A21695">
        <w:t xml:space="preserve"> draft SIP regarding the Hibbing Public Utilities Commission, </w:t>
      </w:r>
      <w:r w:rsidR="00097297">
        <w:t xml:space="preserve">the </w:t>
      </w:r>
      <w:r w:rsidRPr="00A21695">
        <w:t>NPS agreed with MPCA’s original determination that SNCR would be cost effective on the facility’s three boilers. In the public draft SIP, MPCA determined that instead of requiring SNCR on the boilers it would establish new, lower NO</w:t>
      </w:r>
      <w:r w:rsidR="00FE6C51" w:rsidRPr="00B448C7">
        <w:rPr>
          <w:vertAlign w:val="subscript"/>
        </w:rPr>
        <w:t>x</w:t>
      </w:r>
      <w:r w:rsidRPr="00A21695">
        <w:t xml:space="preserve"> emissions limits that would provide reductions equivalent to installing controls. The determination that these reductions </w:t>
      </w:r>
      <w:r w:rsidR="005474AE">
        <w:t>will</w:t>
      </w:r>
      <w:r w:rsidRPr="00A21695">
        <w:t xml:space="preserve"> be equivalent to requiring SNCR </w:t>
      </w:r>
      <w:r w:rsidR="005474AE">
        <w:t>is</w:t>
      </w:r>
      <w:r w:rsidRPr="00A21695">
        <w:t xml:space="preserve"> based upon a 40% reduction from the baseline NO</w:t>
      </w:r>
      <w:r w:rsidRPr="00B448C7">
        <w:rPr>
          <w:vertAlign w:val="subscript"/>
        </w:rPr>
        <w:t>x</w:t>
      </w:r>
      <w:r w:rsidRPr="00A21695">
        <w:t xml:space="preserve"> emissions assumed in the four-factor analysis. </w:t>
      </w:r>
      <w:r w:rsidR="00525258">
        <w:t>Due to the uncertainty inherent in t</w:t>
      </w:r>
      <w:r w:rsidR="00097297">
        <w:t>h</w:t>
      </w:r>
      <w:r w:rsidR="00891D8E">
        <w:t>is assumption</w:t>
      </w:r>
      <w:r w:rsidR="00525258">
        <w:t>, the</w:t>
      </w:r>
      <w:r w:rsidR="00891D8E">
        <w:t xml:space="preserve"> </w:t>
      </w:r>
      <w:r w:rsidRPr="00A21695">
        <w:t>NPS continues to recommend that MPCA require installation of SNCR for NO</w:t>
      </w:r>
      <w:r w:rsidRPr="00B448C7">
        <w:rPr>
          <w:vertAlign w:val="subscript"/>
        </w:rPr>
        <w:t>x</w:t>
      </w:r>
      <w:r w:rsidRPr="00A21695">
        <w:t xml:space="preserve"> reduction.</w:t>
      </w:r>
    </w:p>
    <w:p w14:paraId="514A057B" w14:textId="6D39DE8B" w:rsidR="001F4C6B" w:rsidRPr="001F4C6B" w:rsidRDefault="001F4C6B">
      <w:pPr>
        <w:pStyle w:val="Heading2"/>
      </w:pPr>
      <w:bookmarkStart w:id="13" w:name="_Toc115775426"/>
      <w:r w:rsidRPr="001F4C6B">
        <w:t>Minnesota Power</w:t>
      </w:r>
      <w:r w:rsidR="008838C5">
        <w:t>–</w:t>
      </w:r>
      <w:r w:rsidRPr="001F4C6B">
        <w:t>Boswell Energy Center</w:t>
      </w:r>
      <w:bookmarkEnd w:id="13"/>
    </w:p>
    <w:p w14:paraId="3C7CD90B" w14:textId="6C271A4C" w:rsidR="00857202" w:rsidRPr="009D7DBB" w:rsidRDefault="00A21695" w:rsidP="00B1738B">
      <w:pPr>
        <w:spacing w:line="240" w:lineRule="auto"/>
        <w:contextualSpacing/>
      </w:pPr>
      <w:r w:rsidRPr="00A21695">
        <w:t xml:space="preserve">NPS comments on the </w:t>
      </w:r>
      <w:r w:rsidR="00FF4943">
        <w:t xml:space="preserve">FLM review </w:t>
      </w:r>
      <w:r w:rsidRPr="00A21695">
        <w:t>draft SIP regarding the Boswell Energy Center noted that actual SO</w:t>
      </w:r>
      <w:r w:rsidRPr="00B448C7">
        <w:rPr>
          <w:vertAlign w:val="subscript"/>
        </w:rPr>
        <w:t>2</w:t>
      </w:r>
      <w:r w:rsidRPr="00A21695">
        <w:t xml:space="preserve"> emissions rates at Units 3 and 4 from 2015 through 2021 varied from 0.01 to 0.045 </w:t>
      </w:r>
      <w:proofErr w:type="spellStart"/>
      <w:r w:rsidRPr="00A21695">
        <w:t>lb</w:t>
      </w:r>
      <w:proofErr w:type="spellEnd"/>
      <w:r w:rsidRPr="00A21695">
        <w:t>/MMBtu</w:t>
      </w:r>
      <w:r w:rsidR="00FF4943">
        <w:t>. These rates</w:t>
      </w:r>
      <w:r w:rsidRPr="00A21695">
        <w:t xml:space="preserve"> are much lower than the allowable rate of 0.2 </w:t>
      </w:r>
      <w:proofErr w:type="spellStart"/>
      <w:r w:rsidRPr="00A21695">
        <w:t>lb</w:t>
      </w:r>
      <w:proofErr w:type="spellEnd"/>
      <w:r w:rsidRPr="00A21695">
        <w:t xml:space="preserve"> SO</w:t>
      </w:r>
      <w:r w:rsidRPr="00B448C7">
        <w:rPr>
          <w:vertAlign w:val="subscript"/>
        </w:rPr>
        <w:t>2</w:t>
      </w:r>
      <w:r w:rsidRPr="00A21695">
        <w:t xml:space="preserve">/MMBtu. </w:t>
      </w:r>
      <w:r w:rsidR="00FF4943">
        <w:t xml:space="preserve">The </w:t>
      </w:r>
      <w:r w:rsidRPr="00A21695">
        <w:t>NPS recommended that MPCA establish lower SO</w:t>
      </w:r>
      <w:r w:rsidRPr="00B448C7">
        <w:rPr>
          <w:vertAlign w:val="subscript"/>
        </w:rPr>
        <w:t>2</w:t>
      </w:r>
      <w:r w:rsidRPr="00A21695">
        <w:t xml:space="preserve"> emissions limits closer to the units’ actual emissions rates to prevent backsliding. In their response to comments, the MPCA responded: “MPCA has no reason to believe that emission rates for these emission units will increase in the future given the existing enforceable requirements shown in Table 32.” However, in reviews of emissions data from electrical generating facilities</w:t>
      </w:r>
      <w:r w:rsidR="00CD268A">
        <w:t xml:space="preserve"> around the U.S. </w:t>
      </w:r>
      <w:r w:rsidRPr="00A21695">
        <w:t>NPS has identified other electrical generating facilities with SO</w:t>
      </w:r>
      <w:r w:rsidRPr="00B448C7">
        <w:rPr>
          <w:vertAlign w:val="subscript"/>
        </w:rPr>
        <w:t>2</w:t>
      </w:r>
      <w:r w:rsidRPr="00A21695">
        <w:t xml:space="preserve"> controls that have experienced increases in emissions rates over time. </w:t>
      </w:r>
      <w:r w:rsidR="00FF4943">
        <w:t xml:space="preserve">The </w:t>
      </w:r>
      <w:r w:rsidRPr="00A21695">
        <w:t>NPS continues to recommend that MPCA establish lower SO</w:t>
      </w:r>
      <w:r w:rsidRPr="00B448C7">
        <w:rPr>
          <w:vertAlign w:val="subscript"/>
        </w:rPr>
        <w:t>2</w:t>
      </w:r>
      <w:r w:rsidRPr="00A21695">
        <w:t xml:space="preserve"> emissions limits to ensure emissions rates remain low.</w:t>
      </w:r>
    </w:p>
    <w:p w14:paraId="3EB32365" w14:textId="77777777" w:rsidR="0016621C" w:rsidRDefault="0016621C">
      <w:r>
        <w:br w:type="page"/>
      </w:r>
    </w:p>
    <w:p w14:paraId="52D0E820" w14:textId="3DD0232E" w:rsidR="00867FDB" w:rsidRDefault="00867FDB" w:rsidP="00B1738B">
      <w:pPr>
        <w:pStyle w:val="Heading1"/>
        <w:spacing w:line="240" w:lineRule="auto"/>
        <w:contextualSpacing/>
      </w:pPr>
      <w:bookmarkStart w:id="14" w:name="_Toc115775427"/>
      <w:r>
        <w:t>Sugar beet Processing Facilities – Four-Factor Feedback</w:t>
      </w:r>
      <w:bookmarkEnd w:id="14"/>
    </w:p>
    <w:p w14:paraId="74E27E77" w14:textId="770FF51E" w:rsidR="007352F5" w:rsidRPr="007352F5" w:rsidRDefault="007352F5" w:rsidP="007352F5">
      <w:pPr>
        <w:spacing w:line="240" w:lineRule="auto"/>
        <w:contextualSpacing/>
        <w:rPr>
          <w:rFonts w:cs="Times New Roman"/>
          <w:szCs w:val="24"/>
        </w:rPr>
      </w:pPr>
      <w:r w:rsidRPr="007352F5">
        <w:rPr>
          <w:rFonts w:cs="Times New Roman"/>
          <w:szCs w:val="24"/>
        </w:rPr>
        <w:t>MPCA conducted four-factor analyses for three beet sugar processing plants with the emissions shown below.</w:t>
      </w:r>
    </w:p>
    <w:p w14:paraId="3A3B6760" w14:textId="5C011F8E" w:rsidR="007352F5" w:rsidRPr="007352F5" w:rsidRDefault="00F87041" w:rsidP="00282280">
      <w:pPr>
        <w:pStyle w:val="Caption"/>
        <w:rPr>
          <w:rFonts w:cs="Times New Roman"/>
          <w:szCs w:val="24"/>
        </w:rPr>
      </w:pPr>
      <w:r>
        <w:t xml:space="preserve">Table </w:t>
      </w:r>
      <w:r>
        <w:fldChar w:fldCharType="begin"/>
      </w:r>
      <w:r>
        <w:instrText>SEQ Table \* ARABIC</w:instrText>
      </w:r>
      <w:r>
        <w:fldChar w:fldCharType="separate"/>
      </w:r>
      <w:r>
        <w:rPr>
          <w:noProof/>
        </w:rPr>
        <w:t>1</w:t>
      </w:r>
      <w:r>
        <w:fldChar w:fldCharType="end"/>
      </w:r>
      <w:r w:rsidR="008E4F4D">
        <w:t xml:space="preserve">. </w:t>
      </w:r>
      <w:r w:rsidR="00C619F5" w:rsidRPr="00C619F5">
        <w:t xml:space="preserve">MPCA Table 28. Q/d Analysis </w:t>
      </w:r>
      <w:r w:rsidR="00C619F5">
        <w:t>E</w:t>
      </w:r>
      <w:r w:rsidR="00C619F5" w:rsidRPr="00C619F5">
        <w:t xml:space="preserve">missions </w:t>
      </w:r>
      <w:r w:rsidR="00CE6335">
        <w:t>D</w:t>
      </w:r>
      <w:r w:rsidR="00C619F5" w:rsidRPr="00C619F5">
        <w:t>ata (tons/</w:t>
      </w:r>
      <w:proofErr w:type="spellStart"/>
      <w:r w:rsidR="00C619F5" w:rsidRPr="00C619F5">
        <w:t>yr</w:t>
      </w:r>
      <w:proofErr w:type="spellEnd"/>
      <w:r w:rsidR="00C619F5" w:rsidRPr="00C619F5">
        <w:t>)</w:t>
      </w:r>
    </w:p>
    <w:tbl>
      <w:tblPr>
        <w:tblW w:w="5000" w:type="pct"/>
        <w:tblLook w:val="04A0" w:firstRow="1" w:lastRow="0" w:firstColumn="1" w:lastColumn="0" w:noHBand="0" w:noVBand="1"/>
      </w:tblPr>
      <w:tblGrid>
        <w:gridCol w:w="6214"/>
        <w:gridCol w:w="1564"/>
        <w:gridCol w:w="1562"/>
      </w:tblGrid>
      <w:tr w:rsidR="007352F5" w:rsidRPr="007352F5" w14:paraId="1102AFFA" w14:textId="77777777" w:rsidTr="3328C818">
        <w:trPr>
          <w:trHeight w:val="300"/>
        </w:trPr>
        <w:tc>
          <w:tcPr>
            <w:tcW w:w="3327" w:type="pct"/>
            <w:tcBorders>
              <w:top w:val="single" w:sz="8" w:space="0" w:color="auto"/>
              <w:left w:val="single" w:sz="8" w:space="0" w:color="auto"/>
              <w:bottom w:val="nil"/>
              <w:right w:val="single" w:sz="4" w:space="0" w:color="auto"/>
            </w:tcBorders>
            <w:shd w:val="clear" w:color="auto" w:fill="auto"/>
            <w:noWrap/>
            <w:vAlign w:val="bottom"/>
            <w:hideMark/>
          </w:tcPr>
          <w:p w14:paraId="7DD17C95" w14:textId="2C319BD0" w:rsidR="007352F5" w:rsidRPr="00AE066D" w:rsidRDefault="007352F5" w:rsidP="00AE066D">
            <w:pPr>
              <w:pStyle w:val="Table-Text"/>
              <w:rPr>
                <w:b/>
              </w:rPr>
            </w:pPr>
            <w:r w:rsidRPr="00AE066D">
              <w:rPr>
                <w:b/>
              </w:rPr>
              <w:t>MPCA Table 28. Q/d Analysis emissions data (tons/</w:t>
            </w:r>
            <w:proofErr w:type="spellStart"/>
            <w:r w:rsidRPr="00AE066D">
              <w:rPr>
                <w:b/>
              </w:rPr>
              <w:t>yr</w:t>
            </w:r>
            <w:proofErr w:type="spellEnd"/>
            <w:r w:rsidRPr="00AE066D">
              <w:rPr>
                <w:b/>
              </w:rPr>
              <w:t>)</w:t>
            </w:r>
          </w:p>
        </w:tc>
        <w:tc>
          <w:tcPr>
            <w:tcW w:w="837" w:type="pct"/>
            <w:tcBorders>
              <w:top w:val="single" w:sz="8" w:space="0" w:color="auto"/>
              <w:left w:val="nil"/>
              <w:bottom w:val="nil"/>
              <w:right w:val="single" w:sz="4" w:space="0" w:color="auto"/>
            </w:tcBorders>
            <w:shd w:val="clear" w:color="auto" w:fill="auto"/>
            <w:noWrap/>
            <w:vAlign w:val="center"/>
            <w:hideMark/>
          </w:tcPr>
          <w:p w14:paraId="68A54AC0" w14:textId="77777777" w:rsidR="007352F5" w:rsidRPr="00AE066D" w:rsidRDefault="3B836707" w:rsidP="3328C818">
            <w:pPr>
              <w:pStyle w:val="Table-Text"/>
              <w:jc w:val="center"/>
              <w:rPr>
                <w:b/>
                <w:bCs/>
              </w:rPr>
            </w:pPr>
            <w:r w:rsidRPr="3328C818">
              <w:rPr>
                <w:b/>
                <w:bCs/>
              </w:rPr>
              <w:t>NO</w:t>
            </w:r>
            <w:r w:rsidRPr="3328C818">
              <w:rPr>
                <w:b/>
                <w:bCs/>
                <w:vertAlign w:val="subscript"/>
              </w:rPr>
              <w:t>x</w:t>
            </w:r>
          </w:p>
        </w:tc>
        <w:tc>
          <w:tcPr>
            <w:tcW w:w="837" w:type="pct"/>
            <w:tcBorders>
              <w:top w:val="single" w:sz="8" w:space="0" w:color="auto"/>
              <w:left w:val="nil"/>
              <w:bottom w:val="nil"/>
              <w:right w:val="single" w:sz="8" w:space="0" w:color="auto"/>
            </w:tcBorders>
            <w:shd w:val="clear" w:color="auto" w:fill="auto"/>
            <w:noWrap/>
            <w:vAlign w:val="center"/>
            <w:hideMark/>
          </w:tcPr>
          <w:p w14:paraId="283193E0" w14:textId="77777777" w:rsidR="007352F5" w:rsidRPr="00AE066D" w:rsidRDefault="3B836707" w:rsidP="3328C818">
            <w:pPr>
              <w:pStyle w:val="Table-Text"/>
              <w:jc w:val="center"/>
              <w:rPr>
                <w:b/>
                <w:bCs/>
              </w:rPr>
            </w:pPr>
            <w:r w:rsidRPr="3328C818">
              <w:rPr>
                <w:b/>
                <w:bCs/>
              </w:rPr>
              <w:t>SO</w:t>
            </w:r>
            <w:r w:rsidRPr="3328C818">
              <w:rPr>
                <w:b/>
                <w:bCs/>
                <w:vertAlign w:val="subscript"/>
              </w:rPr>
              <w:t>2</w:t>
            </w:r>
          </w:p>
        </w:tc>
      </w:tr>
      <w:tr w:rsidR="007352F5" w:rsidRPr="007352F5" w14:paraId="5B7596F8" w14:textId="77777777" w:rsidTr="3328C818">
        <w:trPr>
          <w:trHeight w:val="290"/>
        </w:trPr>
        <w:tc>
          <w:tcPr>
            <w:tcW w:w="332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F25B4C1" w14:textId="77777777" w:rsidR="007352F5" w:rsidRPr="007352F5" w:rsidRDefault="007352F5" w:rsidP="00AE066D">
            <w:pPr>
              <w:pStyle w:val="Table-Text"/>
            </w:pPr>
            <w:r w:rsidRPr="007352F5">
              <w:t>American Crystal Sugar - Crookston</w:t>
            </w:r>
          </w:p>
        </w:tc>
        <w:tc>
          <w:tcPr>
            <w:tcW w:w="837" w:type="pct"/>
            <w:tcBorders>
              <w:top w:val="single" w:sz="8" w:space="0" w:color="auto"/>
              <w:left w:val="nil"/>
              <w:bottom w:val="single" w:sz="4" w:space="0" w:color="auto"/>
              <w:right w:val="single" w:sz="4" w:space="0" w:color="auto"/>
            </w:tcBorders>
            <w:shd w:val="clear" w:color="auto" w:fill="auto"/>
            <w:noWrap/>
            <w:vAlign w:val="center"/>
            <w:hideMark/>
          </w:tcPr>
          <w:p w14:paraId="54942D06" w14:textId="77777777" w:rsidR="007352F5" w:rsidRPr="007352F5" w:rsidRDefault="3B836707" w:rsidP="3328C818">
            <w:pPr>
              <w:pStyle w:val="Table-Text"/>
              <w:jc w:val="center"/>
            </w:pPr>
            <w:r>
              <w:t>712.3</w:t>
            </w:r>
          </w:p>
        </w:tc>
        <w:tc>
          <w:tcPr>
            <w:tcW w:w="837" w:type="pct"/>
            <w:tcBorders>
              <w:top w:val="single" w:sz="8" w:space="0" w:color="auto"/>
              <w:left w:val="nil"/>
              <w:bottom w:val="single" w:sz="4" w:space="0" w:color="auto"/>
              <w:right w:val="single" w:sz="8" w:space="0" w:color="auto"/>
            </w:tcBorders>
            <w:shd w:val="clear" w:color="auto" w:fill="auto"/>
            <w:noWrap/>
            <w:vAlign w:val="center"/>
            <w:hideMark/>
          </w:tcPr>
          <w:p w14:paraId="53902202" w14:textId="77777777" w:rsidR="007352F5" w:rsidRPr="007352F5" w:rsidRDefault="3B836707" w:rsidP="3328C818">
            <w:pPr>
              <w:pStyle w:val="Table-Text"/>
              <w:jc w:val="center"/>
            </w:pPr>
            <w:r>
              <w:t>875.74</w:t>
            </w:r>
          </w:p>
        </w:tc>
      </w:tr>
      <w:tr w:rsidR="007352F5" w:rsidRPr="007352F5" w14:paraId="4278277B" w14:textId="77777777" w:rsidTr="3328C818">
        <w:trPr>
          <w:trHeight w:val="290"/>
        </w:trPr>
        <w:tc>
          <w:tcPr>
            <w:tcW w:w="3327" w:type="pct"/>
            <w:tcBorders>
              <w:top w:val="nil"/>
              <w:left w:val="single" w:sz="8" w:space="0" w:color="auto"/>
              <w:bottom w:val="single" w:sz="4" w:space="0" w:color="auto"/>
              <w:right w:val="single" w:sz="4" w:space="0" w:color="auto"/>
            </w:tcBorders>
            <w:shd w:val="clear" w:color="auto" w:fill="auto"/>
            <w:noWrap/>
            <w:vAlign w:val="bottom"/>
            <w:hideMark/>
          </w:tcPr>
          <w:p w14:paraId="492D85AE" w14:textId="77777777" w:rsidR="007352F5" w:rsidRPr="007352F5" w:rsidRDefault="007352F5" w:rsidP="00AE066D">
            <w:pPr>
              <w:pStyle w:val="Table-Text"/>
            </w:pPr>
            <w:r w:rsidRPr="007352F5">
              <w:t>Southern Minnesota Beet Sugar Coop</w:t>
            </w:r>
          </w:p>
        </w:tc>
        <w:tc>
          <w:tcPr>
            <w:tcW w:w="837" w:type="pct"/>
            <w:tcBorders>
              <w:top w:val="nil"/>
              <w:left w:val="nil"/>
              <w:bottom w:val="single" w:sz="4" w:space="0" w:color="auto"/>
              <w:right w:val="single" w:sz="4" w:space="0" w:color="auto"/>
            </w:tcBorders>
            <w:shd w:val="clear" w:color="auto" w:fill="auto"/>
            <w:noWrap/>
            <w:vAlign w:val="center"/>
            <w:hideMark/>
          </w:tcPr>
          <w:p w14:paraId="726E3907" w14:textId="77777777" w:rsidR="007352F5" w:rsidRPr="007352F5" w:rsidRDefault="3B836707" w:rsidP="3328C818">
            <w:pPr>
              <w:pStyle w:val="Table-Text"/>
              <w:jc w:val="center"/>
            </w:pPr>
            <w:r>
              <w:t>1,053.38</w:t>
            </w:r>
          </w:p>
        </w:tc>
        <w:tc>
          <w:tcPr>
            <w:tcW w:w="837" w:type="pct"/>
            <w:tcBorders>
              <w:top w:val="nil"/>
              <w:left w:val="nil"/>
              <w:bottom w:val="single" w:sz="4" w:space="0" w:color="auto"/>
              <w:right w:val="single" w:sz="8" w:space="0" w:color="auto"/>
            </w:tcBorders>
            <w:shd w:val="clear" w:color="auto" w:fill="auto"/>
            <w:noWrap/>
            <w:vAlign w:val="center"/>
            <w:hideMark/>
          </w:tcPr>
          <w:p w14:paraId="098EB310" w14:textId="77777777" w:rsidR="007352F5" w:rsidRPr="007352F5" w:rsidRDefault="3B836707" w:rsidP="3328C818">
            <w:pPr>
              <w:pStyle w:val="Table-Text"/>
              <w:jc w:val="center"/>
            </w:pPr>
            <w:r>
              <w:t>831.99</w:t>
            </w:r>
          </w:p>
        </w:tc>
      </w:tr>
      <w:tr w:rsidR="007352F5" w:rsidRPr="007352F5" w14:paraId="53F53489" w14:textId="77777777" w:rsidTr="3328C818">
        <w:trPr>
          <w:trHeight w:val="300"/>
        </w:trPr>
        <w:tc>
          <w:tcPr>
            <w:tcW w:w="3327" w:type="pct"/>
            <w:tcBorders>
              <w:top w:val="nil"/>
              <w:left w:val="single" w:sz="8" w:space="0" w:color="auto"/>
              <w:bottom w:val="single" w:sz="8" w:space="0" w:color="auto"/>
              <w:right w:val="single" w:sz="4" w:space="0" w:color="auto"/>
            </w:tcBorders>
            <w:shd w:val="clear" w:color="auto" w:fill="auto"/>
            <w:noWrap/>
            <w:vAlign w:val="bottom"/>
            <w:hideMark/>
          </w:tcPr>
          <w:p w14:paraId="168F7C24" w14:textId="77777777" w:rsidR="007352F5" w:rsidRPr="007352F5" w:rsidRDefault="007352F5" w:rsidP="00AE066D">
            <w:pPr>
              <w:pStyle w:val="Table-Text"/>
            </w:pPr>
            <w:r w:rsidRPr="007352F5">
              <w:t>American Crystal Sugar - East Grand Forks</w:t>
            </w:r>
          </w:p>
        </w:tc>
        <w:tc>
          <w:tcPr>
            <w:tcW w:w="837" w:type="pct"/>
            <w:tcBorders>
              <w:top w:val="nil"/>
              <w:left w:val="nil"/>
              <w:bottom w:val="single" w:sz="8" w:space="0" w:color="auto"/>
              <w:right w:val="single" w:sz="4" w:space="0" w:color="auto"/>
            </w:tcBorders>
            <w:shd w:val="clear" w:color="auto" w:fill="auto"/>
            <w:noWrap/>
            <w:vAlign w:val="center"/>
            <w:hideMark/>
          </w:tcPr>
          <w:p w14:paraId="199A3E7B" w14:textId="77777777" w:rsidR="007352F5" w:rsidRPr="007352F5" w:rsidRDefault="3B836707" w:rsidP="3328C818">
            <w:pPr>
              <w:pStyle w:val="Table-Text"/>
              <w:jc w:val="center"/>
            </w:pPr>
            <w:r>
              <w:t>680.63</w:t>
            </w:r>
          </w:p>
        </w:tc>
        <w:tc>
          <w:tcPr>
            <w:tcW w:w="837" w:type="pct"/>
            <w:tcBorders>
              <w:top w:val="nil"/>
              <w:left w:val="nil"/>
              <w:bottom w:val="single" w:sz="8" w:space="0" w:color="auto"/>
              <w:right w:val="single" w:sz="8" w:space="0" w:color="auto"/>
            </w:tcBorders>
            <w:shd w:val="clear" w:color="auto" w:fill="auto"/>
            <w:noWrap/>
            <w:vAlign w:val="center"/>
            <w:hideMark/>
          </w:tcPr>
          <w:p w14:paraId="4D5BC083" w14:textId="77777777" w:rsidR="007352F5" w:rsidRPr="007352F5" w:rsidRDefault="3B836707" w:rsidP="3328C818">
            <w:pPr>
              <w:pStyle w:val="Table-Text"/>
              <w:jc w:val="center"/>
            </w:pPr>
            <w:r>
              <w:t>1,005.68</w:t>
            </w:r>
          </w:p>
        </w:tc>
      </w:tr>
      <w:tr w:rsidR="007352F5" w:rsidRPr="007352F5" w14:paraId="6965BB0E" w14:textId="77777777" w:rsidTr="3328C818">
        <w:trPr>
          <w:trHeight w:val="300"/>
        </w:trPr>
        <w:tc>
          <w:tcPr>
            <w:tcW w:w="3327" w:type="pct"/>
            <w:tcBorders>
              <w:top w:val="nil"/>
              <w:left w:val="single" w:sz="8" w:space="0" w:color="auto"/>
              <w:bottom w:val="single" w:sz="8" w:space="0" w:color="auto"/>
              <w:right w:val="single" w:sz="4" w:space="0" w:color="auto"/>
            </w:tcBorders>
            <w:shd w:val="clear" w:color="auto" w:fill="auto"/>
            <w:noWrap/>
            <w:vAlign w:val="bottom"/>
            <w:hideMark/>
          </w:tcPr>
          <w:p w14:paraId="00ED4889" w14:textId="77777777" w:rsidR="007352F5" w:rsidRPr="007352F5" w:rsidRDefault="007352F5" w:rsidP="00AE066D">
            <w:pPr>
              <w:pStyle w:val="Table-Text"/>
            </w:pPr>
            <w:r w:rsidRPr="007352F5">
              <w:t>Totals</w:t>
            </w:r>
          </w:p>
        </w:tc>
        <w:tc>
          <w:tcPr>
            <w:tcW w:w="837" w:type="pct"/>
            <w:tcBorders>
              <w:top w:val="nil"/>
              <w:left w:val="nil"/>
              <w:bottom w:val="single" w:sz="8" w:space="0" w:color="auto"/>
              <w:right w:val="single" w:sz="4" w:space="0" w:color="auto"/>
            </w:tcBorders>
            <w:shd w:val="clear" w:color="auto" w:fill="auto"/>
            <w:noWrap/>
            <w:vAlign w:val="center"/>
            <w:hideMark/>
          </w:tcPr>
          <w:p w14:paraId="2A045E4D" w14:textId="687A2E94" w:rsidR="007352F5" w:rsidRPr="007352F5" w:rsidRDefault="3B836707" w:rsidP="3328C818">
            <w:pPr>
              <w:pStyle w:val="Table-Text"/>
              <w:jc w:val="center"/>
            </w:pPr>
            <w:r>
              <w:t>2</w:t>
            </w:r>
            <w:r w:rsidR="0055471B">
              <w:t>,</w:t>
            </w:r>
            <w:r>
              <w:t>446.31</w:t>
            </w:r>
          </w:p>
        </w:tc>
        <w:tc>
          <w:tcPr>
            <w:tcW w:w="837" w:type="pct"/>
            <w:tcBorders>
              <w:top w:val="nil"/>
              <w:left w:val="nil"/>
              <w:bottom w:val="single" w:sz="8" w:space="0" w:color="auto"/>
              <w:right w:val="single" w:sz="8" w:space="0" w:color="auto"/>
            </w:tcBorders>
            <w:shd w:val="clear" w:color="auto" w:fill="auto"/>
            <w:noWrap/>
            <w:vAlign w:val="center"/>
            <w:hideMark/>
          </w:tcPr>
          <w:p w14:paraId="04A28219" w14:textId="77777777" w:rsidR="007352F5" w:rsidRPr="007352F5" w:rsidRDefault="3B836707" w:rsidP="3328C818">
            <w:pPr>
              <w:pStyle w:val="Table-Text"/>
              <w:jc w:val="center"/>
            </w:pPr>
            <w:r>
              <w:t>2,713.41</w:t>
            </w:r>
          </w:p>
        </w:tc>
      </w:tr>
    </w:tbl>
    <w:p w14:paraId="1E78D6B7" w14:textId="77777777" w:rsidR="007352F5" w:rsidRPr="007352F5" w:rsidRDefault="007352F5" w:rsidP="007352F5">
      <w:pPr>
        <w:spacing w:line="240" w:lineRule="auto"/>
        <w:contextualSpacing/>
        <w:rPr>
          <w:rFonts w:cs="Times New Roman"/>
          <w:szCs w:val="24"/>
        </w:rPr>
      </w:pPr>
    </w:p>
    <w:p w14:paraId="3B6093F7" w14:textId="6B91258B" w:rsidR="007352F5" w:rsidRPr="007352F5" w:rsidRDefault="007352F5" w:rsidP="007352F5">
      <w:pPr>
        <w:spacing w:line="240" w:lineRule="auto"/>
        <w:contextualSpacing/>
        <w:rPr>
          <w:rFonts w:cs="Times New Roman"/>
          <w:szCs w:val="24"/>
        </w:rPr>
      </w:pPr>
      <w:r w:rsidRPr="007352F5">
        <w:rPr>
          <w:rFonts w:cs="Times New Roman"/>
          <w:szCs w:val="24"/>
        </w:rPr>
        <w:t>MPCA is not requiring any emission reductions from these facilities.</w:t>
      </w:r>
      <w:r w:rsidR="003A57F2">
        <w:rPr>
          <w:rFonts w:cs="Times New Roman"/>
          <w:szCs w:val="24"/>
        </w:rPr>
        <w:t xml:space="preserve"> However, NPS estimates that emissions of over 1,700 ton/</w:t>
      </w:r>
      <w:proofErr w:type="spellStart"/>
      <w:r w:rsidR="003A57F2">
        <w:rPr>
          <w:rFonts w:cs="Times New Roman"/>
          <w:szCs w:val="24"/>
        </w:rPr>
        <w:t>yr</w:t>
      </w:r>
      <w:proofErr w:type="spellEnd"/>
      <w:r w:rsidR="003A57F2">
        <w:rPr>
          <w:rFonts w:cs="Times New Roman"/>
          <w:szCs w:val="24"/>
        </w:rPr>
        <w:t xml:space="preserve"> of </w:t>
      </w:r>
      <w:r w:rsidR="003A57F2" w:rsidRPr="003A57F2">
        <w:rPr>
          <w:rFonts w:cs="Times New Roman"/>
          <w:szCs w:val="24"/>
        </w:rPr>
        <w:t>SO</w:t>
      </w:r>
      <w:r w:rsidR="003A57F2" w:rsidRPr="003A57F2">
        <w:rPr>
          <w:rFonts w:cs="Times New Roman"/>
          <w:szCs w:val="24"/>
          <w:vertAlign w:val="subscript"/>
        </w:rPr>
        <w:t>2</w:t>
      </w:r>
      <w:r w:rsidR="003A57F2">
        <w:rPr>
          <w:rFonts w:cs="Times New Roman"/>
          <w:szCs w:val="24"/>
        </w:rPr>
        <w:t xml:space="preserve"> and 2,000 ton/</w:t>
      </w:r>
      <w:proofErr w:type="spellStart"/>
      <w:r w:rsidR="003A57F2">
        <w:rPr>
          <w:rFonts w:cs="Times New Roman"/>
          <w:szCs w:val="24"/>
        </w:rPr>
        <w:t>yr</w:t>
      </w:r>
      <w:proofErr w:type="spellEnd"/>
      <w:r w:rsidR="003A57F2">
        <w:rPr>
          <w:rFonts w:cs="Times New Roman"/>
          <w:szCs w:val="24"/>
        </w:rPr>
        <w:t xml:space="preserve"> of NOx could be eliminated by application of cost-effective emission controls.</w:t>
      </w:r>
    </w:p>
    <w:p w14:paraId="67E58D77" w14:textId="0CB1FC9C" w:rsidR="00867FDB" w:rsidRDefault="00867FDB">
      <w:pPr>
        <w:pStyle w:val="Heading2"/>
      </w:pPr>
      <w:bookmarkStart w:id="15" w:name="_Toc115775428"/>
      <w:r w:rsidRPr="002D3687">
        <w:t xml:space="preserve">American Crystal Sugar </w:t>
      </w:r>
      <w:r>
        <w:t>–</w:t>
      </w:r>
      <w:r w:rsidRPr="002D3687">
        <w:t xml:space="preserve"> Crookston</w:t>
      </w:r>
      <w:r w:rsidR="00184090">
        <w:rPr>
          <w:rStyle w:val="FootnoteReference"/>
        </w:rPr>
        <w:footnoteReference w:id="3"/>
      </w:r>
      <w:bookmarkEnd w:id="15"/>
    </w:p>
    <w:p w14:paraId="448ADB9B" w14:textId="413DB7DA" w:rsidR="00867FDB" w:rsidRDefault="00867FDB" w:rsidP="00B1738B">
      <w:pPr>
        <w:pStyle w:val="Heading3"/>
        <w:spacing w:line="240" w:lineRule="auto"/>
        <w:contextualSpacing/>
      </w:pPr>
      <w:r>
        <w:t xml:space="preserve">Summary of NPS Recommendations for </w:t>
      </w:r>
      <w:r w:rsidRPr="00577778">
        <w:t>American Crystal Sugar</w:t>
      </w:r>
      <w:r>
        <w:t>–Crookston</w:t>
      </w:r>
    </w:p>
    <w:p w14:paraId="1E17AE9D" w14:textId="5793CAC2" w:rsidR="00867FDB" w:rsidRDefault="00867FDB" w:rsidP="00B1738B">
      <w:pPr>
        <w:spacing w:line="240" w:lineRule="auto"/>
        <w:contextualSpacing/>
      </w:pPr>
      <w:r w:rsidRPr="0021079E">
        <w:t>NPS review of the four-factor analysis conducted for American Crystal Sugar – Crookston facility (ACSC</w:t>
      </w:r>
      <w:r w:rsidR="00633281">
        <w:t>--CRK</w:t>
      </w:r>
      <w:r w:rsidRPr="0021079E">
        <w:t xml:space="preserve">) finds that there are technically feasible and cost-effective opportunities available to further control </w:t>
      </w:r>
      <w:r w:rsidRPr="00A9462F">
        <w:t>SO</w:t>
      </w:r>
      <w:r w:rsidRPr="00A9462F">
        <w:rPr>
          <w:vertAlign w:val="subscript"/>
        </w:rPr>
        <w:t>2</w:t>
      </w:r>
      <w:r w:rsidRPr="0021079E">
        <w:t xml:space="preserve"> and </w:t>
      </w:r>
      <w:r w:rsidRPr="00A9462F">
        <w:t>NO</w:t>
      </w:r>
      <w:r>
        <w:rPr>
          <w:vertAlign w:val="subscript"/>
        </w:rPr>
        <w:t>x</w:t>
      </w:r>
      <w:r w:rsidRPr="0021079E">
        <w:t xml:space="preserve"> emissions from Boilers 1, 2, and 3. In fact, NPS analyses show that the cost of control is more economical than estimated by MPCA when analyses are adjusted in accordance with the EPA Control Cost Manual</w:t>
      </w:r>
      <w:r w:rsidR="00900E3D">
        <w:t xml:space="preserve"> (CCM)</w:t>
      </w:r>
      <w:r w:rsidRPr="0021079E">
        <w:t>.</w:t>
      </w:r>
    </w:p>
    <w:p w14:paraId="13AA094B" w14:textId="77777777" w:rsidR="00A771AC" w:rsidRPr="0021079E" w:rsidRDefault="00A771AC" w:rsidP="00B1738B">
      <w:pPr>
        <w:spacing w:line="240" w:lineRule="auto"/>
        <w:contextualSpacing/>
      </w:pPr>
    </w:p>
    <w:p w14:paraId="093B6A78" w14:textId="01F8D751" w:rsidR="00666847" w:rsidRDefault="00867FDB" w:rsidP="00B1738B">
      <w:pPr>
        <w:spacing w:line="240" w:lineRule="auto"/>
        <w:contextualSpacing/>
      </w:pPr>
      <w:bookmarkStart w:id="16" w:name="_Hlk113197924"/>
      <w:r w:rsidRPr="0021079E">
        <w:t xml:space="preserve">The addition of </w:t>
      </w:r>
      <w:r w:rsidR="00633281">
        <w:t>Dry Sorbent Injection (</w:t>
      </w:r>
      <w:r w:rsidRPr="0021079E">
        <w:t>DSI</w:t>
      </w:r>
      <w:r w:rsidR="00633281">
        <w:t>)</w:t>
      </w:r>
      <w:r w:rsidRPr="0021079E">
        <w:t xml:space="preserve"> </w:t>
      </w:r>
      <w:r w:rsidR="00666847">
        <w:t xml:space="preserve">with milled trona and replacement of the existing Electrostatic Precipitators (ESPs) with fabric filtration </w:t>
      </w:r>
      <w:r w:rsidRPr="0021079E">
        <w:t xml:space="preserve">on all three boilers could reduce </w:t>
      </w:r>
      <w:r w:rsidRPr="00A9462F">
        <w:t>SO</w:t>
      </w:r>
      <w:r w:rsidRPr="00A9462F">
        <w:rPr>
          <w:vertAlign w:val="subscript"/>
        </w:rPr>
        <w:t>2</w:t>
      </w:r>
      <w:r w:rsidRPr="0021079E">
        <w:t xml:space="preserve"> emissions from this facility by </w:t>
      </w:r>
      <w:r>
        <w:t>about</w:t>
      </w:r>
      <w:r w:rsidRPr="0021079E">
        <w:t xml:space="preserve"> 600 tons/year for less than $5,000/ton</w:t>
      </w:r>
      <w:r w:rsidR="00666847">
        <w:t>. If the ESPs are retained</w:t>
      </w:r>
      <w:r w:rsidR="00C429FE">
        <w:t xml:space="preserve"> (which MPCA did not evaluate)</w:t>
      </w:r>
      <w:r w:rsidR="00666847">
        <w:t xml:space="preserve">, </w:t>
      </w:r>
      <w:r w:rsidR="00C429FE">
        <w:t xml:space="preserve">about 300 tons of </w:t>
      </w:r>
      <w:r w:rsidR="00C429FE" w:rsidRPr="008E2822">
        <w:rPr>
          <w:rFonts w:cs="Times New Roman"/>
          <w:szCs w:val="24"/>
        </w:rPr>
        <w:t>SO</w:t>
      </w:r>
      <w:r w:rsidR="00C429FE" w:rsidRPr="008E2822">
        <w:rPr>
          <w:rFonts w:cs="Times New Roman"/>
          <w:szCs w:val="24"/>
          <w:vertAlign w:val="subscript"/>
        </w:rPr>
        <w:t>2</w:t>
      </w:r>
      <w:r w:rsidR="00C429FE">
        <w:t xml:space="preserve"> could be removed annually </w:t>
      </w:r>
      <w:r w:rsidR="003B5841">
        <w:t>at</w:t>
      </w:r>
      <w:r w:rsidR="00C429FE">
        <w:t xml:space="preserve"> $6,000/ton. The cost-effectiveness of both of these DSI options is less than half the MPCA estimates and well below the MPCA </w:t>
      </w:r>
      <w:r w:rsidR="00633281">
        <w:t xml:space="preserve">$7,600/ton </w:t>
      </w:r>
      <w:r w:rsidR="00C429FE">
        <w:t>cost-effectiveness threshold.</w:t>
      </w:r>
    </w:p>
    <w:p w14:paraId="2F4D9B24" w14:textId="77777777" w:rsidR="00A771AC" w:rsidRDefault="00A771AC" w:rsidP="00B1738B">
      <w:pPr>
        <w:spacing w:line="240" w:lineRule="auto"/>
        <w:contextualSpacing/>
      </w:pPr>
    </w:p>
    <w:p w14:paraId="53342943" w14:textId="5C1C5E53" w:rsidR="00867FDB" w:rsidRDefault="7A78A550" w:rsidP="00B1738B">
      <w:pPr>
        <w:spacing w:line="240" w:lineRule="auto"/>
        <w:contextualSpacing/>
      </w:pPr>
      <w:r>
        <w:t xml:space="preserve">Although MPCA did not discuss Selective Catalytic Reduction </w:t>
      </w:r>
      <w:r w:rsidR="5C70EAE8">
        <w:t xml:space="preserve">(SCR) </w:t>
      </w:r>
      <w:r>
        <w:t>in its final draft,</w:t>
      </w:r>
      <w:r w:rsidR="647749C5">
        <w:t xml:space="preserve"> </w:t>
      </w:r>
      <w:r w:rsidR="248C449F">
        <w:t xml:space="preserve">in its Appendix E </w:t>
      </w:r>
      <w:r>
        <w:t xml:space="preserve">it included evaluations of SCR </w:t>
      </w:r>
      <w:r w:rsidR="647749C5">
        <w:t>on all three boilers</w:t>
      </w:r>
      <w:r>
        <w:t>. However, MPCA applied a 1.5 retrofit factor with none of the required documentation. MPCA also assumed</w:t>
      </w:r>
      <w:r w:rsidR="02DD3DCD">
        <w:t xml:space="preserve"> a minimal 20-year SCR life and underestimated SCR control efficiency at 79%</w:t>
      </w:r>
      <w:r w:rsidR="1010EA40">
        <w:t>–</w:t>
      </w:r>
      <w:r w:rsidR="7E47402D">
        <w:t>81%</w:t>
      </w:r>
      <w:r w:rsidR="02DD3DCD">
        <w:t xml:space="preserve">. As a result, MPCA estimated SCR’s cost-effectiveness </w:t>
      </w:r>
      <w:r w:rsidR="223945C6">
        <w:t>at</w:t>
      </w:r>
      <w:r w:rsidR="02DD3DCD">
        <w:t xml:space="preserve"> over $12,000/ton for all three boilers. Instead, </w:t>
      </w:r>
      <w:r w:rsidR="1D6FFECB">
        <w:t>NPS</w:t>
      </w:r>
      <w:r w:rsidR="02DD3DCD">
        <w:t xml:space="preserve"> estimate</w:t>
      </w:r>
      <w:r w:rsidR="1D6FFECB">
        <w:t>s</w:t>
      </w:r>
      <w:r w:rsidR="02DD3DCD">
        <w:t xml:space="preserve"> that, based upon CCM guidance, SCR </w:t>
      </w:r>
      <w:r w:rsidR="647749C5">
        <w:t>could reduce NO</w:t>
      </w:r>
      <w:r w:rsidR="647749C5" w:rsidRPr="3328C818">
        <w:rPr>
          <w:vertAlign w:val="subscript"/>
        </w:rPr>
        <w:t>x</w:t>
      </w:r>
      <w:r w:rsidR="647749C5">
        <w:t xml:space="preserve"> emissions from this facility by </w:t>
      </w:r>
      <w:r>
        <w:t>over</w:t>
      </w:r>
      <w:r w:rsidR="647749C5">
        <w:t xml:space="preserve"> 3</w:t>
      </w:r>
      <w:r>
        <w:t>0</w:t>
      </w:r>
      <w:r w:rsidR="647749C5">
        <w:t xml:space="preserve">0 tons/year for </w:t>
      </w:r>
      <w:r w:rsidR="5F0A1CF0">
        <w:t>$7.400</w:t>
      </w:r>
      <w:r w:rsidR="799BC4CF">
        <w:t>–</w:t>
      </w:r>
      <w:r w:rsidR="5F0A1CF0">
        <w:t>$7,600</w:t>
      </w:r>
      <w:r w:rsidR="647749C5">
        <w:t>/ton</w:t>
      </w:r>
      <w:r w:rsidR="248C449F">
        <w:t>, which is at or below MPCA’s acceptance threshold and well below the $10,000/ton threshold set by CO, NV, and OR.</w:t>
      </w:r>
    </w:p>
    <w:bookmarkEnd w:id="16"/>
    <w:p w14:paraId="3873D84A" w14:textId="77777777" w:rsidR="00A771AC" w:rsidRPr="0021079E" w:rsidRDefault="00A771AC" w:rsidP="00B1738B">
      <w:pPr>
        <w:spacing w:line="240" w:lineRule="auto"/>
        <w:contextualSpacing/>
      </w:pPr>
    </w:p>
    <w:p w14:paraId="4945FCFB" w14:textId="4430023E" w:rsidR="00867FDB" w:rsidRDefault="00867FDB" w:rsidP="00B1738B">
      <w:pPr>
        <w:spacing w:line="240" w:lineRule="auto"/>
        <w:contextualSpacing/>
      </w:pPr>
      <w:r w:rsidRPr="0021079E">
        <w:t xml:space="preserve">The NPS recommends that MPCA require the addition of DSI </w:t>
      </w:r>
      <w:r>
        <w:t xml:space="preserve">with milled trona </w:t>
      </w:r>
      <w:r w:rsidRPr="0021079E">
        <w:t>and a new baghouse as well as SCR on Boilers 1, 2, and 3 at American Crystal Sugar – Crookston. By requiring implementation of identified controls</w:t>
      </w:r>
      <w:r w:rsidR="00633281">
        <w:t>,</w:t>
      </w:r>
      <w:r w:rsidRPr="0021079E">
        <w:t xml:space="preserve"> MPCA will be reducing haze</w:t>
      </w:r>
      <w:r w:rsidR="00633281">
        <w:t>-</w:t>
      </w:r>
      <w:r w:rsidRPr="0021079E">
        <w:t>causing emissions and advancing incremental improvement of visibility at Voyageurs and Isle Royale National Parks as well as other Class I areas in the region.</w:t>
      </w:r>
    </w:p>
    <w:p w14:paraId="71254EFF" w14:textId="77777777" w:rsidR="00867FDB" w:rsidRDefault="00867FDB" w:rsidP="00B1738B">
      <w:pPr>
        <w:pStyle w:val="Heading3"/>
        <w:spacing w:line="240" w:lineRule="auto"/>
        <w:contextualSpacing/>
      </w:pPr>
      <w:r>
        <w:t xml:space="preserve">Facility Characteristics </w:t>
      </w:r>
    </w:p>
    <w:p w14:paraId="5622B346" w14:textId="2F3AB53C" w:rsidR="00867FDB" w:rsidRPr="00733EF0" w:rsidRDefault="00867FDB" w:rsidP="00B1738B">
      <w:pPr>
        <w:spacing w:line="240" w:lineRule="auto"/>
        <w:contextualSpacing/>
      </w:pPr>
      <w:r>
        <w:t>ACSC</w:t>
      </w:r>
      <w:r w:rsidR="00BE4601">
        <w:t>--CRK</w:t>
      </w:r>
      <w:r w:rsidRPr="004D7B68">
        <w:t xml:space="preserve"> operates three Babcock and Wilcox coal-fired stoker boilers equipped with modern over-fire air (OFA) control systems. The boilers are also equipped with high-efficiency </w:t>
      </w:r>
      <w:r w:rsidR="00FB3384">
        <w:t>ESPs</w:t>
      </w:r>
      <w:r w:rsidRPr="004D7B68">
        <w:t xml:space="preserve"> to control particulate matter emissions. The maximum rated heat input of two identical boilers is 137 million British thermal units per hour (MMBtu/</w:t>
      </w:r>
      <w:proofErr w:type="spellStart"/>
      <w:r w:rsidRPr="004D7B68">
        <w:t>hr</w:t>
      </w:r>
      <w:proofErr w:type="spellEnd"/>
      <w:r w:rsidRPr="004D7B68">
        <w:t>) each. The maximum rated heat input of the third boiler is 165 MMBtu/hr. All three boilers combust low sulfur subbituminous coal from the Powder River Basin.</w:t>
      </w:r>
      <w:r>
        <w:t xml:space="preserve"> ACSC</w:t>
      </w:r>
      <w:r w:rsidR="00FB3384">
        <w:t>--CRK</w:t>
      </w:r>
      <w:r w:rsidRPr="004D7B68">
        <w:t xml:space="preserve"> is located about 270 km southwest of Voyageurs National Park, a Class I area administered by the NPS.</w:t>
      </w:r>
      <w:r w:rsidR="00FB3384">
        <w:t xml:space="preserve"> </w:t>
      </w:r>
      <w:r w:rsidRPr="00733EF0">
        <w:t xml:space="preserve">The 2017 National Emissions Inventory (NEI) shows plantwide emissions of 740 tons of </w:t>
      </w:r>
      <w:r w:rsidRPr="00A9462F">
        <w:t>NO</w:t>
      </w:r>
      <w:r>
        <w:rPr>
          <w:vertAlign w:val="subscript"/>
        </w:rPr>
        <w:t>x</w:t>
      </w:r>
      <w:r w:rsidRPr="00733EF0">
        <w:t xml:space="preserve"> and 775 tons of </w:t>
      </w:r>
      <w:r w:rsidRPr="00A9462F">
        <w:t>SO</w:t>
      </w:r>
      <w:r w:rsidRPr="00A9462F">
        <w:rPr>
          <w:vertAlign w:val="subscript"/>
        </w:rPr>
        <w:t>2</w:t>
      </w:r>
      <w:r w:rsidRPr="00733EF0">
        <w:t>.</w:t>
      </w:r>
    </w:p>
    <w:p w14:paraId="05E96069" w14:textId="0D55B04D" w:rsidR="00867FDB" w:rsidRDefault="00867FDB" w:rsidP="00B1738B">
      <w:pPr>
        <w:pStyle w:val="Heading3"/>
        <w:spacing w:line="240" w:lineRule="auto"/>
        <w:contextualSpacing/>
      </w:pPr>
      <w:r w:rsidRPr="00A9462F">
        <w:t>SO</w:t>
      </w:r>
      <w:r w:rsidRPr="00A9462F">
        <w:rPr>
          <w:vertAlign w:val="subscript"/>
        </w:rPr>
        <w:t>2</w:t>
      </w:r>
      <w:r>
        <w:t xml:space="preserve"> Four-factor Analysis</w:t>
      </w:r>
    </w:p>
    <w:p w14:paraId="2150605E" w14:textId="156BC207" w:rsidR="00867FDB" w:rsidRDefault="00867FDB" w:rsidP="00B1738B">
      <w:pPr>
        <w:pStyle w:val="Heading4"/>
        <w:spacing w:line="240" w:lineRule="auto"/>
        <w:contextualSpacing/>
      </w:pPr>
      <w:r>
        <w:t>Control Selection &amp; Efficiency</w:t>
      </w:r>
    </w:p>
    <w:p w14:paraId="4A70188F" w14:textId="1BFB478E" w:rsidR="00867FDB" w:rsidRDefault="00867FDB" w:rsidP="00B1738B">
      <w:pPr>
        <w:spacing w:line="240" w:lineRule="auto"/>
        <w:contextualSpacing/>
      </w:pPr>
      <w:bookmarkStart w:id="17" w:name="_Hlk108021050"/>
      <w:r>
        <w:t>The NPS supports</w:t>
      </w:r>
      <w:r w:rsidRPr="002372D8">
        <w:t xml:space="preserve"> ACSC’s selection of Dry Sorbent Injection (DSI), Spray Dry Absorption (SDA) or </w:t>
      </w:r>
      <w:r w:rsidR="00FB3384">
        <w:t xml:space="preserve">a </w:t>
      </w:r>
      <w:r w:rsidRPr="002372D8">
        <w:t>Circulating Dry Scrubber (CDS) in the category Dry FGD, and Wet Flue Gas Desulfurization (Wet FGD) for evaluation.</w:t>
      </w:r>
      <w:r w:rsidR="0000591A">
        <w:t xml:space="preserve"> (MPCA did not include Wet FGD.)</w:t>
      </w:r>
    </w:p>
    <w:p w14:paraId="29635423" w14:textId="77777777" w:rsidR="008979CA" w:rsidRDefault="008979CA" w:rsidP="0083226F">
      <w:pPr>
        <w:pStyle w:val="Heading4"/>
        <w:numPr>
          <w:ilvl w:val="0"/>
          <w:numId w:val="0"/>
        </w:numPr>
        <w:spacing w:line="240" w:lineRule="auto"/>
        <w:contextualSpacing/>
      </w:pPr>
      <w:bookmarkStart w:id="18" w:name="_Hlk108021471"/>
      <w:bookmarkEnd w:id="17"/>
      <w:r>
        <w:t>Control Selection &amp; Efficiency</w:t>
      </w:r>
    </w:p>
    <w:p w14:paraId="0BCF1B14" w14:textId="4ECED96E" w:rsidR="00867FDB" w:rsidRPr="00341B01" w:rsidRDefault="647749C5" w:rsidP="00B1738B">
      <w:pPr>
        <w:spacing w:line="240" w:lineRule="auto"/>
        <w:contextualSpacing/>
      </w:pPr>
      <w:r>
        <w:t>In the initial (2021) four</w:t>
      </w:r>
      <w:r w:rsidR="7E47402D">
        <w:t>-</w:t>
      </w:r>
      <w:r>
        <w:t>factor analysis submittal for ACSC</w:t>
      </w:r>
      <w:r w:rsidR="610A6150">
        <w:t>—</w:t>
      </w:r>
      <w:r w:rsidR="222B56AB">
        <w:t>CRK</w:t>
      </w:r>
      <w:r w:rsidR="610A6150">
        <w:t>,</w:t>
      </w:r>
      <w:r>
        <w:t xml:space="preserve"> the consulting firm HDR showed that the cost-effectiveness of DSI to reduce SO</w:t>
      </w:r>
      <w:r w:rsidRPr="3328C818">
        <w:rPr>
          <w:vertAlign w:val="subscript"/>
        </w:rPr>
        <w:t>2</w:t>
      </w:r>
      <w:r>
        <w:t xml:space="preserve"> emissions was below $5,000/ton. This is quite cost-effective in spite of several factors that lead to overestimation of costs in the initial analysis. However, on February 1, 2022, HDR submitted an “Updated Dry Sorbent Injection Costs for American Crystal Sugar Company Four Factor Analysis” to MPCA revising those findings. HDR expressed concern that the ESPs at ACSC</w:t>
      </w:r>
      <w:r w:rsidR="222B56AB">
        <w:t>--CRK</w:t>
      </w:r>
      <w:r>
        <w:t>, which have historically provided around 99.1% control of PM, might not be able to handle the additional loading presented by DSI and still maintain compliance with mercury and PM limits. According to HDR:</w:t>
      </w:r>
    </w:p>
    <w:p w14:paraId="15AEC961" w14:textId="5BDBBF60" w:rsidR="00867FDB" w:rsidRPr="00341B01" w:rsidRDefault="00867FDB" w:rsidP="00B1738B">
      <w:pPr>
        <w:pStyle w:val="Quote"/>
        <w:spacing w:line="240" w:lineRule="auto"/>
        <w:contextualSpacing/>
      </w:pPr>
      <w:r w:rsidRPr="00341B01">
        <w:t xml:space="preserve">Therefore, the FFA was updated to enhance the PM control by adding a fabric filter baghouse. The addition of a baghouse will allow higher sorbent injection rates while maintaining compliance with the applicable PM emission limits. Further, the additional system residence time, higher sorbent injection rates, and associated sorbent filter cake in the baghouse, will allow an increased control efficiency of 70% for </w:t>
      </w:r>
      <w:r w:rsidRPr="00A9462F">
        <w:t>SO</w:t>
      </w:r>
      <w:r w:rsidRPr="00A9462F">
        <w:rPr>
          <w:vertAlign w:val="subscript"/>
        </w:rPr>
        <w:t>2</w:t>
      </w:r>
      <w:r w:rsidRPr="00341B01">
        <w:t>.</w:t>
      </w:r>
    </w:p>
    <w:p w14:paraId="08CC21AE" w14:textId="4A31C3A6" w:rsidR="00867FDB" w:rsidRPr="00341B01" w:rsidRDefault="003F31CF" w:rsidP="00B1738B">
      <w:pPr>
        <w:spacing w:line="240" w:lineRule="auto"/>
        <w:contextualSpacing/>
      </w:pPr>
      <w:r>
        <w:rPr>
          <w:bCs/>
        </w:rPr>
        <w:t>HDR</w:t>
      </w:r>
      <w:r w:rsidR="00FB3384">
        <w:rPr>
          <w:bCs/>
        </w:rPr>
        <w:t xml:space="preserve"> provided </w:t>
      </w:r>
      <w:r>
        <w:rPr>
          <w:bCs/>
        </w:rPr>
        <w:t>little</w:t>
      </w:r>
      <w:r w:rsidR="00FB3384">
        <w:rPr>
          <w:bCs/>
        </w:rPr>
        <w:t xml:space="preserve"> evidence to support its speculation that addition of DSI followed by the existing ESPs would result in non-compliance with particulate </w:t>
      </w:r>
      <w:r>
        <w:rPr>
          <w:bCs/>
        </w:rPr>
        <w:t xml:space="preserve">or mercury </w:t>
      </w:r>
      <w:r w:rsidR="00FB3384">
        <w:rPr>
          <w:bCs/>
        </w:rPr>
        <w:t>emission limits</w:t>
      </w:r>
      <w:r>
        <w:rPr>
          <w:bCs/>
        </w:rPr>
        <w:t>.</w:t>
      </w:r>
      <w:r w:rsidR="00FB3384">
        <w:rPr>
          <w:bCs/>
        </w:rPr>
        <w:t xml:space="preserve"> On the contrary, </w:t>
      </w:r>
      <w:r w:rsidR="00867FDB" w:rsidRPr="007B78CB">
        <w:rPr>
          <w:bCs/>
        </w:rPr>
        <w:t>NPS</w:t>
      </w:r>
      <w:r w:rsidR="00867FDB" w:rsidRPr="00341B01">
        <w:rPr>
          <w:bCs/>
        </w:rPr>
        <w:t xml:space="preserve"> </w:t>
      </w:r>
      <w:r w:rsidR="00867FDB">
        <w:rPr>
          <w:bCs/>
        </w:rPr>
        <w:t xml:space="preserve">review finds substantial evidence to refute the HDR finding </w:t>
      </w:r>
      <w:r w:rsidR="00867FDB" w:rsidRPr="00341B01">
        <w:rPr>
          <w:bCs/>
        </w:rPr>
        <w:t xml:space="preserve">that DSI cannot be added without replacing the ESPs with baghouses. The S&amp;L DSI documentation states, </w:t>
      </w:r>
      <w:r w:rsidR="00867FDB" w:rsidRPr="00341B01">
        <w:rPr>
          <w:rStyle w:val="QuoteChar"/>
        </w:rPr>
        <w:t xml:space="preserve">“Trona, when captured in an ESP, typically removes 40 to 50% of </w:t>
      </w:r>
      <w:r w:rsidR="00867FDB" w:rsidRPr="00A9462F">
        <w:t>SO</w:t>
      </w:r>
      <w:r w:rsidR="00867FDB" w:rsidRPr="00A9462F">
        <w:rPr>
          <w:vertAlign w:val="subscript"/>
        </w:rPr>
        <w:t>2</w:t>
      </w:r>
      <w:r w:rsidR="00867FDB" w:rsidRPr="00341B01">
        <w:rPr>
          <w:rStyle w:val="QuoteChar"/>
        </w:rPr>
        <w:t xml:space="preserve"> without an increase in particulate emissions…”</w:t>
      </w:r>
      <w:r w:rsidR="00867FDB" w:rsidRPr="00341B01">
        <w:rPr>
          <w:vertAlign w:val="superscript"/>
        </w:rPr>
        <w:footnoteReference w:id="4"/>
      </w:r>
      <w:r w:rsidR="00867FDB" w:rsidRPr="00341B01">
        <w:t xml:space="preserve"> The IPM DSI models include both ESPs and baghouses. The S&amp;L DSI IPM model assumes that DSI with milled trona, for example, can achieve 70% removal when followed by an electrostatic precipitator (ESP) and 90% when followed by a baghouse (BGH). </w:t>
      </w:r>
      <w:r w:rsidR="00867FDB">
        <w:t>Also, NPS</w:t>
      </w:r>
      <w:r w:rsidR="00867FDB" w:rsidRPr="00341B01">
        <w:t xml:space="preserve"> review of EPA’s Clean Air Markets Data (CAMD) indicate that DSI can achieve 0.10 </w:t>
      </w:r>
      <w:proofErr w:type="spellStart"/>
      <w:r w:rsidR="00867FDB" w:rsidRPr="00341B01">
        <w:t>lb</w:t>
      </w:r>
      <w:proofErr w:type="spellEnd"/>
      <w:r w:rsidR="00867FDB" w:rsidRPr="00341B01">
        <w:t>/</w:t>
      </w:r>
      <w:proofErr w:type="spellStart"/>
      <w:r w:rsidR="00867FDB" w:rsidRPr="00341B01">
        <w:t>mmbtu</w:t>
      </w:r>
      <w:proofErr w:type="spellEnd"/>
      <w:r w:rsidR="00867FDB" w:rsidRPr="00341B01">
        <w:t xml:space="preserve"> when followed by an ESP</w:t>
      </w:r>
      <w:r w:rsidR="00FB3384">
        <w:rPr>
          <w:rStyle w:val="FootnoteReference"/>
        </w:rPr>
        <w:footnoteReference w:id="5"/>
      </w:r>
      <w:r w:rsidR="00867FDB" w:rsidRPr="00341B01">
        <w:t xml:space="preserve"> and 0.08 </w:t>
      </w:r>
      <w:proofErr w:type="spellStart"/>
      <w:r w:rsidR="00867FDB" w:rsidRPr="00341B01">
        <w:t>lb</w:t>
      </w:r>
      <w:proofErr w:type="spellEnd"/>
      <w:r w:rsidR="00867FDB" w:rsidRPr="00341B01">
        <w:t>/</w:t>
      </w:r>
      <w:proofErr w:type="spellStart"/>
      <w:r w:rsidR="00867FDB" w:rsidRPr="00341B01">
        <w:t>mmBtu</w:t>
      </w:r>
      <w:proofErr w:type="spellEnd"/>
      <w:r w:rsidR="00867FDB" w:rsidRPr="00341B01">
        <w:t xml:space="preserve"> when followed by a baghouse</w:t>
      </w:r>
      <w:r w:rsidR="00FB3384">
        <w:rPr>
          <w:rStyle w:val="FootnoteReference"/>
        </w:rPr>
        <w:footnoteReference w:id="6"/>
      </w:r>
      <w:r w:rsidR="00867FDB" w:rsidRPr="00341B01">
        <w:t xml:space="preserve">. Furthermore, </w:t>
      </w:r>
      <w:r w:rsidR="009A2CCA">
        <w:t>CAMD</w:t>
      </w:r>
      <w:r w:rsidR="00867FDB" w:rsidRPr="00341B01">
        <w:t xml:space="preserve"> data for 2021 includes several coal-fired Electric Generating Units (EGUs) with DSI and ESPs.</w:t>
      </w:r>
    </w:p>
    <w:bookmarkEnd w:id="18"/>
    <w:p w14:paraId="1A34BD18" w14:textId="3A99CC9D" w:rsidR="00867FDB" w:rsidRPr="00341B01" w:rsidRDefault="00A402DD" w:rsidP="00A402DD">
      <w:pPr>
        <w:pStyle w:val="Caption"/>
      </w:pPr>
      <w:r>
        <w:t xml:space="preserve">Table </w:t>
      </w:r>
      <w:r>
        <w:fldChar w:fldCharType="begin"/>
      </w:r>
      <w:r>
        <w:instrText>SEQ Table \* ARABIC</w:instrText>
      </w:r>
      <w:r>
        <w:fldChar w:fldCharType="separate"/>
      </w:r>
      <w:r>
        <w:rPr>
          <w:noProof/>
        </w:rPr>
        <w:t>2</w:t>
      </w:r>
      <w:r>
        <w:fldChar w:fldCharType="end"/>
      </w:r>
      <w:r>
        <w:t xml:space="preserve">. </w:t>
      </w:r>
      <w:r w:rsidR="00867FDB">
        <w:t xml:space="preserve">Examples of </w:t>
      </w:r>
      <w:r w:rsidR="00867FDB" w:rsidRPr="00311D48">
        <w:t>coal-fired Electric Generating Units (EGUs) with DSI</w:t>
      </w:r>
      <w:r w:rsidR="00867FDB">
        <w:t>, CAMD 2021</w:t>
      </w:r>
    </w:p>
    <w:tbl>
      <w:tblPr>
        <w:tblW w:w="5000" w:type="pct"/>
        <w:tblLook w:val="04A0" w:firstRow="1" w:lastRow="0" w:firstColumn="1" w:lastColumn="0" w:noHBand="0" w:noVBand="1"/>
      </w:tblPr>
      <w:tblGrid>
        <w:gridCol w:w="606"/>
        <w:gridCol w:w="1219"/>
        <w:gridCol w:w="581"/>
        <w:gridCol w:w="656"/>
        <w:gridCol w:w="1121"/>
        <w:gridCol w:w="1049"/>
        <w:gridCol w:w="1916"/>
        <w:gridCol w:w="2192"/>
      </w:tblGrid>
      <w:tr w:rsidR="00867FDB" w:rsidRPr="00341B01" w14:paraId="5228D7EE" w14:textId="77777777" w:rsidTr="3328C818">
        <w:trPr>
          <w:trHeight w:val="889"/>
        </w:trPr>
        <w:tc>
          <w:tcPr>
            <w:tcW w:w="31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44713FD" w14:textId="77777777" w:rsidR="00867FDB" w:rsidRPr="00B50154" w:rsidRDefault="00867FDB" w:rsidP="00B1738B">
            <w:pPr>
              <w:pStyle w:val="Table-Text"/>
              <w:spacing w:line="240" w:lineRule="auto"/>
              <w:contextualSpacing/>
              <w:rPr>
                <w:b/>
                <w:bCs/>
              </w:rPr>
            </w:pPr>
            <w:r w:rsidRPr="00B50154">
              <w:rPr>
                <w:b/>
                <w:bCs/>
              </w:rPr>
              <w:t>State</w:t>
            </w:r>
          </w:p>
        </w:tc>
        <w:tc>
          <w:tcPr>
            <w:tcW w:w="658" w:type="pct"/>
            <w:tcBorders>
              <w:top w:val="single" w:sz="8" w:space="0" w:color="auto"/>
              <w:left w:val="nil"/>
              <w:bottom w:val="single" w:sz="8" w:space="0" w:color="auto"/>
              <w:right w:val="single" w:sz="4" w:space="0" w:color="auto"/>
            </w:tcBorders>
            <w:shd w:val="clear" w:color="auto" w:fill="auto"/>
            <w:vAlign w:val="center"/>
            <w:hideMark/>
          </w:tcPr>
          <w:p w14:paraId="65D6BBAE" w14:textId="77777777" w:rsidR="00867FDB" w:rsidRPr="00B50154" w:rsidRDefault="00867FDB" w:rsidP="00B1738B">
            <w:pPr>
              <w:pStyle w:val="Table-Text"/>
              <w:spacing w:line="240" w:lineRule="auto"/>
              <w:contextualSpacing/>
              <w:rPr>
                <w:b/>
                <w:bCs/>
              </w:rPr>
            </w:pPr>
            <w:r w:rsidRPr="00B50154">
              <w:rPr>
                <w:b/>
                <w:bCs/>
              </w:rPr>
              <w:t>Facility Name</w:t>
            </w:r>
          </w:p>
        </w:tc>
        <w:tc>
          <w:tcPr>
            <w:tcW w:w="308" w:type="pct"/>
            <w:tcBorders>
              <w:top w:val="single" w:sz="8" w:space="0" w:color="auto"/>
              <w:left w:val="nil"/>
              <w:bottom w:val="single" w:sz="8" w:space="0" w:color="auto"/>
              <w:right w:val="single" w:sz="4" w:space="0" w:color="auto"/>
            </w:tcBorders>
            <w:shd w:val="clear" w:color="auto" w:fill="auto"/>
            <w:vAlign w:val="center"/>
            <w:hideMark/>
          </w:tcPr>
          <w:p w14:paraId="79EAFC44" w14:textId="77777777" w:rsidR="00867FDB" w:rsidRPr="00B50154" w:rsidRDefault="00867FDB" w:rsidP="00B1738B">
            <w:pPr>
              <w:pStyle w:val="Table-Text"/>
              <w:spacing w:line="240" w:lineRule="auto"/>
              <w:contextualSpacing/>
              <w:rPr>
                <w:b/>
                <w:bCs/>
              </w:rPr>
            </w:pPr>
            <w:r w:rsidRPr="00B50154">
              <w:rPr>
                <w:b/>
                <w:bCs/>
              </w:rPr>
              <w:t>Unit ID</w:t>
            </w:r>
          </w:p>
        </w:tc>
        <w:tc>
          <w:tcPr>
            <w:tcW w:w="344" w:type="pct"/>
            <w:tcBorders>
              <w:top w:val="single" w:sz="8" w:space="0" w:color="auto"/>
              <w:left w:val="nil"/>
              <w:bottom w:val="single" w:sz="8" w:space="0" w:color="auto"/>
              <w:right w:val="single" w:sz="4" w:space="0" w:color="auto"/>
            </w:tcBorders>
            <w:shd w:val="clear" w:color="auto" w:fill="auto"/>
            <w:vAlign w:val="center"/>
            <w:hideMark/>
          </w:tcPr>
          <w:p w14:paraId="46DCB8C9" w14:textId="17BA4F4B" w:rsidR="00867FDB" w:rsidRPr="00B50154" w:rsidRDefault="00867FDB" w:rsidP="00B1738B">
            <w:pPr>
              <w:pStyle w:val="Table-Text"/>
              <w:spacing w:line="240" w:lineRule="auto"/>
              <w:contextualSpacing/>
              <w:rPr>
                <w:b/>
                <w:bCs/>
              </w:rPr>
            </w:pPr>
            <w:r w:rsidRPr="00B50154">
              <w:rPr>
                <w:b/>
                <w:bCs/>
              </w:rPr>
              <w:t>SO</w:t>
            </w:r>
            <w:r w:rsidRPr="00B50154">
              <w:rPr>
                <w:b/>
                <w:bCs/>
                <w:vertAlign w:val="subscript"/>
              </w:rPr>
              <w:t>2</w:t>
            </w:r>
            <w:r w:rsidRPr="00B50154">
              <w:rPr>
                <w:b/>
                <w:bCs/>
              </w:rPr>
              <w:t xml:space="preserve"> (tons)</w:t>
            </w:r>
          </w:p>
        </w:tc>
        <w:tc>
          <w:tcPr>
            <w:tcW w:w="597" w:type="pct"/>
            <w:tcBorders>
              <w:top w:val="single" w:sz="8" w:space="0" w:color="auto"/>
              <w:left w:val="nil"/>
              <w:bottom w:val="single" w:sz="8" w:space="0" w:color="auto"/>
              <w:right w:val="single" w:sz="4" w:space="0" w:color="auto"/>
            </w:tcBorders>
            <w:shd w:val="clear" w:color="auto" w:fill="auto"/>
            <w:vAlign w:val="center"/>
            <w:hideMark/>
          </w:tcPr>
          <w:p w14:paraId="1CA9C912" w14:textId="1F0D2245" w:rsidR="00867FDB" w:rsidRPr="00B50154" w:rsidRDefault="00867FDB" w:rsidP="00B1738B">
            <w:pPr>
              <w:pStyle w:val="Table-Text"/>
              <w:spacing w:line="240" w:lineRule="auto"/>
              <w:contextualSpacing/>
              <w:rPr>
                <w:b/>
                <w:bCs/>
              </w:rPr>
            </w:pPr>
            <w:r w:rsidRPr="00B50154">
              <w:rPr>
                <w:b/>
                <w:bCs/>
              </w:rPr>
              <w:t>Calculated  Avg. SO</w:t>
            </w:r>
            <w:r w:rsidRPr="00B50154">
              <w:rPr>
                <w:b/>
                <w:bCs/>
                <w:vertAlign w:val="subscript"/>
              </w:rPr>
              <w:t>2</w:t>
            </w:r>
            <w:r w:rsidRPr="00B50154">
              <w:rPr>
                <w:b/>
                <w:bCs/>
              </w:rPr>
              <w:t xml:space="preserve"> Rate (</w:t>
            </w:r>
            <w:proofErr w:type="spellStart"/>
            <w:r w:rsidRPr="00B50154">
              <w:rPr>
                <w:b/>
                <w:bCs/>
              </w:rPr>
              <w:t>lb</w:t>
            </w:r>
            <w:proofErr w:type="spellEnd"/>
            <w:r w:rsidRPr="00B50154">
              <w:rPr>
                <w:b/>
                <w:bCs/>
              </w:rPr>
              <w:t>/MMBtu)</w:t>
            </w:r>
          </w:p>
        </w:tc>
        <w:tc>
          <w:tcPr>
            <w:tcW w:w="567" w:type="pct"/>
            <w:tcBorders>
              <w:top w:val="single" w:sz="8" w:space="0" w:color="auto"/>
              <w:left w:val="nil"/>
              <w:bottom w:val="single" w:sz="8" w:space="0" w:color="auto"/>
              <w:right w:val="single" w:sz="4" w:space="0" w:color="auto"/>
            </w:tcBorders>
            <w:shd w:val="clear" w:color="auto" w:fill="auto"/>
            <w:vAlign w:val="center"/>
            <w:hideMark/>
          </w:tcPr>
          <w:p w14:paraId="3893670B" w14:textId="77777777" w:rsidR="00867FDB" w:rsidRPr="00B50154" w:rsidRDefault="00867FDB" w:rsidP="00B1738B">
            <w:pPr>
              <w:pStyle w:val="Table-Text"/>
              <w:spacing w:line="240" w:lineRule="auto"/>
              <w:contextualSpacing/>
              <w:rPr>
                <w:b/>
                <w:bCs/>
              </w:rPr>
            </w:pPr>
            <w:r w:rsidRPr="00B50154">
              <w:rPr>
                <w:b/>
                <w:bCs/>
              </w:rPr>
              <w:t>Heat Input (MMBtu)</w:t>
            </w:r>
          </w:p>
        </w:tc>
        <w:tc>
          <w:tcPr>
            <w:tcW w:w="1031" w:type="pct"/>
            <w:tcBorders>
              <w:top w:val="single" w:sz="8" w:space="0" w:color="auto"/>
              <w:left w:val="nil"/>
              <w:bottom w:val="single" w:sz="8" w:space="0" w:color="auto"/>
              <w:right w:val="single" w:sz="4" w:space="0" w:color="auto"/>
            </w:tcBorders>
            <w:shd w:val="clear" w:color="auto" w:fill="auto"/>
            <w:vAlign w:val="center"/>
            <w:hideMark/>
          </w:tcPr>
          <w:p w14:paraId="09E4F0FC" w14:textId="77777777" w:rsidR="00867FDB" w:rsidRPr="00B50154" w:rsidRDefault="00867FDB" w:rsidP="00B1738B">
            <w:pPr>
              <w:pStyle w:val="Table-Text"/>
              <w:spacing w:line="240" w:lineRule="auto"/>
              <w:contextualSpacing/>
              <w:rPr>
                <w:b/>
                <w:bCs/>
              </w:rPr>
            </w:pPr>
            <w:r w:rsidRPr="00B50154">
              <w:rPr>
                <w:b/>
                <w:bCs/>
              </w:rPr>
              <w:t>Unit Type</w:t>
            </w:r>
          </w:p>
        </w:tc>
        <w:tc>
          <w:tcPr>
            <w:tcW w:w="1179" w:type="pct"/>
            <w:tcBorders>
              <w:top w:val="single" w:sz="8" w:space="0" w:color="auto"/>
              <w:left w:val="nil"/>
              <w:bottom w:val="single" w:sz="8" w:space="0" w:color="auto"/>
              <w:right w:val="single" w:sz="8" w:space="0" w:color="auto"/>
            </w:tcBorders>
            <w:shd w:val="clear" w:color="auto" w:fill="auto"/>
            <w:vAlign w:val="center"/>
            <w:hideMark/>
          </w:tcPr>
          <w:p w14:paraId="2EFD9AD0" w14:textId="77777777" w:rsidR="00867FDB" w:rsidRPr="00B50154" w:rsidRDefault="00867FDB" w:rsidP="00B1738B">
            <w:pPr>
              <w:pStyle w:val="Table-Text"/>
              <w:spacing w:line="240" w:lineRule="auto"/>
              <w:contextualSpacing/>
              <w:rPr>
                <w:b/>
                <w:bCs/>
              </w:rPr>
            </w:pPr>
            <w:r w:rsidRPr="00B50154">
              <w:rPr>
                <w:b/>
                <w:bCs/>
              </w:rPr>
              <w:t>PM Control(s)</w:t>
            </w:r>
          </w:p>
        </w:tc>
      </w:tr>
      <w:tr w:rsidR="00867FDB" w:rsidRPr="00341B01" w14:paraId="6815D24B"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3F0B269" w14:textId="77777777" w:rsidR="00867FDB" w:rsidRPr="00341B01" w:rsidRDefault="647749C5" w:rsidP="3328C818">
            <w:pPr>
              <w:pStyle w:val="Table-Text"/>
              <w:spacing w:line="240" w:lineRule="auto"/>
              <w:contextualSpacing/>
              <w:jc w:val="center"/>
            </w:pPr>
            <w:r>
              <w:t>MN</w:t>
            </w:r>
          </w:p>
        </w:tc>
        <w:tc>
          <w:tcPr>
            <w:tcW w:w="658" w:type="pct"/>
            <w:tcBorders>
              <w:top w:val="nil"/>
              <w:left w:val="nil"/>
              <w:bottom w:val="single" w:sz="4" w:space="0" w:color="auto"/>
              <w:right w:val="single" w:sz="4" w:space="0" w:color="auto"/>
            </w:tcBorders>
            <w:shd w:val="clear" w:color="auto" w:fill="auto"/>
            <w:noWrap/>
            <w:vAlign w:val="center"/>
            <w:hideMark/>
          </w:tcPr>
          <w:p w14:paraId="43F91DAB" w14:textId="77777777" w:rsidR="00867FDB" w:rsidRPr="00341B01" w:rsidRDefault="00867FDB" w:rsidP="00B1738B">
            <w:pPr>
              <w:pStyle w:val="Table-Text"/>
              <w:spacing w:line="240" w:lineRule="auto"/>
              <w:contextualSpacing/>
            </w:pPr>
            <w:r w:rsidRPr="00341B01">
              <w:t>Boswell</w:t>
            </w:r>
          </w:p>
        </w:tc>
        <w:tc>
          <w:tcPr>
            <w:tcW w:w="308" w:type="pct"/>
            <w:tcBorders>
              <w:top w:val="nil"/>
              <w:left w:val="nil"/>
              <w:bottom w:val="single" w:sz="4" w:space="0" w:color="auto"/>
              <w:right w:val="single" w:sz="4" w:space="0" w:color="auto"/>
            </w:tcBorders>
            <w:shd w:val="clear" w:color="auto" w:fill="auto"/>
            <w:noWrap/>
            <w:vAlign w:val="center"/>
            <w:hideMark/>
          </w:tcPr>
          <w:p w14:paraId="46F3F373" w14:textId="77777777" w:rsidR="00867FDB" w:rsidRPr="00341B01" w:rsidRDefault="647749C5" w:rsidP="3328C818">
            <w:pPr>
              <w:pStyle w:val="Table-Text"/>
              <w:spacing w:line="240" w:lineRule="auto"/>
              <w:contextualSpacing/>
              <w:jc w:val="center"/>
            </w:pPr>
            <w:r>
              <w:t>4</w:t>
            </w:r>
          </w:p>
        </w:tc>
        <w:tc>
          <w:tcPr>
            <w:tcW w:w="344" w:type="pct"/>
            <w:tcBorders>
              <w:top w:val="nil"/>
              <w:left w:val="nil"/>
              <w:bottom w:val="single" w:sz="4" w:space="0" w:color="auto"/>
              <w:right w:val="single" w:sz="4" w:space="0" w:color="auto"/>
            </w:tcBorders>
            <w:shd w:val="clear" w:color="auto" w:fill="auto"/>
            <w:noWrap/>
            <w:vAlign w:val="center"/>
            <w:hideMark/>
          </w:tcPr>
          <w:p w14:paraId="17CF63D0" w14:textId="77777777" w:rsidR="00867FDB" w:rsidRPr="00341B01" w:rsidRDefault="647749C5" w:rsidP="3328C818">
            <w:pPr>
              <w:pStyle w:val="Table-Text"/>
              <w:spacing w:line="240" w:lineRule="auto"/>
              <w:contextualSpacing/>
              <w:jc w:val="center"/>
            </w:pPr>
            <w:r>
              <w:t>391</w:t>
            </w:r>
          </w:p>
        </w:tc>
        <w:tc>
          <w:tcPr>
            <w:tcW w:w="597" w:type="pct"/>
            <w:tcBorders>
              <w:top w:val="nil"/>
              <w:left w:val="nil"/>
              <w:bottom w:val="single" w:sz="4" w:space="0" w:color="auto"/>
              <w:right w:val="single" w:sz="4" w:space="0" w:color="auto"/>
            </w:tcBorders>
            <w:shd w:val="clear" w:color="auto" w:fill="auto"/>
            <w:noWrap/>
            <w:vAlign w:val="center"/>
            <w:hideMark/>
          </w:tcPr>
          <w:p w14:paraId="0A34DEA9" w14:textId="77777777" w:rsidR="00867FDB" w:rsidRPr="00341B01" w:rsidRDefault="647749C5" w:rsidP="3328C818">
            <w:pPr>
              <w:pStyle w:val="Table-Text"/>
              <w:spacing w:line="240" w:lineRule="auto"/>
              <w:contextualSpacing/>
              <w:jc w:val="center"/>
            </w:pPr>
            <w:r>
              <w:t>0.025</w:t>
            </w:r>
          </w:p>
        </w:tc>
        <w:tc>
          <w:tcPr>
            <w:tcW w:w="567" w:type="pct"/>
            <w:tcBorders>
              <w:top w:val="nil"/>
              <w:left w:val="nil"/>
              <w:bottom w:val="single" w:sz="4" w:space="0" w:color="auto"/>
              <w:right w:val="single" w:sz="4" w:space="0" w:color="auto"/>
            </w:tcBorders>
            <w:shd w:val="clear" w:color="auto" w:fill="auto"/>
            <w:noWrap/>
            <w:vAlign w:val="center"/>
            <w:hideMark/>
          </w:tcPr>
          <w:p w14:paraId="294EA06F" w14:textId="77777777" w:rsidR="00867FDB" w:rsidRPr="00341B01" w:rsidRDefault="647749C5" w:rsidP="3328C818">
            <w:pPr>
              <w:pStyle w:val="Table-Text"/>
              <w:spacing w:line="240" w:lineRule="auto"/>
              <w:contextualSpacing/>
              <w:jc w:val="center"/>
            </w:pPr>
            <w:r>
              <w:t>31,545,340</w:t>
            </w:r>
          </w:p>
        </w:tc>
        <w:tc>
          <w:tcPr>
            <w:tcW w:w="1031" w:type="pct"/>
            <w:tcBorders>
              <w:top w:val="nil"/>
              <w:left w:val="nil"/>
              <w:bottom w:val="single" w:sz="4" w:space="0" w:color="auto"/>
              <w:right w:val="single" w:sz="4" w:space="0" w:color="auto"/>
            </w:tcBorders>
            <w:shd w:val="clear" w:color="auto" w:fill="auto"/>
            <w:noWrap/>
            <w:vAlign w:val="center"/>
            <w:hideMark/>
          </w:tcPr>
          <w:p w14:paraId="486D8E27" w14:textId="77777777" w:rsidR="00867FDB" w:rsidRPr="00341B01" w:rsidRDefault="00867FDB" w:rsidP="00B1738B">
            <w:pPr>
              <w:pStyle w:val="Table-Text"/>
              <w:spacing w:line="240" w:lineRule="auto"/>
              <w:contextualSpacing/>
            </w:pPr>
            <w:r w:rsidRPr="00341B01">
              <w:t>Tangentially-fired</w:t>
            </w:r>
          </w:p>
        </w:tc>
        <w:tc>
          <w:tcPr>
            <w:tcW w:w="1179" w:type="pct"/>
            <w:tcBorders>
              <w:top w:val="nil"/>
              <w:left w:val="nil"/>
              <w:bottom w:val="single" w:sz="4" w:space="0" w:color="auto"/>
              <w:right w:val="single" w:sz="8" w:space="0" w:color="auto"/>
            </w:tcBorders>
            <w:shd w:val="clear" w:color="auto" w:fill="auto"/>
            <w:noWrap/>
            <w:vAlign w:val="center"/>
            <w:hideMark/>
          </w:tcPr>
          <w:p w14:paraId="2DF3411D" w14:textId="77777777" w:rsidR="00867FDB" w:rsidRPr="00341B01" w:rsidRDefault="00867FDB" w:rsidP="00B1738B">
            <w:pPr>
              <w:pStyle w:val="Table-Text"/>
              <w:spacing w:line="240" w:lineRule="auto"/>
              <w:contextualSpacing/>
            </w:pPr>
            <w:r w:rsidRPr="00341B01">
              <w:t>Baghouse</w:t>
            </w:r>
          </w:p>
        </w:tc>
      </w:tr>
      <w:tr w:rsidR="00867FDB" w:rsidRPr="00341B01" w14:paraId="3ECE0D4C"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8318281" w14:textId="77777777" w:rsidR="00867FDB" w:rsidRPr="00341B01" w:rsidRDefault="647749C5" w:rsidP="3328C818">
            <w:pPr>
              <w:pStyle w:val="Table-Text"/>
              <w:spacing w:line="240" w:lineRule="auto"/>
              <w:contextualSpacing/>
              <w:jc w:val="center"/>
            </w:pPr>
            <w:r>
              <w:t>MI</w:t>
            </w:r>
          </w:p>
        </w:tc>
        <w:tc>
          <w:tcPr>
            <w:tcW w:w="658" w:type="pct"/>
            <w:tcBorders>
              <w:top w:val="nil"/>
              <w:left w:val="nil"/>
              <w:bottom w:val="single" w:sz="4" w:space="0" w:color="auto"/>
              <w:right w:val="single" w:sz="4" w:space="0" w:color="auto"/>
            </w:tcBorders>
            <w:shd w:val="clear" w:color="auto" w:fill="auto"/>
            <w:noWrap/>
            <w:vAlign w:val="center"/>
            <w:hideMark/>
          </w:tcPr>
          <w:p w14:paraId="0E6860FD" w14:textId="77777777" w:rsidR="00867FDB" w:rsidRPr="00341B01" w:rsidRDefault="00867FDB" w:rsidP="00B1738B">
            <w:pPr>
              <w:pStyle w:val="Table-Text"/>
              <w:spacing w:line="240" w:lineRule="auto"/>
              <w:contextualSpacing/>
            </w:pPr>
            <w:r w:rsidRPr="00341B01">
              <w:t>J H Campbell</w:t>
            </w:r>
          </w:p>
        </w:tc>
        <w:tc>
          <w:tcPr>
            <w:tcW w:w="308" w:type="pct"/>
            <w:tcBorders>
              <w:top w:val="nil"/>
              <w:left w:val="nil"/>
              <w:bottom w:val="single" w:sz="4" w:space="0" w:color="auto"/>
              <w:right w:val="single" w:sz="4" w:space="0" w:color="auto"/>
            </w:tcBorders>
            <w:shd w:val="clear" w:color="auto" w:fill="auto"/>
            <w:noWrap/>
            <w:vAlign w:val="center"/>
            <w:hideMark/>
          </w:tcPr>
          <w:p w14:paraId="555D8062" w14:textId="77777777" w:rsidR="00867FDB" w:rsidRPr="00341B01" w:rsidRDefault="647749C5" w:rsidP="3328C818">
            <w:pPr>
              <w:pStyle w:val="Table-Text"/>
              <w:spacing w:line="240" w:lineRule="auto"/>
              <w:contextualSpacing/>
              <w:jc w:val="center"/>
            </w:pPr>
            <w:r>
              <w:t>1</w:t>
            </w:r>
          </w:p>
        </w:tc>
        <w:tc>
          <w:tcPr>
            <w:tcW w:w="344" w:type="pct"/>
            <w:tcBorders>
              <w:top w:val="nil"/>
              <w:left w:val="nil"/>
              <w:bottom w:val="single" w:sz="4" w:space="0" w:color="auto"/>
              <w:right w:val="single" w:sz="4" w:space="0" w:color="auto"/>
            </w:tcBorders>
            <w:shd w:val="clear" w:color="auto" w:fill="auto"/>
            <w:noWrap/>
            <w:vAlign w:val="center"/>
            <w:hideMark/>
          </w:tcPr>
          <w:p w14:paraId="7F130B76" w14:textId="77777777" w:rsidR="00867FDB" w:rsidRPr="00341B01" w:rsidRDefault="647749C5" w:rsidP="3328C818">
            <w:pPr>
              <w:pStyle w:val="Table-Text"/>
              <w:spacing w:line="240" w:lineRule="auto"/>
              <w:contextualSpacing/>
              <w:jc w:val="center"/>
            </w:pPr>
            <w:r>
              <w:t>2,758</w:t>
            </w:r>
          </w:p>
        </w:tc>
        <w:tc>
          <w:tcPr>
            <w:tcW w:w="597" w:type="pct"/>
            <w:tcBorders>
              <w:top w:val="nil"/>
              <w:left w:val="nil"/>
              <w:bottom w:val="single" w:sz="4" w:space="0" w:color="auto"/>
              <w:right w:val="single" w:sz="4" w:space="0" w:color="auto"/>
            </w:tcBorders>
            <w:shd w:val="clear" w:color="auto" w:fill="auto"/>
            <w:noWrap/>
            <w:vAlign w:val="center"/>
            <w:hideMark/>
          </w:tcPr>
          <w:p w14:paraId="18ABA23C" w14:textId="77777777" w:rsidR="00867FDB" w:rsidRPr="00341B01" w:rsidRDefault="647749C5" w:rsidP="3328C818">
            <w:pPr>
              <w:pStyle w:val="Table-Text"/>
              <w:spacing w:line="240" w:lineRule="auto"/>
              <w:contextualSpacing/>
              <w:jc w:val="center"/>
            </w:pPr>
            <w:r>
              <w:t>0.275</w:t>
            </w:r>
          </w:p>
        </w:tc>
        <w:tc>
          <w:tcPr>
            <w:tcW w:w="567" w:type="pct"/>
            <w:tcBorders>
              <w:top w:val="nil"/>
              <w:left w:val="nil"/>
              <w:bottom w:val="single" w:sz="4" w:space="0" w:color="auto"/>
              <w:right w:val="single" w:sz="4" w:space="0" w:color="auto"/>
            </w:tcBorders>
            <w:shd w:val="clear" w:color="auto" w:fill="auto"/>
            <w:noWrap/>
            <w:vAlign w:val="center"/>
            <w:hideMark/>
          </w:tcPr>
          <w:p w14:paraId="0B7B8EB9" w14:textId="77777777" w:rsidR="00867FDB" w:rsidRPr="00341B01" w:rsidRDefault="647749C5" w:rsidP="3328C818">
            <w:pPr>
              <w:pStyle w:val="Table-Text"/>
              <w:spacing w:line="240" w:lineRule="auto"/>
              <w:contextualSpacing/>
              <w:jc w:val="center"/>
            </w:pPr>
            <w:r>
              <w:t>20,090,010</w:t>
            </w:r>
          </w:p>
        </w:tc>
        <w:tc>
          <w:tcPr>
            <w:tcW w:w="1031" w:type="pct"/>
            <w:tcBorders>
              <w:top w:val="nil"/>
              <w:left w:val="nil"/>
              <w:bottom w:val="single" w:sz="4" w:space="0" w:color="auto"/>
              <w:right w:val="single" w:sz="4" w:space="0" w:color="auto"/>
            </w:tcBorders>
            <w:shd w:val="clear" w:color="auto" w:fill="auto"/>
            <w:noWrap/>
            <w:vAlign w:val="center"/>
            <w:hideMark/>
          </w:tcPr>
          <w:p w14:paraId="1E1F0828" w14:textId="77777777" w:rsidR="00867FDB" w:rsidRPr="00341B01" w:rsidRDefault="00867FDB" w:rsidP="00B1738B">
            <w:pPr>
              <w:pStyle w:val="Table-Text"/>
              <w:spacing w:line="240" w:lineRule="auto"/>
              <w:contextualSpacing/>
            </w:pPr>
            <w:r w:rsidRPr="00341B01">
              <w:t>Tangentially-fired</w:t>
            </w:r>
          </w:p>
        </w:tc>
        <w:tc>
          <w:tcPr>
            <w:tcW w:w="1179" w:type="pct"/>
            <w:tcBorders>
              <w:top w:val="nil"/>
              <w:left w:val="nil"/>
              <w:bottom w:val="single" w:sz="4" w:space="0" w:color="auto"/>
              <w:right w:val="single" w:sz="8" w:space="0" w:color="auto"/>
            </w:tcBorders>
            <w:shd w:val="clear" w:color="auto" w:fill="auto"/>
            <w:noWrap/>
            <w:vAlign w:val="center"/>
            <w:hideMark/>
          </w:tcPr>
          <w:p w14:paraId="27889BCF" w14:textId="77777777" w:rsidR="00867FDB" w:rsidRPr="00341B01" w:rsidRDefault="00867FDB" w:rsidP="00B1738B">
            <w:pPr>
              <w:pStyle w:val="Table-Text"/>
              <w:spacing w:line="240" w:lineRule="auto"/>
              <w:contextualSpacing/>
            </w:pPr>
            <w:r w:rsidRPr="00341B01">
              <w:t>Baghouse</w:t>
            </w:r>
          </w:p>
        </w:tc>
      </w:tr>
      <w:tr w:rsidR="00867FDB" w:rsidRPr="00341B01" w14:paraId="231DC774"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1E0DFD3" w14:textId="77777777" w:rsidR="00867FDB" w:rsidRPr="00341B01" w:rsidRDefault="647749C5" w:rsidP="3328C818">
            <w:pPr>
              <w:pStyle w:val="Table-Text"/>
              <w:spacing w:line="240" w:lineRule="auto"/>
              <w:contextualSpacing/>
              <w:jc w:val="center"/>
            </w:pPr>
            <w:r>
              <w:t>MI</w:t>
            </w:r>
          </w:p>
        </w:tc>
        <w:tc>
          <w:tcPr>
            <w:tcW w:w="658" w:type="pct"/>
            <w:tcBorders>
              <w:top w:val="nil"/>
              <w:left w:val="nil"/>
              <w:bottom w:val="single" w:sz="4" w:space="0" w:color="auto"/>
              <w:right w:val="single" w:sz="4" w:space="0" w:color="auto"/>
            </w:tcBorders>
            <w:shd w:val="clear" w:color="auto" w:fill="auto"/>
            <w:noWrap/>
            <w:vAlign w:val="center"/>
            <w:hideMark/>
          </w:tcPr>
          <w:p w14:paraId="2AF75282" w14:textId="77777777" w:rsidR="00867FDB" w:rsidRPr="00341B01" w:rsidRDefault="00867FDB" w:rsidP="00B1738B">
            <w:pPr>
              <w:pStyle w:val="Table-Text"/>
              <w:spacing w:line="240" w:lineRule="auto"/>
              <w:contextualSpacing/>
            </w:pPr>
            <w:r w:rsidRPr="00341B01">
              <w:t>J H Campbell</w:t>
            </w:r>
          </w:p>
        </w:tc>
        <w:tc>
          <w:tcPr>
            <w:tcW w:w="308" w:type="pct"/>
            <w:tcBorders>
              <w:top w:val="nil"/>
              <w:left w:val="nil"/>
              <w:bottom w:val="single" w:sz="4" w:space="0" w:color="auto"/>
              <w:right w:val="single" w:sz="4" w:space="0" w:color="auto"/>
            </w:tcBorders>
            <w:shd w:val="clear" w:color="auto" w:fill="auto"/>
            <w:noWrap/>
            <w:vAlign w:val="center"/>
            <w:hideMark/>
          </w:tcPr>
          <w:p w14:paraId="6D250930" w14:textId="77777777" w:rsidR="00867FDB" w:rsidRPr="00341B01" w:rsidRDefault="647749C5" w:rsidP="3328C818">
            <w:pPr>
              <w:pStyle w:val="Table-Text"/>
              <w:spacing w:line="240" w:lineRule="auto"/>
              <w:contextualSpacing/>
              <w:jc w:val="center"/>
            </w:pPr>
            <w:r>
              <w:t>2</w:t>
            </w:r>
          </w:p>
        </w:tc>
        <w:tc>
          <w:tcPr>
            <w:tcW w:w="344" w:type="pct"/>
            <w:tcBorders>
              <w:top w:val="nil"/>
              <w:left w:val="nil"/>
              <w:bottom w:val="single" w:sz="4" w:space="0" w:color="auto"/>
              <w:right w:val="single" w:sz="4" w:space="0" w:color="auto"/>
            </w:tcBorders>
            <w:shd w:val="clear" w:color="auto" w:fill="auto"/>
            <w:noWrap/>
            <w:vAlign w:val="center"/>
            <w:hideMark/>
          </w:tcPr>
          <w:p w14:paraId="40DE5D9D" w14:textId="77777777" w:rsidR="00867FDB" w:rsidRPr="00341B01" w:rsidRDefault="647749C5" w:rsidP="3328C818">
            <w:pPr>
              <w:pStyle w:val="Table-Text"/>
              <w:spacing w:line="240" w:lineRule="auto"/>
              <w:contextualSpacing/>
              <w:jc w:val="center"/>
            </w:pPr>
            <w:r>
              <w:t>2,094</w:t>
            </w:r>
          </w:p>
        </w:tc>
        <w:tc>
          <w:tcPr>
            <w:tcW w:w="597" w:type="pct"/>
            <w:tcBorders>
              <w:top w:val="nil"/>
              <w:left w:val="nil"/>
              <w:bottom w:val="single" w:sz="4" w:space="0" w:color="auto"/>
              <w:right w:val="single" w:sz="4" w:space="0" w:color="auto"/>
            </w:tcBorders>
            <w:shd w:val="clear" w:color="auto" w:fill="auto"/>
            <w:noWrap/>
            <w:vAlign w:val="center"/>
            <w:hideMark/>
          </w:tcPr>
          <w:p w14:paraId="2DBA2E85" w14:textId="77777777" w:rsidR="00867FDB" w:rsidRPr="00341B01" w:rsidRDefault="647749C5" w:rsidP="3328C818">
            <w:pPr>
              <w:pStyle w:val="Table-Text"/>
              <w:spacing w:line="240" w:lineRule="auto"/>
              <w:contextualSpacing/>
              <w:jc w:val="center"/>
            </w:pPr>
            <w:r>
              <w:t>0.300</w:t>
            </w:r>
          </w:p>
        </w:tc>
        <w:tc>
          <w:tcPr>
            <w:tcW w:w="567" w:type="pct"/>
            <w:tcBorders>
              <w:top w:val="nil"/>
              <w:left w:val="nil"/>
              <w:bottom w:val="single" w:sz="4" w:space="0" w:color="auto"/>
              <w:right w:val="single" w:sz="4" w:space="0" w:color="auto"/>
            </w:tcBorders>
            <w:shd w:val="clear" w:color="auto" w:fill="auto"/>
            <w:noWrap/>
            <w:vAlign w:val="center"/>
            <w:hideMark/>
          </w:tcPr>
          <w:p w14:paraId="5A978007" w14:textId="77777777" w:rsidR="00867FDB" w:rsidRPr="00341B01" w:rsidRDefault="647749C5" w:rsidP="3328C818">
            <w:pPr>
              <w:pStyle w:val="Table-Text"/>
              <w:spacing w:line="240" w:lineRule="auto"/>
              <w:contextualSpacing/>
              <w:jc w:val="center"/>
            </w:pPr>
            <w:r>
              <w:t>13,961,840</w:t>
            </w:r>
          </w:p>
        </w:tc>
        <w:tc>
          <w:tcPr>
            <w:tcW w:w="1031" w:type="pct"/>
            <w:tcBorders>
              <w:top w:val="nil"/>
              <w:left w:val="nil"/>
              <w:bottom w:val="single" w:sz="4" w:space="0" w:color="auto"/>
              <w:right w:val="single" w:sz="4" w:space="0" w:color="auto"/>
            </w:tcBorders>
            <w:shd w:val="clear" w:color="auto" w:fill="auto"/>
            <w:noWrap/>
            <w:vAlign w:val="center"/>
            <w:hideMark/>
          </w:tcPr>
          <w:p w14:paraId="011772F9" w14:textId="77777777" w:rsidR="00867FDB" w:rsidRPr="00341B01" w:rsidRDefault="00867FDB" w:rsidP="00B1738B">
            <w:pPr>
              <w:pStyle w:val="Table-Text"/>
              <w:spacing w:line="240" w:lineRule="auto"/>
              <w:contextualSpacing/>
            </w:pPr>
            <w:r w:rsidRPr="00341B01">
              <w:t>Cell burner boiler</w:t>
            </w:r>
          </w:p>
        </w:tc>
        <w:tc>
          <w:tcPr>
            <w:tcW w:w="1179" w:type="pct"/>
            <w:tcBorders>
              <w:top w:val="nil"/>
              <w:left w:val="nil"/>
              <w:bottom w:val="single" w:sz="4" w:space="0" w:color="auto"/>
              <w:right w:val="single" w:sz="8" w:space="0" w:color="auto"/>
            </w:tcBorders>
            <w:shd w:val="clear" w:color="auto" w:fill="auto"/>
            <w:noWrap/>
            <w:vAlign w:val="center"/>
            <w:hideMark/>
          </w:tcPr>
          <w:p w14:paraId="7BA2798B" w14:textId="77777777" w:rsidR="00867FDB" w:rsidRPr="00341B01" w:rsidRDefault="00867FDB" w:rsidP="00B1738B">
            <w:pPr>
              <w:pStyle w:val="Table-Text"/>
              <w:spacing w:line="240" w:lineRule="auto"/>
              <w:contextualSpacing/>
            </w:pPr>
            <w:r w:rsidRPr="00341B01">
              <w:t>Baghouse</w:t>
            </w:r>
          </w:p>
        </w:tc>
      </w:tr>
      <w:tr w:rsidR="00867FDB" w:rsidRPr="00341B01" w14:paraId="24408863"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8797931" w14:textId="77777777" w:rsidR="00867FDB" w:rsidRPr="00341B01" w:rsidRDefault="647749C5" w:rsidP="3328C818">
            <w:pPr>
              <w:pStyle w:val="Table-Text"/>
              <w:spacing w:line="240" w:lineRule="auto"/>
              <w:contextualSpacing/>
              <w:jc w:val="center"/>
            </w:pPr>
            <w:r>
              <w:t>IN</w:t>
            </w:r>
          </w:p>
        </w:tc>
        <w:tc>
          <w:tcPr>
            <w:tcW w:w="658" w:type="pct"/>
            <w:tcBorders>
              <w:top w:val="nil"/>
              <w:left w:val="nil"/>
              <w:bottom w:val="single" w:sz="4" w:space="0" w:color="auto"/>
              <w:right w:val="single" w:sz="4" w:space="0" w:color="auto"/>
            </w:tcBorders>
            <w:shd w:val="clear" w:color="auto" w:fill="auto"/>
            <w:noWrap/>
            <w:vAlign w:val="center"/>
            <w:hideMark/>
          </w:tcPr>
          <w:p w14:paraId="772B34A6" w14:textId="77777777" w:rsidR="00867FDB" w:rsidRPr="00341B01" w:rsidRDefault="00867FDB" w:rsidP="00B1738B">
            <w:pPr>
              <w:pStyle w:val="Table-Text"/>
              <w:spacing w:line="240" w:lineRule="auto"/>
              <w:contextualSpacing/>
            </w:pPr>
            <w:r w:rsidRPr="00341B01">
              <w:t>R Gallagher</w:t>
            </w:r>
          </w:p>
        </w:tc>
        <w:tc>
          <w:tcPr>
            <w:tcW w:w="308" w:type="pct"/>
            <w:tcBorders>
              <w:top w:val="nil"/>
              <w:left w:val="nil"/>
              <w:bottom w:val="single" w:sz="4" w:space="0" w:color="auto"/>
              <w:right w:val="single" w:sz="4" w:space="0" w:color="auto"/>
            </w:tcBorders>
            <w:shd w:val="clear" w:color="auto" w:fill="auto"/>
            <w:noWrap/>
            <w:vAlign w:val="center"/>
            <w:hideMark/>
          </w:tcPr>
          <w:p w14:paraId="4F8FBB11" w14:textId="77777777" w:rsidR="00867FDB" w:rsidRPr="00341B01" w:rsidRDefault="647749C5" w:rsidP="3328C818">
            <w:pPr>
              <w:pStyle w:val="Table-Text"/>
              <w:spacing w:line="240" w:lineRule="auto"/>
              <w:contextualSpacing/>
              <w:jc w:val="center"/>
            </w:pPr>
            <w:r>
              <w:t>2</w:t>
            </w:r>
          </w:p>
        </w:tc>
        <w:tc>
          <w:tcPr>
            <w:tcW w:w="344" w:type="pct"/>
            <w:tcBorders>
              <w:top w:val="nil"/>
              <w:left w:val="nil"/>
              <w:bottom w:val="single" w:sz="4" w:space="0" w:color="auto"/>
              <w:right w:val="single" w:sz="4" w:space="0" w:color="auto"/>
            </w:tcBorders>
            <w:shd w:val="clear" w:color="auto" w:fill="auto"/>
            <w:noWrap/>
            <w:vAlign w:val="center"/>
            <w:hideMark/>
          </w:tcPr>
          <w:p w14:paraId="58085144" w14:textId="77777777" w:rsidR="00867FDB" w:rsidRPr="00341B01" w:rsidRDefault="647749C5" w:rsidP="3328C818">
            <w:pPr>
              <w:pStyle w:val="Table-Text"/>
              <w:spacing w:line="240" w:lineRule="auto"/>
              <w:contextualSpacing/>
              <w:jc w:val="center"/>
            </w:pPr>
            <w:r>
              <w:t>49</w:t>
            </w:r>
          </w:p>
        </w:tc>
        <w:tc>
          <w:tcPr>
            <w:tcW w:w="597" w:type="pct"/>
            <w:tcBorders>
              <w:top w:val="nil"/>
              <w:left w:val="nil"/>
              <w:bottom w:val="single" w:sz="4" w:space="0" w:color="auto"/>
              <w:right w:val="single" w:sz="4" w:space="0" w:color="auto"/>
            </w:tcBorders>
            <w:shd w:val="clear" w:color="auto" w:fill="auto"/>
            <w:noWrap/>
            <w:vAlign w:val="center"/>
            <w:hideMark/>
          </w:tcPr>
          <w:p w14:paraId="52229297" w14:textId="77777777" w:rsidR="00867FDB" w:rsidRPr="00341B01" w:rsidRDefault="647749C5" w:rsidP="3328C818">
            <w:pPr>
              <w:pStyle w:val="Table-Text"/>
              <w:spacing w:line="240" w:lineRule="auto"/>
              <w:contextualSpacing/>
              <w:jc w:val="center"/>
            </w:pPr>
            <w:r>
              <w:t>0.631</w:t>
            </w:r>
          </w:p>
        </w:tc>
        <w:tc>
          <w:tcPr>
            <w:tcW w:w="567" w:type="pct"/>
            <w:tcBorders>
              <w:top w:val="nil"/>
              <w:left w:val="nil"/>
              <w:bottom w:val="single" w:sz="4" w:space="0" w:color="auto"/>
              <w:right w:val="single" w:sz="4" w:space="0" w:color="auto"/>
            </w:tcBorders>
            <w:shd w:val="clear" w:color="auto" w:fill="auto"/>
            <w:noWrap/>
            <w:vAlign w:val="center"/>
            <w:hideMark/>
          </w:tcPr>
          <w:p w14:paraId="135E927C" w14:textId="77777777" w:rsidR="00867FDB" w:rsidRPr="00341B01" w:rsidRDefault="647749C5" w:rsidP="3328C818">
            <w:pPr>
              <w:pStyle w:val="Table-Text"/>
              <w:spacing w:line="240" w:lineRule="auto"/>
              <w:contextualSpacing/>
              <w:jc w:val="center"/>
            </w:pPr>
            <w:r>
              <w:t>154,982</w:t>
            </w:r>
          </w:p>
        </w:tc>
        <w:tc>
          <w:tcPr>
            <w:tcW w:w="1031" w:type="pct"/>
            <w:tcBorders>
              <w:top w:val="nil"/>
              <w:left w:val="nil"/>
              <w:bottom w:val="single" w:sz="4" w:space="0" w:color="auto"/>
              <w:right w:val="single" w:sz="4" w:space="0" w:color="auto"/>
            </w:tcBorders>
            <w:shd w:val="clear" w:color="auto" w:fill="auto"/>
            <w:noWrap/>
            <w:vAlign w:val="center"/>
            <w:hideMark/>
          </w:tcPr>
          <w:p w14:paraId="2E265A8B" w14:textId="77777777" w:rsidR="00867FDB" w:rsidRPr="00341B01" w:rsidRDefault="00867FDB" w:rsidP="00B1738B">
            <w:pPr>
              <w:pStyle w:val="Table-Text"/>
              <w:spacing w:line="240" w:lineRule="auto"/>
              <w:contextualSpacing/>
            </w:pPr>
            <w:r w:rsidRPr="00341B01">
              <w:t>Dry bottom wall-fired</w:t>
            </w:r>
          </w:p>
        </w:tc>
        <w:tc>
          <w:tcPr>
            <w:tcW w:w="1179" w:type="pct"/>
            <w:tcBorders>
              <w:top w:val="nil"/>
              <w:left w:val="nil"/>
              <w:bottom w:val="single" w:sz="4" w:space="0" w:color="auto"/>
              <w:right w:val="single" w:sz="8" w:space="0" w:color="auto"/>
            </w:tcBorders>
            <w:shd w:val="clear" w:color="auto" w:fill="auto"/>
            <w:noWrap/>
            <w:vAlign w:val="center"/>
            <w:hideMark/>
          </w:tcPr>
          <w:p w14:paraId="106C4284" w14:textId="77777777" w:rsidR="00867FDB" w:rsidRPr="00341B01" w:rsidRDefault="00867FDB" w:rsidP="00B1738B">
            <w:pPr>
              <w:pStyle w:val="Table-Text"/>
              <w:spacing w:line="240" w:lineRule="auto"/>
              <w:contextualSpacing/>
            </w:pPr>
            <w:r w:rsidRPr="00341B01">
              <w:t>Baghouse (Retired 6/1/21)</w:t>
            </w:r>
          </w:p>
        </w:tc>
      </w:tr>
      <w:tr w:rsidR="00867FDB" w:rsidRPr="00341B01" w14:paraId="33C40FAB"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ABD0DE9" w14:textId="77777777" w:rsidR="00867FDB" w:rsidRPr="00341B01" w:rsidRDefault="647749C5" w:rsidP="3328C818">
            <w:pPr>
              <w:pStyle w:val="Table-Text"/>
              <w:spacing w:line="240" w:lineRule="auto"/>
              <w:contextualSpacing/>
              <w:jc w:val="center"/>
            </w:pPr>
            <w:r>
              <w:t>IN</w:t>
            </w:r>
          </w:p>
        </w:tc>
        <w:tc>
          <w:tcPr>
            <w:tcW w:w="658" w:type="pct"/>
            <w:tcBorders>
              <w:top w:val="nil"/>
              <w:left w:val="nil"/>
              <w:bottom w:val="single" w:sz="4" w:space="0" w:color="auto"/>
              <w:right w:val="single" w:sz="4" w:space="0" w:color="auto"/>
            </w:tcBorders>
            <w:shd w:val="clear" w:color="auto" w:fill="auto"/>
            <w:noWrap/>
            <w:vAlign w:val="center"/>
            <w:hideMark/>
          </w:tcPr>
          <w:p w14:paraId="21CB9C95" w14:textId="77777777" w:rsidR="00867FDB" w:rsidRPr="00341B01" w:rsidRDefault="00867FDB" w:rsidP="00B1738B">
            <w:pPr>
              <w:pStyle w:val="Table-Text"/>
              <w:spacing w:line="240" w:lineRule="auto"/>
              <w:contextualSpacing/>
            </w:pPr>
            <w:r w:rsidRPr="00341B01">
              <w:t>R Gallagher</w:t>
            </w:r>
          </w:p>
        </w:tc>
        <w:tc>
          <w:tcPr>
            <w:tcW w:w="308" w:type="pct"/>
            <w:tcBorders>
              <w:top w:val="nil"/>
              <w:left w:val="nil"/>
              <w:bottom w:val="single" w:sz="4" w:space="0" w:color="auto"/>
              <w:right w:val="single" w:sz="4" w:space="0" w:color="auto"/>
            </w:tcBorders>
            <w:shd w:val="clear" w:color="auto" w:fill="auto"/>
            <w:noWrap/>
            <w:vAlign w:val="center"/>
            <w:hideMark/>
          </w:tcPr>
          <w:p w14:paraId="1B42BA0D" w14:textId="77777777" w:rsidR="00867FDB" w:rsidRPr="00341B01" w:rsidRDefault="647749C5" w:rsidP="3328C818">
            <w:pPr>
              <w:pStyle w:val="Table-Text"/>
              <w:spacing w:line="240" w:lineRule="auto"/>
              <w:contextualSpacing/>
              <w:jc w:val="center"/>
            </w:pPr>
            <w:r>
              <w:t>4</w:t>
            </w:r>
          </w:p>
        </w:tc>
        <w:tc>
          <w:tcPr>
            <w:tcW w:w="344" w:type="pct"/>
            <w:tcBorders>
              <w:top w:val="nil"/>
              <w:left w:val="nil"/>
              <w:bottom w:val="single" w:sz="4" w:space="0" w:color="auto"/>
              <w:right w:val="single" w:sz="4" w:space="0" w:color="auto"/>
            </w:tcBorders>
            <w:shd w:val="clear" w:color="auto" w:fill="auto"/>
            <w:noWrap/>
            <w:vAlign w:val="center"/>
            <w:hideMark/>
          </w:tcPr>
          <w:p w14:paraId="69E847DB" w14:textId="77777777" w:rsidR="00867FDB" w:rsidRPr="00341B01" w:rsidRDefault="647749C5" w:rsidP="3328C818">
            <w:pPr>
              <w:pStyle w:val="Table-Text"/>
              <w:spacing w:line="240" w:lineRule="auto"/>
              <w:contextualSpacing/>
              <w:jc w:val="center"/>
            </w:pPr>
            <w:r>
              <w:t>68</w:t>
            </w:r>
          </w:p>
        </w:tc>
        <w:tc>
          <w:tcPr>
            <w:tcW w:w="597" w:type="pct"/>
            <w:tcBorders>
              <w:top w:val="nil"/>
              <w:left w:val="nil"/>
              <w:bottom w:val="single" w:sz="4" w:space="0" w:color="auto"/>
              <w:right w:val="single" w:sz="4" w:space="0" w:color="auto"/>
            </w:tcBorders>
            <w:shd w:val="clear" w:color="auto" w:fill="auto"/>
            <w:noWrap/>
            <w:vAlign w:val="center"/>
            <w:hideMark/>
          </w:tcPr>
          <w:p w14:paraId="0F19932C" w14:textId="77777777" w:rsidR="00867FDB" w:rsidRPr="00341B01" w:rsidRDefault="647749C5" w:rsidP="3328C818">
            <w:pPr>
              <w:pStyle w:val="Table-Text"/>
              <w:spacing w:line="240" w:lineRule="auto"/>
              <w:contextualSpacing/>
              <w:jc w:val="center"/>
            </w:pPr>
            <w:r>
              <w:t>0.720</w:t>
            </w:r>
          </w:p>
        </w:tc>
        <w:tc>
          <w:tcPr>
            <w:tcW w:w="567" w:type="pct"/>
            <w:tcBorders>
              <w:top w:val="nil"/>
              <w:left w:val="nil"/>
              <w:bottom w:val="single" w:sz="4" w:space="0" w:color="auto"/>
              <w:right w:val="single" w:sz="4" w:space="0" w:color="auto"/>
            </w:tcBorders>
            <w:shd w:val="clear" w:color="auto" w:fill="auto"/>
            <w:noWrap/>
            <w:vAlign w:val="center"/>
            <w:hideMark/>
          </w:tcPr>
          <w:p w14:paraId="632FC710" w14:textId="77777777" w:rsidR="00867FDB" w:rsidRPr="00341B01" w:rsidRDefault="647749C5" w:rsidP="3328C818">
            <w:pPr>
              <w:pStyle w:val="Table-Text"/>
              <w:spacing w:line="240" w:lineRule="auto"/>
              <w:contextualSpacing/>
              <w:jc w:val="center"/>
            </w:pPr>
            <w:r>
              <w:t>189,738</w:t>
            </w:r>
          </w:p>
        </w:tc>
        <w:tc>
          <w:tcPr>
            <w:tcW w:w="1031" w:type="pct"/>
            <w:tcBorders>
              <w:top w:val="nil"/>
              <w:left w:val="nil"/>
              <w:bottom w:val="single" w:sz="4" w:space="0" w:color="auto"/>
              <w:right w:val="single" w:sz="4" w:space="0" w:color="auto"/>
            </w:tcBorders>
            <w:shd w:val="clear" w:color="auto" w:fill="auto"/>
            <w:noWrap/>
            <w:vAlign w:val="center"/>
            <w:hideMark/>
          </w:tcPr>
          <w:p w14:paraId="3AF4A6FA" w14:textId="77777777" w:rsidR="00867FDB" w:rsidRPr="00341B01" w:rsidRDefault="00867FDB" w:rsidP="00B1738B">
            <w:pPr>
              <w:pStyle w:val="Table-Text"/>
              <w:spacing w:line="240" w:lineRule="auto"/>
              <w:contextualSpacing/>
            </w:pPr>
            <w:r w:rsidRPr="00341B01">
              <w:t>Dry bottom wall-fired</w:t>
            </w:r>
          </w:p>
        </w:tc>
        <w:tc>
          <w:tcPr>
            <w:tcW w:w="1179" w:type="pct"/>
            <w:tcBorders>
              <w:top w:val="nil"/>
              <w:left w:val="nil"/>
              <w:bottom w:val="single" w:sz="4" w:space="0" w:color="auto"/>
              <w:right w:val="single" w:sz="8" w:space="0" w:color="auto"/>
            </w:tcBorders>
            <w:shd w:val="clear" w:color="auto" w:fill="auto"/>
            <w:noWrap/>
            <w:vAlign w:val="center"/>
            <w:hideMark/>
          </w:tcPr>
          <w:p w14:paraId="56B68974" w14:textId="77777777" w:rsidR="00867FDB" w:rsidRPr="00341B01" w:rsidRDefault="00867FDB" w:rsidP="00B1738B">
            <w:pPr>
              <w:pStyle w:val="Table-Text"/>
              <w:spacing w:line="240" w:lineRule="auto"/>
              <w:contextualSpacing/>
            </w:pPr>
            <w:r w:rsidRPr="00341B01">
              <w:t>Baghouse (Retired 6/1/21)</w:t>
            </w:r>
          </w:p>
        </w:tc>
      </w:tr>
      <w:tr w:rsidR="00867FDB" w:rsidRPr="00341B01" w14:paraId="7A5204D1"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399D583" w14:textId="77777777" w:rsidR="00867FDB" w:rsidRPr="00341B01" w:rsidRDefault="00867FDB" w:rsidP="3328C818">
            <w:pPr>
              <w:pStyle w:val="Table-Text"/>
              <w:spacing w:line="240" w:lineRule="auto"/>
              <w:contextualSpacing/>
              <w:jc w:val="center"/>
            </w:pPr>
          </w:p>
        </w:tc>
        <w:tc>
          <w:tcPr>
            <w:tcW w:w="658" w:type="pct"/>
            <w:tcBorders>
              <w:top w:val="nil"/>
              <w:left w:val="nil"/>
              <w:bottom w:val="single" w:sz="4" w:space="0" w:color="auto"/>
              <w:right w:val="single" w:sz="4" w:space="0" w:color="auto"/>
            </w:tcBorders>
            <w:shd w:val="clear" w:color="auto" w:fill="auto"/>
            <w:noWrap/>
            <w:vAlign w:val="center"/>
            <w:hideMark/>
          </w:tcPr>
          <w:p w14:paraId="3FA0B385" w14:textId="77777777" w:rsidR="00867FDB" w:rsidRPr="00341B01" w:rsidRDefault="00867FDB" w:rsidP="00B1738B">
            <w:pPr>
              <w:pStyle w:val="Table-Text"/>
              <w:spacing w:line="240" w:lineRule="auto"/>
              <w:contextualSpacing/>
            </w:pPr>
          </w:p>
        </w:tc>
        <w:tc>
          <w:tcPr>
            <w:tcW w:w="308" w:type="pct"/>
            <w:tcBorders>
              <w:top w:val="nil"/>
              <w:left w:val="nil"/>
              <w:bottom w:val="single" w:sz="4" w:space="0" w:color="auto"/>
              <w:right w:val="single" w:sz="4" w:space="0" w:color="auto"/>
            </w:tcBorders>
            <w:shd w:val="clear" w:color="auto" w:fill="auto"/>
            <w:noWrap/>
            <w:vAlign w:val="center"/>
            <w:hideMark/>
          </w:tcPr>
          <w:p w14:paraId="1313C03F" w14:textId="77777777" w:rsidR="00867FDB" w:rsidRPr="00341B01" w:rsidRDefault="00867FDB" w:rsidP="3328C818">
            <w:pPr>
              <w:pStyle w:val="Table-Text"/>
              <w:spacing w:line="240" w:lineRule="auto"/>
              <w:contextualSpacing/>
              <w:jc w:val="center"/>
            </w:pPr>
          </w:p>
        </w:tc>
        <w:tc>
          <w:tcPr>
            <w:tcW w:w="344" w:type="pct"/>
            <w:tcBorders>
              <w:top w:val="nil"/>
              <w:left w:val="nil"/>
              <w:bottom w:val="single" w:sz="4" w:space="0" w:color="auto"/>
              <w:right w:val="single" w:sz="4" w:space="0" w:color="auto"/>
            </w:tcBorders>
            <w:shd w:val="clear" w:color="auto" w:fill="auto"/>
            <w:noWrap/>
            <w:vAlign w:val="center"/>
            <w:hideMark/>
          </w:tcPr>
          <w:p w14:paraId="77C2FCF0" w14:textId="77777777" w:rsidR="00867FDB" w:rsidRPr="00341B01" w:rsidRDefault="00867FDB" w:rsidP="3328C818">
            <w:pPr>
              <w:pStyle w:val="Table-Text"/>
              <w:spacing w:line="240" w:lineRule="auto"/>
              <w:contextualSpacing/>
              <w:jc w:val="center"/>
            </w:pPr>
          </w:p>
        </w:tc>
        <w:tc>
          <w:tcPr>
            <w:tcW w:w="597" w:type="pct"/>
            <w:tcBorders>
              <w:top w:val="nil"/>
              <w:left w:val="nil"/>
              <w:bottom w:val="single" w:sz="4" w:space="0" w:color="auto"/>
              <w:right w:val="single" w:sz="4" w:space="0" w:color="auto"/>
            </w:tcBorders>
            <w:shd w:val="clear" w:color="auto" w:fill="auto"/>
            <w:noWrap/>
            <w:vAlign w:val="center"/>
            <w:hideMark/>
          </w:tcPr>
          <w:p w14:paraId="0E6E6B0B" w14:textId="77777777" w:rsidR="00867FDB" w:rsidRPr="00341B01" w:rsidRDefault="00867FDB" w:rsidP="3328C818">
            <w:pPr>
              <w:pStyle w:val="Table-Text"/>
              <w:spacing w:line="240" w:lineRule="auto"/>
              <w:contextualSpacing/>
              <w:jc w:val="center"/>
            </w:pPr>
          </w:p>
        </w:tc>
        <w:tc>
          <w:tcPr>
            <w:tcW w:w="567" w:type="pct"/>
            <w:tcBorders>
              <w:top w:val="nil"/>
              <w:left w:val="nil"/>
              <w:bottom w:val="single" w:sz="4" w:space="0" w:color="auto"/>
              <w:right w:val="single" w:sz="4" w:space="0" w:color="auto"/>
            </w:tcBorders>
            <w:shd w:val="clear" w:color="auto" w:fill="auto"/>
            <w:noWrap/>
            <w:vAlign w:val="center"/>
            <w:hideMark/>
          </w:tcPr>
          <w:p w14:paraId="3D0D2F2E" w14:textId="77777777" w:rsidR="00867FDB" w:rsidRPr="00341B01" w:rsidRDefault="00867FDB" w:rsidP="3328C818">
            <w:pPr>
              <w:pStyle w:val="Table-Text"/>
              <w:spacing w:line="240" w:lineRule="auto"/>
              <w:contextualSpacing/>
              <w:jc w:val="center"/>
            </w:pPr>
          </w:p>
        </w:tc>
        <w:tc>
          <w:tcPr>
            <w:tcW w:w="1031" w:type="pct"/>
            <w:tcBorders>
              <w:top w:val="nil"/>
              <w:left w:val="nil"/>
              <w:bottom w:val="single" w:sz="4" w:space="0" w:color="auto"/>
              <w:right w:val="single" w:sz="4" w:space="0" w:color="auto"/>
            </w:tcBorders>
            <w:shd w:val="clear" w:color="auto" w:fill="auto"/>
            <w:noWrap/>
            <w:vAlign w:val="center"/>
            <w:hideMark/>
          </w:tcPr>
          <w:p w14:paraId="3DD7DBAA" w14:textId="77777777" w:rsidR="00867FDB" w:rsidRPr="00341B01" w:rsidRDefault="00867FDB" w:rsidP="00B1738B">
            <w:pPr>
              <w:pStyle w:val="Table-Text"/>
              <w:spacing w:line="240" w:lineRule="auto"/>
              <w:contextualSpacing/>
            </w:pPr>
          </w:p>
        </w:tc>
        <w:tc>
          <w:tcPr>
            <w:tcW w:w="1179" w:type="pct"/>
            <w:tcBorders>
              <w:top w:val="nil"/>
              <w:left w:val="nil"/>
              <w:bottom w:val="single" w:sz="4" w:space="0" w:color="auto"/>
              <w:right w:val="single" w:sz="8" w:space="0" w:color="auto"/>
            </w:tcBorders>
            <w:shd w:val="clear" w:color="auto" w:fill="auto"/>
            <w:noWrap/>
            <w:vAlign w:val="center"/>
            <w:hideMark/>
          </w:tcPr>
          <w:p w14:paraId="1D12EE70" w14:textId="77777777" w:rsidR="00867FDB" w:rsidRPr="00341B01" w:rsidRDefault="00867FDB" w:rsidP="00B1738B">
            <w:pPr>
              <w:pStyle w:val="Table-Text"/>
              <w:spacing w:line="240" w:lineRule="auto"/>
              <w:contextualSpacing/>
            </w:pPr>
          </w:p>
        </w:tc>
      </w:tr>
      <w:tr w:rsidR="00867FDB" w:rsidRPr="00341B01" w14:paraId="0B587C61"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78FC6BA" w14:textId="77777777" w:rsidR="00867FDB" w:rsidRPr="00341B01" w:rsidRDefault="647749C5" w:rsidP="3328C818">
            <w:pPr>
              <w:pStyle w:val="Table-Text"/>
              <w:spacing w:line="240" w:lineRule="auto"/>
              <w:contextualSpacing/>
              <w:jc w:val="center"/>
            </w:pPr>
            <w:r>
              <w:t>WI</w:t>
            </w:r>
          </w:p>
        </w:tc>
        <w:tc>
          <w:tcPr>
            <w:tcW w:w="658" w:type="pct"/>
            <w:tcBorders>
              <w:top w:val="nil"/>
              <w:left w:val="nil"/>
              <w:bottom w:val="single" w:sz="4" w:space="0" w:color="auto"/>
              <w:right w:val="single" w:sz="4" w:space="0" w:color="auto"/>
            </w:tcBorders>
            <w:shd w:val="clear" w:color="auto" w:fill="auto"/>
            <w:noWrap/>
            <w:vAlign w:val="center"/>
            <w:hideMark/>
          </w:tcPr>
          <w:p w14:paraId="21C7B0B4" w14:textId="77777777" w:rsidR="00867FDB" w:rsidRPr="00341B01" w:rsidRDefault="00867FDB" w:rsidP="00B1738B">
            <w:pPr>
              <w:pStyle w:val="Table-Text"/>
              <w:spacing w:line="240" w:lineRule="auto"/>
              <w:contextualSpacing/>
            </w:pPr>
            <w:r w:rsidRPr="00341B01">
              <w:t xml:space="preserve">J P </w:t>
            </w:r>
            <w:proofErr w:type="spellStart"/>
            <w:r w:rsidRPr="00341B01">
              <w:t>Madgett</w:t>
            </w:r>
            <w:proofErr w:type="spellEnd"/>
          </w:p>
        </w:tc>
        <w:tc>
          <w:tcPr>
            <w:tcW w:w="308" w:type="pct"/>
            <w:tcBorders>
              <w:top w:val="nil"/>
              <w:left w:val="nil"/>
              <w:bottom w:val="single" w:sz="4" w:space="0" w:color="auto"/>
              <w:right w:val="single" w:sz="4" w:space="0" w:color="auto"/>
            </w:tcBorders>
            <w:shd w:val="clear" w:color="auto" w:fill="auto"/>
            <w:noWrap/>
            <w:vAlign w:val="center"/>
            <w:hideMark/>
          </w:tcPr>
          <w:p w14:paraId="04D2A8C9" w14:textId="77777777" w:rsidR="00867FDB" w:rsidRPr="00341B01" w:rsidRDefault="647749C5" w:rsidP="3328C818">
            <w:pPr>
              <w:pStyle w:val="Table-Text"/>
              <w:spacing w:line="240" w:lineRule="auto"/>
              <w:contextualSpacing/>
              <w:jc w:val="center"/>
            </w:pPr>
            <w:r>
              <w:t>B1</w:t>
            </w:r>
          </w:p>
        </w:tc>
        <w:tc>
          <w:tcPr>
            <w:tcW w:w="344" w:type="pct"/>
            <w:tcBorders>
              <w:top w:val="nil"/>
              <w:left w:val="nil"/>
              <w:bottom w:val="single" w:sz="4" w:space="0" w:color="auto"/>
              <w:right w:val="single" w:sz="4" w:space="0" w:color="auto"/>
            </w:tcBorders>
            <w:shd w:val="clear" w:color="auto" w:fill="auto"/>
            <w:noWrap/>
            <w:vAlign w:val="center"/>
            <w:hideMark/>
          </w:tcPr>
          <w:p w14:paraId="20A1CDC2" w14:textId="77777777" w:rsidR="00867FDB" w:rsidRPr="00341B01" w:rsidRDefault="647749C5" w:rsidP="3328C818">
            <w:pPr>
              <w:pStyle w:val="Table-Text"/>
              <w:spacing w:line="240" w:lineRule="auto"/>
              <w:contextualSpacing/>
              <w:jc w:val="center"/>
            </w:pPr>
            <w:r>
              <w:t>849</w:t>
            </w:r>
          </w:p>
        </w:tc>
        <w:tc>
          <w:tcPr>
            <w:tcW w:w="597" w:type="pct"/>
            <w:tcBorders>
              <w:top w:val="nil"/>
              <w:left w:val="nil"/>
              <w:bottom w:val="single" w:sz="4" w:space="0" w:color="auto"/>
              <w:right w:val="single" w:sz="4" w:space="0" w:color="auto"/>
            </w:tcBorders>
            <w:shd w:val="clear" w:color="auto" w:fill="auto"/>
            <w:noWrap/>
            <w:vAlign w:val="center"/>
            <w:hideMark/>
          </w:tcPr>
          <w:p w14:paraId="7A5F61CA" w14:textId="77777777" w:rsidR="00867FDB" w:rsidRPr="00341B01" w:rsidRDefault="647749C5" w:rsidP="3328C818">
            <w:pPr>
              <w:pStyle w:val="Table-Text"/>
              <w:spacing w:line="240" w:lineRule="auto"/>
              <w:contextualSpacing/>
              <w:jc w:val="center"/>
            </w:pPr>
            <w:r>
              <w:t>0.083</w:t>
            </w:r>
          </w:p>
        </w:tc>
        <w:tc>
          <w:tcPr>
            <w:tcW w:w="567" w:type="pct"/>
            <w:tcBorders>
              <w:top w:val="nil"/>
              <w:left w:val="nil"/>
              <w:bottom w:val="single" w:sz="4" w:space="0" w:color="auto"/>
              <w:right w:val="single" w:sz="4" w:space="0" w:color="auto"/>
            </w:tcBorders>
            <w:shd w:val="clear" w:color="auto" w:fill="auto"/>
            <w:noWrap/>
            <w:vAlign w:val="center"/>
            <w:hideMark/>
          </w:tcPr>
          <w:p w14:paraId="38378C2D" w14:textId="77777777" w:rsidR="00867FDB" w:rsidRPr="00341B01" w:rsidRDefault="647749C5" w:rsidP="3328C818">
            <w:pPr>
              <w:pStyle w:val="Table-Text"/>
              <w:spacing w:line="240" w:lineRule="auto"/>
              <w:contextualSpacing/>
              <w:jc w:val="center"/>
            </w:pPr>
            <w:r>
              <w:t>20,454,088</w:t>
            </w:r>
          </w:p>
        </w:tc>
        <w:tc>
          <w:tcPr>
            <w:tcW w:w="1031" w:type="pct"/>
            <w:tcBorders>
              <w:top w:val="nil"/>
              <w:left w:val="nil"/>
              <w:bottom w:val="single" w:sz="4" w:space="0" w:color="auto"/>
              <w:right w:val="single" w:sz="4" w:space="0" w:color="auto"/>
            </w:tcBorders>
            <w:shd w:val="clear" w:color="auto" w:fill="auto"/>
            <w:noWrap/>
            <w:vAlign w:val="center"/>
            <w:hideMark/>
          </w:tcPr>
          <w:p w14:paraId="460975AF" w14:textId="77777777" w:rsidR="00867FDB" w:rsidRPr="00341B01" w:rsidRDefault="00867FDB" w:rsidP="00B1738B">
            <w:pPr>
              <w:pStyle w:val="Table-Text"/>
              <w:spacing w:line="240" w:lineRule="auto"/>
              <w:contextualSpacing/>
            </w:pPr>
            <w:r w:rsidRPr="00341B01">
              <w:t>Dry bottom turbo-fired</w:t>
            </w:r>
          </w:p>
        </w:tc>
        <w:tc>
          <w:tcPr>
            <w:tcW w:w="1179" w:type="pct"/>
            <w:tcBorders>
              <w:top w:val="nil"/>
              <w:left w:val="nil"/>
              <w:bottom w:val="single" w:sz="4" w:space="0" w:color="auto"/>
              <w:right w:val="single" w:sz="8" w:space="0" w:color="auto"/>
            </w:tcBorders>
            <w:shd w:val="clear" w:color="auto" w:fill="auto"/>
            <w:noWrap/>
            <w:vAlign w:val="center"/>
            <w:hideMark/>
          </w:tcPr>
          <w:p w14:paraId="73F4A485" w14:textId="6A2DD993" w:rsidR="00867FDB" w:rsidRPr="00341B01" w:rsidRDefault="00867FDB" w:rsidP="00B1738B">
            <w:pPr>
              <w:pStyle w:val="Table-Text"/>
              <w:spacing w:line="240" w:lineRule="auto"/>
              <w:contextualSpacing/>
            </w:pPr>
            <w:r w:rsidRPr="00341B01">
              <w:t>Baghouse</w:t>
            </w:r>
            <w:r>
              <w:t xml:space="preserve"> | </w:t>
            </w:r>
            <w:r w:rsidRPr="00341B01">
              <w:t>ESP</w:t>
            </w:r>
          </w:p>
        </w:tc>
      </w:tr>
      <w:tr w:rsidR="00867FDB" w:rsidRPr="00341B01" w14:paraId="018DBEA3"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CA844AB" w14:textId="77777777" w:rsidR="00867FDB" w:rsidRPr="00341B01" w:rsidRDefault="647749C5" w:rsidP="3328C818">
            <w:pPr>
              <w:pStyle w:val="Table-Text"/>
              <w:spacing w:line="240" w:lineRule="auto"/>
              <w:contextualSpacing/>
              <w:jc w:val="center"/>
            </w:pPr>
            <w:r>
              <w:t>OK</w:t>
            </w:r>
          </w:p>
        </w:tc>
        <w:tc>
          <w:tcPr>
            <w:tcW w:w="658" w:type="pct"/>
            <w:tcBorders>
              <w:top w:val="nil"/>
              <w:left w:val="nil"/>
              <w:bottom w:val="single" w:sz="4" w:space="0" w:color="auto"/>
              <w:right w:val="single" w:sz="4" w:space="0" w:color="auto"/>
            </w:tcBorders>
            <w:shd w:val="clear" w:color="auto" w:fill="auto"/>
            <w:noWrap/>
            <w:vAlign w:val="center"/>
            <w:hideMark/>
          </w:tcPr>
          <w:p w14:paraId="3E5F2D23" w14:textId="77777777" w:rsidR="00867FDB" w:rsidRPr="00341B01" w:rsidRDefault="00867FDB" w:rsidP="00B1738B">
            <w:pPr>
              <w:pStyle w:val="Table-Text"/>
              <w:spacing w:line="240" w:lineRule="auto"/>
              <w:contextualSpacing/>
            </w:pPr>
            <w:r w:rsidRPr="00341B01">
              <w:t>Northeastern</w:t>
            </w:r>
          </w:p>
        </w:tc>
        <w:tc>
          <w:tcPr>
            <w:tcW w:w="308" w:type="pct"/>
            <w:tcBorders>
              <w:top w:val="nil"/>
              <w:left w:val="nil"/>
              <w:bottom w:val="single" w:sz="4" w:space="0" w:color="auto"/>
              <w:right w:val="single" w:sz="4" w:space="0" w:color="auto"/>
            </w:tcBorders>
            <w:shd w:val="clear" w:color="auto" w:fill="auto"/>
            <w:noWrap/>
            <w:vAlign w:val="center"/>
            <w:hideMark/>
          </w:tcPr>
          <w:p w14:paraId="64536976" w14:textId="77777777" w:rsidR="00867FDB" w:rsidRPr="00341B01" w:rsidRDefault="647749C5" w:rsidP="3328C818">
            <w:pPr>
              <w:pStyle w:val="Table-Text"/>
              <w:spacing w:line="240" w:lineRule="auto"/>
              <w:contextualSpacing/>
              <w:jc w:val="center"/>
            </w:pPr>
            <w:r>
              <w:t>3313</w:t>
            </w:r>
          </w:p>
        </w:tc>
        <w:tc>
          <w:tcPr>
            <w:tcW w:w="344" w:type="pct"/>
            <w:tcBorders>
              <w:top w:val="nil"/>
              <w:left w:val="nil"/>
              <w:bottom w:val="single" w:sz="4" w:space="0" w:color="auto"/>
              <w:right w:val="single" w:sz="4" w:space="0" w:color="auto"/>
            </w:tcBorders>
            <w:shd w:val="clear" w:color="auto" w:fill="auto"/>
            <w:noWrap/>
            <w:vAlign w:val="center"/>
            <w:hideMark/>
          </w:tcPr>
          <w:p w14:paraId="6F01B439" w14:textId="77777777" w:rsidR="00867FDB" w:rsidRPr="00341B01" w:rsidRDefault="647749C5" w:rsidP="3328C818">
            <w:pPr>
              <w:pStyle w:val="Table-Text"/>
              <w:spacing w:line="240" w:lineRule="auto"/>
              <w:contextualSpacing/>
              <w:jc w:val="center"/>
            </w:pPr>
            <w:r>
              <w:t>4,564</w:t>
            </w:r>
          </w:p>
        </w:tc>
        <w:tc>
          <w:tcPr>
            <w:tcW w:w="597" w:type="pct"/>
            <w:tcBorders>
              <w:top w:val="nil"/>
              <w:left w:val="nil"/>
              <w:bottom w:val="single" w:sz="4" w:space="0" w:color="auto"/>
              <w:right w:val="single" w:sz="4" w:space="0" w:color="auto"/>
            </w:tcBorders>
            <w:shd w:val="clear" w:color="auto" w:fill="auto"/>
            <w:noWrap/>
            <w:vAlign w:val="center"/>
            <w:hideMark/>
          </w:tcPr>
          <w:p w14:paraId="2F6BDF2D" w14:textId="77777777" w:rsidR="00867FDB" w:rsidRPr="00341B01" w:rsidRDefault="647749C5" w:rsidP="3328C818">
            <w:pPr>
              <w:pStyle w:val="Table-Text"/>
              <w:spacing w:line="240" w:lineRule="auto"/>
              <w:contextualSpacing/>
              <w:jc w:val="center"/>
            </w:pPr>
            <w:r>
              <w:t>0.340</w:t>
            </w:r>
          </w:p>
        </w:tc>
        <w:tc>
          <w:tcPr>
            <w:tcW w:w="567" w:type="pct"/>
            <w:tcBorders>
              <w:top w:val="nil"/>
              <w:left w:val="nil"/>
              <w:bottom w:val="single" w:sz="4" w:space="0" w:color="auto"/>
              <w:right w:val="single" w:sz="4" w:space="0" w:color="auto"/>
            </w:tcBorders>
            <w:shd w:val="clear" w:color="auto" w:fill="auto"/>
            <w:noWrap/>
            <w:vAlign w:val="center"/>
            <w:hideMark/>
          </w:tcPr>
          <w:p w14:paraId="585D8D8C" w14:textId="77777777" w:rsidR="00867FDB" w:rsidRPr="00341B01" w:rsidRDefault="647749C5" w:rsidP="3328C818">
            <w:pPr>
              <w:pStyle w:val="Table-Text"/>
              <w:spacing w:line="240" w:lineRule="auto"/>
              <w:contextualSpacing/>
              <w:jc w:val="center"/>
            </w:pPr>
            <w:r>
              <w:t>26,816,608</w:t>
            </w:r>
          </w:p>
        </w:tc>
        <w:tc>
          <w:tcPr>
            <w:tcW w:w="1031" w:type="pct"/>
            <w:tcBorders>
              <w:top w:val="nil"/>
              <w:left w:val="nil"/>
              <w:bottom w:val="single" w:sz="4" w:space="0" w:color="auto"/>
              <w:right w:val="single" w:sz="4" w:space="0" w:color="auto"/>
            </w:tcBorders>
            <w:shd w:val="clear" w:color="auto" w:fill="auto"/>
            <w:noWrap/>
            <w:vAlign w:val="center"/>
            <w:hideMark/>
          </w:tcPr>
          <w:p w14:paraId="180C29A6" w14:textId="77777777" w:rsidR="00867FDB" w:rsidRPr="00341B01" w:rsidRDefault="00867FDB" w:rsidP="00B1738B">
            <w:pPr>
              <w:pStyle w:val="Table-Text"/>
              <w:spacing w:line="240" w:lineRule="auto"/>
              <w:contextualSpacing/>
            </w:pPr>
            <w:r w:rsidRPr="00341B01">
              <w:t>Tangentially-fired</w:t>
            </w:r>
          </w:p>
        </w:tc>
        <w:tc>
          <w:tcPr>
            <w:tcW w:w="1179" w:type="pct"/>
            <w:tcBorders>
              <w:top w:val="nil"/>
              <w:left w:val="nil"/>
              <w:bottom w:val="single" w:sz="4" w:space="0" w:color="auto"/>
              <w:right w:val="single" w:sz="8" w:space="0" w:color="auto"/>
            </w:tcBorders>
            <w:shd w:val="clear" w:color="auto" w:fill="auto"/>
            <w:noWrap/>
            <w:vAlign w:val="center"/>
            <w:hideMark/>
          </w:tcPr>
          <w:p w14:paraId="25A68D76" w14:textId="2B422D61" w:rsidR="00867FDB" w:rsidRPr="00341B01" w:rsidRDefault="00867FDB" w:rsidP="00B1738B">
            <w:pPr>
              <w:pStyle w:val="Table-Text"/>
              <w:spacing w:line="240" w:lineRule="auto"/>
              <w:contextualSpacing/>
            </w:pPr>
            <w:r w:rsidRPr="00341B01">
              <w:t>Baghouse</w:t>
            </w:r>
            <w:r>
              <w:t xml:space="preserve"> | </w:t>
            </w:r>
            <w:r w:rsidRPr="00341B01">
              <w:t>ESP</w:t>
            </w:r>
          </w:p>
        </w:tc>
      </w:tr>
      <w:tr w:rsidR="00867FDB" w:rsidRPr="00341B01" w14:paraId="54137A32"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5D733BB" w14:textId="77777777" w:rsidR="00867FDB" w:rsidRPr="00341B01" w:rsidRDefault="00867FDB" w:rsidP="3328C818">
            <w:pPr>
              <w:pStyle w:val="Table-Text"/>
              <w:spacing w:line="240" w:lineRule="auto"/>
              <w:contextualSpacing/>
              <w:jc w:val="center"/>
            </w:pPr>
          </w:p>
        </w:tc>
        <w:tc>
          <w:tcPr>
            <w:tcW w:w="658" w:type="pct"/>
            <w:tcBorders>
              <w:top w:val="nil"/>
              <w:left w:val="nil"/>
              <w:bottom w:val="single" w:sz="4" w:space="0" w:color="auto"/>
              <w:right w:val="single" w:sz="4" w:space="0" w:color="auto"/>
            </w:tcBorders>
            <w:shd w:val="clear" w:color="auto" w:fill="auto"/>
            <w:noWrap/>
            <w:vAlign w:val="center"/>
            <w:hideMark/>
          </w:tcPr>
          <w:p w14:paraId="1BE84F79" w14:textId="77777777" w:rsidR="00867FDB" w:rsidRPr="00341B01" w:rsidRDefault="00867FDB" w:rsidP="00B1738B">
            <w:pPr>
              <w:pStyle w:val="Table-Text"/>
              <w:spacing w:line="240" w:lineRule="auto"/>
              <w:contextualSpacing/>
            </w:pPr>
          </w:p>
        </w:tc>
        <w:tc>
          <w:tcPr>
            <w:tcW w:w="308" w:type="pct"/>
            <w:tcBorders>
              <w:top w:val="nil"/>
              <w:left w:val="nil"/>
              <w:bottom w:val="single" w:sz="4" w:space="0" w:color="auto"/>
              <w:right w:val="single" w:sz="4" w:space="0" w:color="auto"/>
            </w:tcBorders>
            <w:shd w:val="clear" w:color="auto" w:fill="auto"/>
            <w:noWrap/>
            <w:vAlign w:val="center"/>
            <w:hideMark/>
          </w:tcPr>
          <w:p w14:paraId="3A3D9F49" w14:textId="77777777" w:rsidR="00867FDB" w:rsidRPr="00341B01" w:rsidRDefault="00867FDB" w:rsidP="3328C818">
            <w:pPr>
              <w:pStyle w:val="Table-Text"/>
              <w:spacing w:line="240" w:lineRule="auto"/>
              <w:contextualSpacing/>
              <w:jc w:val="center"/>
            </w:pPr>
          </w:p>
        </w:tc>
        <w:tc>
          <w:tcPr>
            <w:tcW w:w="344" w:type="pct"/>
            <w:tcBorders>
              <w:top w:val="nil"/>
              <w:left w:val="nil"/>
              <w:bottom w:val="single" w:sz="4" w:space="0" w:color="auto"/>
              <w:right w:val="single" w:sz="4" w:space="0" w:color="auto"/>
            </w:tcBorders>
            <w:shd w:val="clear" w:color="auto" w:fill="auto"/>
            <w:noWrap/>
            <w:vAlign w:val="center"/>
            <w:hideMark/>
          </w:tcPr>
          <w:p w14:paraId="6914948D" w14:textId="77777777" w:rsidR="00867FDB" w:rsidRPr="00341B01" w:rsidRDefault="00867FDB" w:rsidP="3328C818">
            <w:pPr>
              <w:pStyle w:val="Table-Text"/>
              <w:spacing w:line="240" w:lineRule="auto"/>
              <w:contextualSpacing/>
              <w:jc w:val="center"/>
            </w:pPr>
          </w:p>
        </w:tc>
        <w:tc>
          <w:tcPr>
            <w:tcW w:w="597" w:type="pct"/>
            <w:tcBorders>
              <w:top w:val="nil"/>
              <w:left w:val="nil"/>
              <w:bottom w:val="single" w:sz="4" w:space="0" w:color="auto"/>
              <w:right w:val="single" w:sz="4" w:space="0" w:color="auto"/>
            </w:tcBorders>
            <w:shd w:val="clear" w:color="auto" w:fill="auto"/>
            <w:noWrap/>
            <w:vAlign w:val="center"/>
            <w:hideMark/>
          </w:tcPr>
          <w:p w14:paraId="5593C7AD" w14:textId="77777777" w:rsidR="00867FDB" w:rsidRPr="00341B01" w:rsidRDefault="00867FDB" w:rsidP="3328C818">
            <w:pPr>
              <w:pStyle w:val="Table-Text"/>
              <w:spacing w:line="240" w:lineRule="auto"/>
              <w:contextualSpacing/>
              <w:jc w:val="center"/>
            </w:pPr>
          </w:p>
        </w:tc>
        <w:tc>
          <w:tcPr>
            <w:tcW w:w="567" w:type="pct"/>
            <w:tcBorders>
              <w:top w:val="nil"/>
              <w:left w:val="nil"/>
              <w:bottom w:val="single" w:sz="4" w:space="0" w:color="auto"/>
              <w:right w:val="single" w:sz="4" w:space="0" w:color="auto"/>
            </w:tcBorders>
            <w:shd w:val="clear" w:color="auto" w:fill="auto"/>
            <w:noWrap/>
            <w:vAlign w:val="center"/>
            <w:hideMark/>
          </w:tcPr>
          <w:p w14:paraId="21602B9D" w14:textId="77777777" w:rsidR="00867FDB" w:rsidRPr="00341B01" w:rsidRDefault="00867FDB" w:rsidP="3328C818">
            <w:pPr>
              <w:pStyle w:val="Table-Text"/>
              <w:spacing w:line="240" w:lineRule="auto"/>
              <w:contextualSpacing/>
              <w:jc w:val="center"/>
            </w:pPr>
          </w:p>
        </w:tc>
        <w:tc>
          <w:tcPr>
            <w:tcW w:w="1031" w:type="pct"/>
            <w:tcBorders>
              <w:top w:val="nil"/>
              <w:left w:val="nil"/>
              <w:bottom w:val="single" w:sz="4" w:space="0" w:color="auto"/>
              <w:right w:val="single" w:sz="4" w:space="0" w:color="auto"/>
            </w:tcBorders>
            <w:shd w:val="clear" w:color="auto" w:fill="auto"/>
            <w:noWrap/>
            <w:vAlign w:val="center"/>
            <w:hideMark/>
          </w:tcPr>
          <w:p w14:paraId="0175F1DE" w14:textId="77777777" w:rsidR="00867FDB" w:rsidRPr="00341B01" w:rsidRDefault="00867FDB" w:rsidP="00B1738B">
            <w:pPr>
              <w:pStyle w:val="Table-Text"/>
              <w:spacing w:line="240" w:lineRule="auto"/>
              <w:contextualSpacing/>
            </w:pPr>
          </w:p>
        </w:tc>
        <w:tc>
          <w:tcPr>
            <w:tcW w:w="1179" w:type="pct"/>
            <w:tcBorders>
              <w:top w:val="nil"/>
              <w:left w:val="nil"/>
              <w:bottom w:val="single" w:sz="4" w:space="0" w:color="auto"/>
              <w:right w:val="single" w:sz="8" w:space="0" w:color="auto"/>
            </w:tcBorders>
            <w:shd w:val="clear" w:color="auto" w:fill="auto"/>
            <w:noWrap/>
            <w:vAlign w:val="center"/>
            <w:hideMark/>
          </w:tcPr>
          <w:p w14:paraId="24CC7E3C" w14:textId="77777777" w:rsidR="00867FDB" w:rsidRPr="00341B01" w:rsidRDefault="00867FDB" w:rsidP="00B1738B">
            <w:pPr>
              <w:pStyle w:val="Table-Text"/>
              <w:spacing w:line="240" w:lineRule="auto"/>
              <w:contextualSpacing/>
            </w:pPr>
          </w:p>
        </w:tc>
      </w:tr>
      <w:tr w:rsidR="00867FDB" w:rsidRPr="00341B01" w14:paraId="6CAAE8F9"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A43B090" w14:textId="77777777" w:rsidR="00867FDB" w:rsidRPr="00341B01" w:rsidRDefault="647749C5" w:rsidP="3328C818">
            <w:pPr>
              <w:pStyle w:val="Table-Text"/>
              <w:spacing w:line="240" w:lineRule="auto"/>
              <w:contextualSpacing/>
              <w:jc w:val="center"/>
            </w:pPr>
            <w:r>
              <w:t>IL</w:t>
            </w:r>
          </w:p>
        </w:tc>
        <w:tc>
          <w:tcPr>
            <w:tcW w:w="658" w:type="pct"/>
            <w:tcBorders>
              <w:top w:val="nil"/>
              <w:left w:val="nil"/>
              <w:bottom w:val="single" w:sz="4" w:space="0" w:color="auto"/>
              <w:right w:val="single" w:sz="4" w:space="0" w:color="auto"/>
            </w:tcBorders>
            <w:shd w:val="clear" w:color="auto" w:fill="auto"/>
            <w:noWrap/>
            <w:vAlign w:val="center"/>
            <w:hideMark/>
          </w:tcPr>
          <w:p w14:paraId="61D93EC1" w14:textId="77777777" w:rsidR="00867FDB" w:rsidRPr="00341B01" w:rsidRDefault="00867FDB" w:rsidP="00B1738B">
            <w:pPr>
              <w:pStyle w:val="Table-Text"/>
              <w:spacing w:line="240" w:lineRule="auto"/>
              <w:contextualSpacing/>
            </w:pPr>
            <w:r w:rsidRPr="00341B01">
              <w:t>Kincaid</w:t>
            </w:r>
          </w:p>
        </w:tc>
        <w:tc>
          <w:tcPr>
            <w:tcW w:w="308" w:type="pct"/>
            <w:tcBorders>
              <w:top w:val="nil"/>
              <w:left w:val="nil"/>
              <w:bottom w:val="single" w:sz="4" w:space="0" w:color="auto"/>
              <w:right w:val="single" w:sz="4" w:space="0" w:color="auto"/>
            </w:tcBorders>
            <w:shd w:val="clear" w:color="auto" w:fill="auto"/>
            <w:noWrap/>
            <w:vAlign w:val="center"/>
            <w:hideMark/>
          </w:tcPr>
          <w:p w14:paraId="66496606" w14:textId="77777777" w:rsidR="00867FDB" w:rsidRPr="00341B01" w:rsidRDefault="647749C5" w:rsidP="3328C818">
            <w:pPr>
              <w:pStyle w:val="Table-Text"/>
              <w:spacing w:line="240" w:lineRule="auto"/>
              <w:contextualSpacing/>
              <w:jc w:val="center"/>
            </w:pPr>
            <w:r>
              <w:t>2</w:t>
            </w:r>
          </w:p>
        </w:tc>
        <w:tc>
          <w:tcPr>
            <w:tcW w:w="344" w:type="pct"/>
            <w:tcBorders>
              <w:top w:val="nil"/>
              <w:left w:val="nil"/>
              <w:bottom w:val="single" w:sz="4" w:space="0" w:color="auto"/>
              <w:right w:val="single" w:sz="4" w:space="0" w:color="auto"/>
            </w:tcBorders>
            <w:shd w:val="clear" w:color="auto" w:fill="auto"/>
            <w:noWrap/>
            <w:vAlign w:val="center"/>
            <w:hideMark/>
          </w:tcPr>
          <w:p w14:paraId="28DBF44F" w14:textId="77777777" w:rsidR="00867FDB" w:rsidRPr="00341B01" w:rsidRDefault="647749C5" w:rsidP="3328C818">
            <w:pPr>
              <w:pStyle w:val="Table-Text"/>
              <w:spacing w:line="240" w:lineRule="auto"/>
              <w:contextualSpacing/>
              <w:jc w:val="center"/>
            </w:pPr>
            <w:r>
              <w:t>1,083</w:t>
            </w:r>
          </w:p>
        </w:tc>
        <w:tc>
          <w:tcPr>
            <w:tcW w:w="597" w:type="pct"/>
            <w:tcBorders>
              <w:top w:val="nil"/>
              <w:left w:val="nil"/>
              <w:bottom w:val="single" w:sz="4" w:space="0" w:color="auto"/>
              <w:right w:val="single" w:sz="4" w:space="0" w:color="auto"/>
            </w:tcBorders>
            <w:shd w:val="clear" w:color="auto" w:fill="auto"/>
            <w:noWrap/>
            <w:vAlign w:val="center"/>
            <w:hideMark/>
          </w:tcPr>
          <w:p w14:paraId="19384568" w14:textId="77777777" w:rsidR="00867FDB" w:rsidRPr="00341B01" w:rsidRDefault="647749C5" w:rsidP="3328C818">
            <w:pPr>
              <w:pStyle w:val="Table-Text"/>
              <w:spacing w:line="240" w:lineRule="auto"/>
              <w:contextualSpacing/>
              <w:jc w:val="center"/>
            </w:pPr>
            <w:r>
              <w:t>0.093</w:t>
            </w:r>
          </w:p>
        </w:tc>
        <w:tc>
          <w:tcPr>
            <w:tcW w:w="567" w:type="pct"/>
            <w:tcBorders>
              <w:top w:val="nil"/>
              <w:left w:val="nil"/>
              <w:bottom w:val="single" w:sz="4" w:space="0" w:color="auto"/>
              <w:right w:val="single" w:sz="4" w:space="0" w:color="auto"/>
            </w:tcBorders>
            <w:shd w:val="clear" w:color="auto" w:fill="auto"/>
            <w:noWrap/>
            <w:vAlign w:val="center"/>
            <w:hideMark/>
          </w:tcPr>
          <w:p w14:paraId="1ECB5DEE" w14:textId="77777777" w:rsidR="00867FDB" w:rsidRPr="00341B01" w:rsidRDefault="647749C5" w:rsidP="3328C818">
            <w:pPr>
              <w:pStyle w:val="Table-Text"/>
              <w:spacing w:line="240" w:lineRule="auto"/>
              <w:contextualSpacing/>
              <w:jc w:val="center"/>
            </w:pPr>
            <w:r>
              <w:t>23,285,397</w:t>
            </w:r>
          </w:p>
        </w:tc>
        <w:tc>
          <w:tcPr>
            <w:tcW w:w="1031" w:type="pct"/>
            <w:tcBorders>
              <w:top w:val="nil"/>
              <w:left w:val="nil"/>
              <w:bottom w:val="single" w:sz="4" w:space="0" w:color="auto"/>
              <w:right w:val="single" w:sz="4" w:space="0" w:color="auto"/>
            </w:tcBorders>
            <w:shd w:val="clear" w:color="auto" w:fill="auto"/>
            <w:noWrap/>
            <w:vAlign w:val="center"/>
            <w:hideMark/>
          </w:tcPr>
          <w:p w14:paraId="7ADF414F" w14:textId="77777777" w:rsidR="00867FDB" w:rsidRPr="00341B01" w:rsidRDefault="00867FDB" w:rsidP="00B1738B">
            <w:pPr>
              <w:pStyle w:val="Table-Text"/>
              <w:spacing w:line="240" w:lineRule="auto"/>
              <w:contextualSpacing/>
            </w:pPr>
            <w:r w:rsidRPr="00341B01">
              <w:t>Cyclone boiler</w:t>
            </w:r>
          </w:p>
        </w:tc>
        <w:tc>
          <w:tcPr>
            <w:tcW w:w="1179" w:type="pct"/>
            <w:tcBorders>
              <w:top w:val="nil"/>
              <w:left w:val="nil"/>
              <w:bottom w:val="single" w:sz="4" w:space="0" w:color="auto"/>
              <w:right w:val="single" w:sz="8" w:space="0" w:color="auto"/>
            </w:tcBorders>
            <w:shd w:val="clear" w:color="auto" w:fill="auto"/>
            <w:noWrap/>
            <w:vAlign w:val="center"/>
            <w:hideMark/>
          </w:tcPr>
          <w:p w14:paraId="61D96956" w14:textId="77777777" w:rsidR="00867FDB" w:rsidRPr="00341B01" w:rsidRDefault="00867FDB" w:rsidP="00B1738B">
            <w:pPr>
              <w:pStyle w:val="Table-Text"/>
              <w:spacing w:line="240" w:lineRule="auto"/>
              <w:contextualSpacing/>
            </w:pPr>
            <w:r w:rsidRPr="00341B01">
              <w:t>Electrostatic Precipitator</w:t>
            </w:r>
          </w:p>
        </w:tc>
      </w:tr>
      <w:tr w:rsidR="00867FDB" w:rsidRPr="00341B01" w14:paraId="05724931"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3B88566" w14:textId="77777777" w:rsidR="00867FDB" w:rsidRPr="00341B01" w:rsidRDefault="647749C5" w:rsidP="3328C818">
            <w:pPr>
              <w:pStyle w:val="Table-Text"/>
              <w:spacing w:line="240" w:lineRule="auto"/>
              <w:contextualSpacing/>
              <w:jc w:val="center"/>
            </w:pPr>
            <w:r>
              <w:t>IL</w:t>
            </w:r>
          </w:p>
        </w:tc>
        <w:tc>
          <w:tcPr>
            <w:tcW w:w="658" w:type="pct"/>
            <w:tcBorders>
              <w:top w:val="nil"/>
              <w:left w:val="nil"/>
              <w:bottom w:val="single" w:sz="4" w:space="0" w:color="auto"/>
              <w:right w:val="single" w:sz="4" w:space="0" w:color="auto"/>
            </w:tcBorders>
            <w:shd w:val="clear" w:color="auto" w:fill="auto"/>
            <w:noWrap/>
            <w:vAlign w:val="center"/>
            <w:hideMark/>
          </w:tcPr>
          <w:p w14:paraId="08E29E75" w14:textId="77777777" w:rsidR="00867FDB" w:rsidRPr="00341B01" w:rsidRDefault="00867FDB" w:rsidP="00B1738B">
            <w:pPr>
              <w:pStyle w:val="Table-Text"/>
              <w:spacing w:line="240" w:lineRule="auto"/>
              <w:contextualSpacing/>
            </w:pPr>
            <w:r w:rsidRPr="00341B01">
              <w:t>Kincaid</w:t>
            </w:r>
          </w:p>
        </w:tc>
        <w:tc>
          <w:tcPr>
            <w:tcW w:w="308" w:type="pct"/>
            <w:tcBorders>
              <w:top w:val="nil"/>
              <w:left w:val="nil"/>
              <w:bottom w:val="single" w:sz="4" w:space="0" w:color="auto"/>
              <w:right w:val="single" w:sz="4" w:space="0" w:color="auto"/>
            </w:tcBorders>
            <w:shd w:val="clear" w:color="auto" w:fill="auto"/>
            <w:noWrap/>
            <w:vAlign w:val="center"/>
            <w:hideMark/>
          </w:tcPr>
          <w:p w14:paraId="78E5A07A" w14:textId="77777777" w:rsidR="00867FDB" w:rsidRPr="00341B01" w:rsidRDefault="647749C5" w:rsidP="3328C818">
            <w:pPr>
              <w:pStyle w:val="Table-Text"/>
              <w:spacing w:line="240" w:lineRule="auto"/>
              <w:contextualSpacing/>
              <w:jc w:val="center"/>
            </w:pPr>
            <w:r>
              <w:t>1</w:t>
            </w:r>
          </w:p>
        </w:tc>
        <w:tc>
          <w:tcPr>
            <w:tcW w:w="344" w:type="pct"/>
            <w:tcBorders>
              <w:top w:val="nil"/>
              <w:left w:val="nil"/>
              <w:bottom w:val="single" w:sz="4" w:space="0" w:color="auto"/>
              <w:right w:val="single" w:sz="4" w:space="0" w:color="auto"/>
            </w:tcBorders>
            <w:shd w:val="clear" w:color="auto" w:fill="auto"/>
            <w:noWrap/>
            <w:vAlign w:val="center"/>
            <w:hideMark/>
          </w:tcPr>
          <w:p w14:paraId="1C4A6E72" w14:textId="77777777" w:rsidR="00867FDB" w:rsidRPr="00341B01" w:rsidRDefault="647749C5" w:rsidP="3328C818">
            <w:pPr>
              <w:pStyle w:val="Table-Text"/>
              <w:spacing w:line="240" w:lineRule="auto"/>
              <w:contextualSpacing/>
              <w:jc w:val="center"/>
            </w:pPr>
            <w:r>
              <w:t>808</w:t>
            </w:r>
          </w:p>
        </w:tc>
        <w:tc>
          <w:tcPr>
            <w:tcW w:w="597" w:type="pct"/>
            <w:tcBorders>
              <w:top w:val="nil"/>
              <w:left w:val="nil"/>
              <w:bottom w:val="single" w:sz="4" w:space="0" w:color="auto"/>
              <w:right w:val="single" w:sz="4" w:space="0" w:color="auto"/>
            </w:tcBorders>
            <w:shd w:val="clear" w:color="auto" w:fill="auto"/>
            <w:noWrap/>
            <w:vAlign w:val="center"/>
            <w:hideMark/>
          </w:tcPr>
          <w:p w14:paraId="6E7BC448" w14:textId="77777777" w:rsidR="00867FDB" w:rsidRPr="00341B01" w:rsidRDefault="647749C5" w:rsidP="3328C818">
            <w:pPr>
              <w:pStyle w:val="Table-Text"/>
              <w:spacing w:line="240" w:lineRule="auto"/>
              <w:contextualSpacing/>
              <w:jc w:val="center"/>
            </w:pPr>
            <w:r>
              <w:t>0.093</w:t>
            </w:r>
          </w:p>
        </w:tc>
        <w:tc>
          <w:tcPr>
            <w:tcW w:w="567" w:type="pct"/>
            <w:tcBorders>
              <w:top w:val="nil"/>
              <w:left w:val="nil"/>
              <w:bottom w:val="single" w:sz="4" w:space="0" w:color="auto"/>
              <w:right w:val="single" w:sz="4" w:space="0" w:color="auto"/>
            </w:tcBorders>
            <w:shd w:val="clear" w:color="auto" w:fill="auto"/>
            <w:noWrap/>
            <w:vAlign w:val="center"/>
            <w:hideMark/>
          </w:tcPr>
          <w:p w14:paraId="1D25F931" w14:textId="77777777" w:rsidR="00867FDB" w:rsidRPr="00341B01" w:rsidRDefault="647749C5" w:rsidP="3328C818">
            <w:pPr>
              <w:pStyle w:val="Table-Text"/>
              <w:spacing w:line="240" w:lineRule="auto"/>
              <w:contextualSpacing/>
              <w:jc w:val="center"/>
            </w:pPr>
            <w:r>
              <w:t>17,366,842</w:t>
            </w:r>
          </w:p>
        </w:tc>
        <w:tc>
          <w:tcPr>
            <w:tcW w:w="1031" w:type="pct"/>
            <w:tcBorders>
              <w:top w:val="nil"/>
              <w:left w:val="nil"/>
              <w:bottom w:val="single" w:sz="4" w:space="0" w:color="auto"/>
              <w:right w:val="single" w:sz="4" w:space="0" w:color="auto"/>
            </w:tcBorders>
            <w:shd w:val="clear" w:color="auto" w:fill="auto"/>
            <w:noWrap/>
            <w:vAlign w:val="center"/>
            <w:hideMark/>
          </w:tcPr>
          <w:p w14:paraId="54D58A2B" w14:textId="77777777" w:rsidR="00867FDB" w:rsidRPr="00341B01" w:rsidRDefault="00867FDB" w:rsidP="00B1738B">
            <w:pPr>
              <w:pStyle w:val="Table-Text"/>
              <w:spacing w:line="240" w:lineRule="auto"/>
              <w:contextualSpacing/>
            </w:pPr>
            <w:r w:rsidRPr="00341B01">
              <w:t>Cyclone boiler</w:t>
            </w:r>
          </w:p>
        </w:tc>
        <w:tc>
          <w:tcPr>
            <w:tcW w:w="1179" w:type="pct"/>
            <w:tcBorders>
              <w:top w:val="nil"/>
              <w:left w:val="nil"/>
              <w:bottom w:val="single" w:sz="4" w:space="0" w:color="auto"/>
              <w:right w:val="single" w:sz="8" w:space="0" w:color="auto"/>
            </w:tcBorders>
            <w:shd w:val="clear" w:color="auto" w:fill="auto"/>
            <w:noWrap/>
            <w:vAlign w:val="center"/>
            <w:hideMark/>
          </w:tcPr>
          <w:p w14:paraId="1F226465" w14:textId="77777777" w:rsidR="00867FDB" w:rsidRPr="00341B01" w:rsidRDefault="00867FDB" w:rsidP="00B1738B">
            <w:pPr>
              <w:pStyle w:val="Table-Text"/>
              <w:spacing w:line="240" w:lineRule="auto"/>
              <w:contextualSpacing/>
            </w:pPr>
            <w:r w:rsidRPr="00341B01">
              <w:t>Electrostatic Precipitator</w:t>
            </w:r>
          </w:p>
        </w:tc>
      </w:tr>
      <w:tr w:rsidR="00867FDB" w:rsidRPr="00341B01" w14:paraId="2074207E"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C6E8FC1" w14:textId="77777777" w:rsidR="00867FDB" w:rsidRPr="00341B01" w:rsidRDefault="647749C5" w:rsidP="3328C818">
            <w:pPr>
              <w:pStyle w:val="Table-Text"/>
              <w:spacing w:line="240" w:lineRule="auto"/>
              <w:contextualSpacing/>
              <w:jc w:val="center"/>
            </w:pPr>
            <w:r>
              <w:t>IL</w:t>
            </w:r>
          </w:p>
        </w:tc>
        <w:tc>
          <w:tcPr>
            <w:tcW w:w="658" w:type="pct"/>
            <w:tcBorders>
              <w:top w:val="nil"/>
              <w:left w:val="nil"/>
              <w:bottom w:val="single" w:sz="4" w:space="0" w:color="auto"/>
              <w:right w:val="single" w:sz="4" w:space="0" w:color="auto"/>
            </w:tcBorders>
            <w:shd w:val="clear" w:color="auto" w:fill="auto"/>
            <w:noWrap/>
            <w:vAlign w:val="center"/>
            <w:hideMark/>
          </w:tcPr>
          <w:p w14:paraId="088DA660" w14:textId="77777777" w:rsidR="00867FDB" w:rsidRPr="00341B01" w:rsidRDefault="00867FDB" w:rsidP="00B1738B">
            <w:pPr>
              <w:pStyle w:val="Table-Text"/>
              <w:spacing w:line="240" w:lineRule="auto"/>
              <w:contextualSpacing/>
            </w:pPr>
            <w:r w:rsidRPr="00341B01">
              <w:t>Waukegan</w:t>
            </w:r>
          </w:p>
        </w:tc>
        <w:tc>
          <w:tcPr>
            <w:tcW w:w="308" w:type="pct"/>
            <w:tcBorders>
              <w:top w:val="nil"/>
              <w:left w:val="nil"/>
              <w:bottom w:val="single" w:sz="4" w:space="0" w:color="auto"/>
              <w:right w:val="single" w:sz="4" w:space="0" w:color="auto"/>
            </w:tcBorders>
            <w:shd w:val="clear" w:color="auto" w:fill="auto"/>
            <w:noWrap/>
            <w:vAlign w:val="center"/>
            <w:hideMark/>
          </w:tcPr>
          <w:p w14:paraId="3D345A63" w14:textId="77777777" w:rsidR="00867FDB" w:rsidRPr="00341B01" w:rsidRDefault="647749C5" w:rsidP="3328C818">
            <w:pPr>
              <w:pStyle w:val="Table-Text"/>
              <w:spacing w:line="240" w:lineRule="auto"/>
              <w:contextualSpacing/>
              <w:jc w:val="center"/>
            </w:pPr>
            <w:r>
              <w:t>7</w:t>
            </w:r>
          </w:p>
        </w:tc>
        <w:tc>
          <w:tcPr>
            <w:tcW w:w="344" w:type="pct"/>
            <w:tcBorders>
              <w:top w:val="nil"/>
              <w:left w:val="nil"/>
              <w:bottom w:val="single" w:sz="4" w:space="0" w:color="auto"/>
              <w:right w:val="single" w:sz="4" w:space="0" w:color="auto"/>
            </w:tcBorders>
            <w:shd w:val="clear" w:color="auto" w:fill="auto"/>
            <w:noWrap/>
            <w:vAlign w:val="center"/>
            <w:hideMark/>
          </w:tcPr>
          <w:p w14:paraId="1C7C5392" w14:textId="77777777" w:rsidR="00867FDB" w:rsidRPr="00341B01" w:rsidRDefault="647749C5" w:rsidP="3328C818">
            <w:pPr>
              <w:pStyle w:val="Table-Text"/>
              <w:spacing w:line="240" w:lineRule="auto"/>
              <w:contextualSpacing/>
              <w:jc w:val="center"/>
            </w:pPr>
            <w:r>
              <w:t>501</w:t>
            </w:r>
          </w:p>
        </w:tc>
        <w:tc>
          <w:tcPr>
            <w:tcW w:w="597" w:type="pct"/>
            <w:tcBorders>
              <w:top w:val="nil"/>
              <w:left w:val="nil"/>
              <w:bottom w:val="single" w:sz="4" w:space="0" w:color="auto"/>
              <w:right w:val="single" w:sz="4" w:space="0" w:color="auto"/>
            </w:tcBorders>
            <w:shd w:val="clear" w:color="auto" w:fill="auto"/>
            <w:noWrap/>
            <w:vAlign w:val="center"/>
            <w:hideMark/>
          </w:tcPr>
          <w:p w14:paraId="689EC614" w14:textId="77777777" w:rsidR="00867FDB" w:rsidRPr="00341B01" w:rsidRDefault="647749C5" w:rsidP="3328C818">
            <w:pPr>
              <w:pStyle w:val="Table-Text"/>
              <w:spacing w:line="240" w:lineRule="auto"/>
              <w:contextualSpacing/>
              <w:jc w:val="center"/>
            </w:pPr>
            <w:r>
              <w:t>0.095</w:t>
            </w:r>
          </w:p>
        </w:tc>
        <w:tc>
          <w:tcPr>
            <w:tcW w:w="567" w:type="pct"/>
            <w:tcBorders>
              <w:top w:val="nil"/>
              <w:left w:val="nil"/>
              <w:bottom w:val="single" w:sz="4" w:space="0" w:color="auto"/>
              <w:right w:val="single" w:sz="4" w:space="0" w:color="auto"/>
            </w:tcBorders>
            <w:shd w:val="clear" w:color="auto" w:fill="auto"/>
            <w:noWrap/>
            <w:vAlign w:val="center"/>
            <w:hideMark/>
          </w:tcPr>
          <w:p w14:paraId="2E21D664" w14:textId="77777777" w:rsidR="00867FDB" w:rsidRPr="00341B01" w:rsidRDefault="647749C5" w:rsidP="3328C818">
            <w:pPr>
              <w:pStyle w:val="Table-Text"/>
              <w:spacing w:line="240" w:lineRule="auto"/>
              <w:contextualSpacing/>
              <w:jc w:val="center"/>
            </w:pPr>
            <w:r>
              <w:t>10,522,238</w:t>
            </w:r>
          </w:p>
        </w:tc>
        <w:tc>
          <w:tcPr>
            <w:tcW w:w="1031" w:type="pct"/>
            <w:tcBorders>
              <w:top w:val="nil"/>
              <w:left w:val="nil"/>
              <w:bottom w:val="single" w:sz="4" w:space="0" w:color="auto"/>
              <w:right w:val="single" w:sz="4" w:space="0" w:color="auto"/>
            </w:tcBorders>
            <w:shd w:val="clear" w:color="auto" w:fill="auto"/>
            <w:noWrap/>
            <w:vAlign w:val="center"/>
            <w:hideMark/>
          </w:tcPr>
          <w:p w14:paraId="632A8E19" w14:textId="77777777" w:rsidR="00867FDB" w:rsidRPr="00341B01" w:rsidRDefault="00867FDB" w:rsidP="00B1738B">
            <w:pPr>
              <w:pStyle w:val="Table-Text"/>
              <w:spacing w:line="240" w:lineRule="auto"/>
              <w:contextualSpacing/>
            </w:pPr>
            <w:r w:rsidRPr="00341B01">
              <w:t>Tangentially-fired</w:t>
            </w:r>
          </w:p>
        </w:tc>
        <w:tc>
          <w:tcPr>
            <w:tcW w:w="1179" w:type="pct"/>
            <w:tcBorders>
              <w:top w:val="nil"/>
              <w:left w:val="nil"/>
              <w:bottom w:val="single" w:sz="4" w:space="0" w:color="auto"/>
              <w:right w:val="single" w:sz="8" w:space="0" w:color="auto"/>
            </w:tcBorders>
            <w:shd w:val="clear" w:color="auto" w:fill="auto"/>
            <w:noWrap/>
            <w:vAlign w:val="center"/>
            <w:hideMark/>
          </w:tcPr>
          <w:p w14:paraId="729A31C4" w14:textId="77777777" w:rsidR="00867FDB" w:rsidRPr="00341B01" w:rsidRDefault="00867FDB" w:rsidP="00B1738B">
            <w:pPr>
              <w:pStyle w:val="Table-Text"/>
              <w:spacing w:line="240" w:lineRule="auto"/>
              <w:contextualSpacing/>
            </w:pPr>
            <w:r w:rsidRPr="00341B01">
              <w:t>Electrostatic Precipitator</w:t>
            </w:r>
          </w:p>
        </w:tc>
      </w:tr>
      <w:tr w:rsidR="00867FDB" w:rsidRPr="00341B01" w14:paraId="1A29C3DF"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20F5805" w14:textId="77777777" w:rsidR="00867FDB" w:rsidRPr="00341B01" w:rsidRDefault="647749C5" w:rsidP="3328C818">
            <w:pPr>
              <w:pStyle w:val="Table-Text"/>
              <w:spacing w:line="240" w:lineRule="auto"/>
              <w:contextualSpacing/>
              <w:jc w:val="center"/>
            </w:pPr>
            <w:r>
              <w:t>IL</w:t>
            </w:r>
          </w:p>
        </w:tc>
        <w:tc>
          <w:tcPr>
            <w:tcW w:w="658" w:type="pct"/>
            <w:tcBorders>
              <w:top w:val="nil"/>
              <w:left w:val="nil"/>
              <w:bottom w:val="single" w:sz="4" w:space="0" w:color="auto"/>
              <w:right w:val="single" w:sz="4" w:space="0" w:color="auto"/>
            </w:tcBorders>
            <w:shd w:val="clear" w:color="auto" w:fill="auto"/>
            <w:noWrap/>
            <w:vAlign w:val="center"/>
            <w:hideMark/>
          </w:tcPr>
          <w:p w14:paraId="41B06DEA" w14:textId="77777777" w:rsidR="00867FDB" w:rsidRPr="00341B01" w:rsidRDefault="00867FDB" w:rsidP="00B1738B">
            <w:pPr>
              <w:pStyle w:val="Table-Text"/>
              <w:spacing w:line="240" w:lineRule="auto"/>
              <w:contextualSpacing/>
            </w:pPr>
            <w:proofErr w:type="spellStart"/>
            <w:r w:rsidRPr="00341B01">
              <w:t>Powerton</w:t>
            </w:r>
            <w:proofErr w:type="spellEnd"/>
          </w:p>
        </w:tc>
        <w:tc>
          <w:tcPr>
            <w:tcW w:w="308" w:type="pct"/>
            <w:tcBorders>
              <w:top w:val="nil"/>
              <w:left w:val="nil"/>
              <w:bottom w:val="single" w:sz="4" w:space="0" w:color="auto"/>
              <w:right w:val="single" w:sz="4" w:space="0" w:color="auto"/>
            </w:tcBorders>
            <w:shd w:val="clear" w:color="auto" w:fill="auto"/>
            <w:noWrap/>
            <w:vAlign w:val="center"/>
            <w:hideMark/>
          </w:tcPr>
          <w:p w14:paraId="28758965" w14:textId="77777777" w:rsidR="00867FDB" w:rsidRPr="00341B01" w:rsidRDefault="647749C5" w:rsidP="3328C818">
            <w:pPr>
              <w:pStyle w:val="Table-Text"/>
              <w:spacing w:line="240" w:lineRule="auto"/>
              <w:contextualSpacing/>
              <w:jc w:val="center"/>
            </w:pPr>
            <w:r>
              <w:t>62</w:t>
            </w:r>
          </w:p>
        </w:tc>
        <w:tc>
          <w:tcPr>
            <w:tcW w:w="344" w:type="pct"/>
            <w:tcBorders>
              <w:top w:val="nil"/>
              <w:left w:val="nil"/>
              <w:bottom w:val="single" w:sz="4" w:space="0" w:color="auto"/>
              <w:right w:val="single" w:sz="4" w:space="0" w:color="auto"/>
            </w:tcBorders>
            <w:shd w:val="clear" w:color="auto" w:fill="auto"/>
            <w:noWrap/>
            <w:vAlign w:val="center"/>
            <w:hideMark/>
          </w:tcPr>
          <w:p w14:paraId="4024A3EF" w14:textId="77777777" w:rsidR="00867FDB" w:rsidRPr="00341B01" w:rsidRDefault="647749C5" w:rsidP="3328C818">
            <w:pPr>
              <w:pStyle w:val="Table-Text"/>
              <w:spacing w:line="240" w:lineRule="auto"/>
              <w:contextualSpacing/>
              <w:jc w:val="center"/>
            </w:pPr>
            <w:r>
              <w:t>278</w:t>
            </w:r>
          </w:p>
        </w:tc>
        <w:tc>
          <w:tcPr>
            <w:tcW w:w="597" w:type="pct"/>
            <w:tcBorders>
              <w:top w:val="nil"/>
              <w:left w:val="nil"/>
              <w:bottom w:val="single" w:sz="4" w:space="0" w:color="auto"/>
              <w:right w:val="single" w:sz="4" w:space="0" w:color="auto"/>
            </w:tcBorders>
            <w:shd w:val="clear" w:color="auto" w:fill="auto"/>
            <w:noWrap/>
            <w:vAlign w:val="center"/>
            <w:hideMark/>
          </w:tcPr>
          <w:p w14:paraId="58B1E329" w14:textId="77777777" w:rsidR="00867FDB" w:rsidRPr="00341B01" w:rsidRDefault="647749C5" w:rsidP="3328C818">
            <w:pPr>
              <w:pStyle w:val="Table-Text"/>
              <w:spacing w:line="240" w:lineRule="auto"/>
              <w:contextualSpacing/>
              <w:jc w:val="center"/>
            </w:pPr>
            <w:r>
              <w:t>0.109</w:t>
            </w:r>
          </w:p>
        </w:tc>
        <w:tc>
          <w:tcPr>
            <w:tcW w:w="567" w:type="pct"/>
            <w:tcBorders>
              <w:top w:val="nil"/>
              <w:left w:val="nil"/>
              <w:bottom w:val="single" w:sz="4" w:space="0" w:color="auto"/>
              <w:right w:val="single" w:sz="4" w:space="0" w:color="auto"/>
            </w:tcBorders>
            <w:shd w:val="clear" w:color="auto" w:fill="auto"/>
            <w:noWrap/>
            <w:vAlign w:val="center"/>
            <w:hideMark/>
          </w:tcPr>
          <w:p w14:paraId="3B6485D8" w14:textId="77777777" w:rsidR="00867FDB" w:rsidRPr="00341B01" w:rsidRDefault="647749C5" w:rsidP="3328C818">
            <w:pPr>
              <w:pStyle w:val="Table-Text"/>
              <w:spacing w:line="240" w:lineRule="auto"/>
              <w:contextualSpacing/>
              <w:jc w:val="center"/>
            </w:pPr>
            <w:r>
              <w:t>5,084,619</w:t>
            </w:r>
          </w:p>
        </w:tc>
        <w:tc>
          <w:tcPr>
            <w:tcW w:w="1031" w:type="pct"/>
            <w:tcBorders>
              <w:top w:val="nil"/>
              <w:left w:val="nil"/>
              <w:bottom w:val="single" w:sz="4" w:space="0" w:color="auto"/>
              <w:right w:val="single" w:sz="4" w:space="0" w:color="auto"/>
            </w:tcBorders>
            <w:shd w:val="clear" w:color="auto" w:fill="auto"/>
            <w:noWrap/>
            <w:vAlign w:val="center"/>
            <w:hideMark/>
          </w:tcPr>
          <w:p w14:paraId="1A6F832B" w14:textId="77777777" w:rsidR="00867FDB" w:rsidRPr="00341B01" w:rsidRDefault="00867FDB" w:rsidP="00B1738B">
            <w:pPr>
              <w:pStyle w:val="Table-Text"/>
              <w:spacing w:line="240" w:lineRule="auto"/>
              <w:contextualSpacing/>
            </w:pPr>
            <w:r w:rsidRPr="00341B01">
              <w:t>Cyclone boiler</w:t>
            </w:r>
          </w:p>
        </w:tc>
        <w:tc>
          <w:tcPr>
            <w:tcW w:w="1179" w:type="pct"/>
            <w:tcBorders>
              <w:top w:val="nil"/>
              <w:left w:val="nil"/>
              <w:bottom w:val="single" w:sz="4" w:space="0" w:color="auto"/>
              <w:right w:val="single" w:sz="8" w:space="0" w:color="auto"/>
            </w:tcBorders>
            <w:shd w:val="clear" w:color="auto" w:fill="auto"/>
            <w:noWrap/>
            <w:vAlign w:val="center"/>
            <w:hideMark/>
          </w:tcPr>
          <w:p w14:paraId="4307B7FA" w14:textId="77777777" w:rsidR="00867FDB" w:rsidRPr="00341B01" w:rsidRDefault="00867FDB" w:rsidP="00B1738B">
            <w:pPr>
              <w:pStyle w:val="Table-Text"/>
              <w:spacing w:line="240" w:lineRule="auto"/>
              <w:contextualSpacing/>
            </w:pPr>
            <w:r w:rsidRPr="00341B01">
              <w:t>Electrostatic Precipitator</w:t>
            </w:r>
          </w:p>
        </w:tc>
      </w:tr>
      <w:tr w:rsidR="00867FDB" w:rsidRPr="00341B01" w14:paraId="5ACBE41F"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F4BF184" w14:textId="77777777" w:rsidR="00867FDB" w:rsidRPr="00341B01" w:rsidRDefault="647749C5" w:rsidP="3328C818">
            <w:pPr>
              <w:pStyle w:val="Table-Text"/>
              <w:spacing w:line="240" w:lineRule="auto"/>
              <w:contextualSpacing/>
              <w:jc w:val="center"/>
            </w:pPr>
            <w:r>
              <w:t>IL</w:t>
            </w:r>
          </w:p>
        </w:tc>
        <w:tc>
          <w:tcPr>
            <w:tcW w:w="658" w:type="pct"/>
            <w:tcBorders>
              <w:top w:val="nil"/>
              <w:left w:val="nil"/>
              <w:bottom w:val="single" w:sz="4" w:space="0" w:color="auto"/>
              <w:right w:val="single" w:sz="4" w:space="0" w:color="auto"/>
            </w:tcBorders>
            <w:shd w:val="clear" w:color="auto" w:fill="auto"/>
            <w:noWrap/>
            <w:vAlign w:val="center"/>
            <w:hideMark/>
          </w:tcPr>
          <w:p w14:paraId="2F7D34F0" w14:textId="77777777" w:rsidR="00867FDB" w:rsidRPr="00341B01" w:rsidRDefault="00867FDB" w:rsidP="00B1738B">
            <w:pPr>
              <w:pStyle w:val="Table-Text"/>
              <w:spacing w:line="240" w:lineRule="auto"/>
              <w:contextualSpacing/>
            </w:pPr>
            <w:proofErr w:type="spellStart"/>
            <w:r w:rsidRPr="00341B01">
              <w:t>Powerton</w:t>
            </w:r>
            <w:proofErr w:type="spellEnd"/>
          </w:p>
        </w:tc>
        <w:tc>
          <w:tcPr>
            <w:tcW w:w="308" w:type="pct"/>
            <w:tcBorders>
              <w:top w:val="nil"/>
              <w:left w:val="nil"/>
              <w:bottom w:val="single" w:sz="4" w:space="0" w:color="auto"/>
              <w:right w:val="single" w:sz="4" w:space="0" w:color="auto"/>
            </w:tcBorders>
            <w:shd w:val="clear" w:color="auto" w:fill="auto"/>
            <w:noWrap/>
            <w:vAlign w:val="center"/>
            <w:hideMark/>
          </w:tcPr>
          <w:p w14:paraId="7164A8CF" w14:textId="77777777" w:rsidR="00867FDB" w:rsidRPr="00341B01" w:rsidRDefault="647749C5" w:rsidP="3328C818">
            <w:pPr>
              <w:pStyle w:val="Table-Text"/>
              <w:spacing w:line="240" w:lineRule="auto"/>
              <w:contextualSpacing/>
              <w:jc w:val="center"/>
            </w:pPr>
            <w:r>
              <w:t>61</w:t>
            </w:r>
          </w:p>
        </w:tc>
        <w:tc>
          <w:tcPr>
            <w:tcW w:w="344" w:type="pct"/>
            <w:tcBorders>
              <w:top w:val="nil"/>
              <w:left w:val="nil"/>
              <w:bottom w:val="single" w:sz="4" w:space="0" w:color="auto"/>
              <w:right w:val="single" w:sz="4" w:space="0" w:color="auto"/>
            </w:tcBorders>
            <w:shd w:val="clear" w:color="auto" w:fill="auto"/>
            <w:noWrap/>
            <w:vAlign w:val="center"/>
            <w:hideMark/>
          </w:tcPr>
          <w:p w14:paraId="3DAD144C" w14:textId="77777777" w:rsidR="00867FDB" w:rsidRPr="00341B01" w:rsidRDefault="647749C5" w:rsidP="3328C818">
            <w:pPr>
              <w:pStyle w:val="Table-Text"/>
              <w:spacing w:line="240" w:lineRule="auto"/>
              <w:contextualSpacing/>
              <w:jc w:val="center"/>
            </w:pPr>
            <w:r>
              <w:t>304</w:t>
            </w:r>
          </w:p>
        </w:tc>
        <w:tc>
          <w:tcPr>
            <w:tcW w:w="597" w:type="pct"/>
            <w:tcBorders>
              <w:top w:val="nil"/>
              <w:left w:val="nil"/>
              <w:bottom w:val="single" w:sz="4" w:space="0" w:color="auto"/>
              <w:right w:val="single" w:sz="4" w:space="0" w:color="auto"/>
            </w:tcBorders>
            <w:shd w:val="clear" w:color="auto" w:fill="auto"/>
            <w:noWrap/>
            <w:vAlign w:val="center"/>
            <w:hideMark/>
          </w:tcPr>
          <w:p w14:paraId="33F06E45" w14:textId="77777777" w:rsidR="00867FDB" w:rsidRPr="00341B01" w:rsidRDefault="647749C5" w:rsidP="3328C818">
            <w:pPr>
              <w:pStyle w:val="Table-Text"/>
              <w:spacing w:line="240" w:lineRule="auto"/>
              <w:contextualSpacing/>
              <w:jc w:val="center"/>
            </w:pPr>
            <w:r>
              <w:t>0.111</w:t>
            </w:r>
          </w:p>
        </w:tc>
        <w:tc>
          <w:tcPr>
            <w:tcW w:w="567" w:type="pct"/>
            <w:tcBorders>
              <w:top w:val="nil"/>
              <w:left w:val="nil"/>
              <w:bottom w:val="single" w:sz="4" w:space="0" w:color="auto"/>
              <w:right w:val="single" w:sz="4" w:space="0" w:color="auto"/>
            </w:tcBorders>
            <w:shd w:val="clear" w:color="auto" w:fill="auto"/>
            <w:noWrap/>
            <w:vAlign w:val="center"/>
            <w:hideMark/>
          </w:tcPr>
          <w:p w14:paraId="29C30B8F" w14:textId="77777777" w:rsidR="00867FDB" w:rsidRPr="00341B01" w:rsidRDefault="647749C5" w:rsidP="3328C818">
            <w:pPr>
              <w:pStyle w:val="Table-Text"/>
              <w:spacing w:line="240" w:lineRule="auto"/>
              <w:contextualSpacing/>
              <w:jc w:val="center"/>
            </w:pPr>
            <w:r>
              <w:t>5,502,464</w:t>
            </w:r>
          </w:p>
        </w:tc>
        <w:tc>
          <w:tcPr>
            <w:tcW w:w="1031" w:type="pct"/>
            <w:tcBorders>
              <w:top w:val="nil"/>
              <w:left w:val="nil"/>
              <w:bottom w:val="single" w:sz="4" w:space="0" w:color="auto"/>
              <w:right w:val="single" w:sz="4" w:space="0" w:color="auto"/>
            </w:tcBorders>
            <w:shd w:val="clear" w:color="auto" w:fill="auto"/>
            <w:noWrap/>
            <w:vAlign w:val="center"/>
            <w:hideMark/>
          </w:tcPr>
          <w:p w14:paraId="3A9F3328" w14:textId="77777777" w:rsidR="00867FDB" w:rsidRPr="00341B01" w:rsidRDefault="00867FDB" w:rsidP="00B1738B">
            <w:pPr>
              <w:pStyle w:val="Table-Text"/>
              <w:spacing w:line="240" w:lineRule="auto"/>
              <w:contextualSpacing/>
            </w:pPr>
            <w:r w:rsidRPr="00341B01">
              <w:t>Cyclone boiler</w:t>
            </w:r>
          </w:p>
        </w:tc>
        <w:tc>
          <w:tcPr>
            <w:tcW w:w="1179" w:type="pct"/>
            <w:tcBorders>
              <w:top w:val="nil"/>
              <w:left w:val="nil"/>
              <w:bottom w:val="single" w:sz="4" w:space="0" w:color="auto"/>
              <w:right w:val="single" w:sz="8" w:space="0" w:color="auto"/>
            </w:tcBorders>
            <w:shd w:val="clear" w:color="auto" w:fill="auto"/>
            <w:noWrap/>
            <w:vAlign w:val="center"/>
            <w:hideMark/>
          </w:tcPr>
          <w:p w14:paraId="087A66F1" w14:textId="77777777" w:rsidR="00867FDB" w:rsidRPr="00341B01" w:rsidRDefault="00867FDB" w:rsidP="00B1738B">
            <w:pPr>
              <w:pStyle w:val="Table-Text"/>
              <w:spacing w:line="240" w:lineRule="auto"/>
              <w:contextualSpacing/>
            </w:pPr>
            <w:r w:rsidRPr="00341B01">
              <w:t>Electrostatic Precipitator</w:t>
            </w:r>
          </w:p>
        </w:tc>
      </w:tr>
      <w:tr w:rsidR="00867FDB" w:rsidRPr="00341B01" w14:paraId="0005B36D"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AFB586B" w14:textId="77777777" w:rsidR="00867FDB" w:rsidRPr="00341B01" w:rsidRDefault="647749C5" w:rsidP="3328C818">
            <w:pPr>
              <w:pStyle w:val="Table-Text"/>
              <w:spacing w:line="240" w:lineRule="auto"/>
              <w:contextualSpacing/>
              <w:jc w:val="center"/>
            </w:pPr>
            <w:r>
              <w:t>LA</w:t>
            </w:r>
          </w:p>
        </w:tc>
        <w:tc>
          <w:tcPr>
            <w:tcW w:w="658" w:type="pct"/>
            <w:tcBorders>
              <w:top w:val="nil"/>
              <w:left w:val="nil"/>
              <w:bottom w:val="single" w:sz="4" w:space="0" w:color="auto"/>
              <w:right w:val="single" w:sz="4" w:space="0" w:color="auto"/>
            </w:tcBorders>
            <w:shd w:val="clear" w:color="auto" w:fill="auto"/>
            <w:noWrap/>
            <w:vAlign w:val="center"/>
            <w:hideMark/>
          </w:tcPr>
          <w:p w14:paraId="777BF4EF" w14:textId="77777777" w:rsidR="00867FDB" w:rsidRPr="00341B01" w:rsidRDefault="00867FDB" w:rsidP="00B1738B">
            <w:pPr>
              <w:pStyle w:val="Table-Text"/>
              <w:spacing w:line="240" w:lineRule="auto"/>
              <w:contextualSpacing/>
            </w:pPr>
            <w:r w:rsidRPr="00341B01">
              <w:t>Big Cajun 2</w:t>
            </w:r>
          </w:p>
        </w:tc>
        <w:tc>
          <w:tcPr>
            <w:tcW w:w="308" w:type="pct"/>
            <w:tcBorders>
              <w:top w:val="nil"/>
              <w:left w:val="nil"/>
              <w:bottom w:val="single" w:sz="4" w:space="0" w:color="auto"/>
              <w:right w:val="single" w:sz="4" w:space="0" w:color="auto"/>
            </w:tcBorders>
            <w:shd w:val="clear" w:color="auto" w:fill="auto"/>
            <w:noWrap/>
            <w:vAlign w:val="center"/>
            <w:hideMark/>
          </w:tcPr>
          <w:p w14:paraId="69705C86" w14:textId="77777777" w:rsidR="00867FDB" w:rsidRPr="00341B01" w:rsidRDefault="647749C5" w:rsidP="3328C818">
            <w:pPr>
              <w:pStyle w:val="Table-Text"/>
              <w:spacing w:line="240" w:lineRule="auto"/>
              <w:contextualSpacing/>
              <w:jc w:val="center"/>
            </w:pPr>
            <w:r>
              <w:t>2B1</w:t>
            </w:r>
          </w:p>
        </w:tc>
        <w:tc>
          <w:tcPr>
            <w:tcW w:w="344" w:type="pct"/>
            <w:tcBorders>
              <w:top w:val="nil"/>
              <w:left w:val="nil"/>
              <w:bottom w:val="single" w:sz="4" w:space="0" w:color="auto"/>
              <w:right w:val="single" w:sz="4" w:space="0" w:color="auto"/>
            </w:tcBorders>
            <w:shd w:val="clear" w:color="auto" w:fill="auto"/>
            <w:noWrap/>
            <w:vAlign w:val="center"/>
            <w:hideMark/>
          </w:tcPr>
          <w:p w14:paraId="169A6982" w14:textId="77777777" w:rsidR="00867FDB" w:rsidRPr="00341B01" w:rsidRDefault="647749C5" w:rsidP="3328C818">
            <w:pPr>
              <w:pStyle w:val="Table-Text"/>
              <w:spacing w:line="240" w:lineRule="auto"/>
              <w:contextualSpacing/>
              <w:jc w:val="center"/>
            </w:pPr>
            <w:r>
              <w:t>1,203</w:t>
            </w:r>
          </w:p>
        </w:tc>
        <w:tc>
          <w:tcPr>
            <w:tcW w:w="597" w:type="pct"/>
            <w:tcBorders>
              <w:top w:val="nil"/>
              <w:left w:val="nil"/>
              <w:bottom w:val="single" w:sz="4" w:space="0" w:color="auto"/>
              <w:right w:val="single" w:sz="4" w:space="0" w:color="auto"/>
            </w:tcBorders>
            <w:shd w:val="clear" w:color="auto" w:fill="auto"/>
            <w:noWrap/>
            <w:vAlign w:val="center"/>
            <w:hideMark/>
          </w:tcPr>
          <w:p w14:paraId="3CCE5820" w14:textId="77777777" w:rsidR="00867FDB" w:rsidRPr="00341B01" w:rsidRDefault="647749C5" w:rsidP="3328C818">
            <w:pPr>
              <w:pStyle w:val="Table-Text"/>
              <w:spacing w:line="240" w:lineRule="auto"/>
              <w:contextualSpacing/>
              <w:jc w:val="center"/>
            </w:pPr>
            <w:r>
              <w:t>0.342</w:t>
            </w:r>
          </w:p>
        </w:tc>
        <w:tc>
          <w:tcPr>
            <w:tcW w:w="567" w:type="pct"/>
            <w:tcBorders>
              <w:top w:val="nil"/>
              <w:left w:val="nil"/>
              <w:bottom w:val="single" w:sz="4" w:space="0" w:color="auto"/>
              <w:right w:val="single" w:sz="4" w:space="0" w:color="auto"/>
            </w:tcBorders>
            <w:shd w:val="clear" w:color="auto" w:fill="auto"/>
            <w:noWrap/>
            <w:vAlign w:val="center"/>
            <w:hideMark/>
          </w:tcPr>
          <w:p w14:paraId="53178A6E" w14:textId="77777777" w:rsidR="00867FDB" w:rsidRPr="00341B01" w:rsidRDefault="647749C5" w:rsidP="3328C818">
            <w:pPr>
              <w:pStyle w:val="Table-Text"/>
              <w:spacing w:line="240" w:lineRule="auto"/>
              <w:contextualSpacing/>
              <w:jc w:val="center"/>
            </w:pPr>
            <w:r>
              <w:t>7,032,558</w:t>
            </w:r>
          </w:p>
        </w:tc>
        <w:tc>
          <w:tcPr>
            <w:tcW w:w="1031" w:type="pct"/>
            <w:tcBorders>
              <w:top w:val="nil"/>
              <w:left w:val="nil"/>
              <w:bottom w:val="single" w:sz="4" w:space="0" w:color="auto"/>
              <w:right w:val="single" w:sz="4" w:space="0" w:color="auto"/>
            </w:tcBorders>
            <w:shd w:val="clear" w:color="auto" w:fill="auto"/>
            <w:noWrap/>
            <w:vAlign w:val="center"/>
            <w:hideMark/>
          </w:tcPr>
          <w:p w14:paraId="492690C0" w14:textId="77777777" w:rsidR="00867FDB" w:rsidRPr="00341B01" w:rsidRDefault="00867FDB" w:rsidP="00B1738B">
            <w:pPr>
              <w:pStyle w:val="Table-Text"/>
              <w:spacing w:line="240" w:lineRule="auto"/>
              <w:contextualSpacing/>
            </w:pPr>
            <w:r w:rsidRPr="00341B01">
              <w:t>Dry bottom wall-fired</w:t>
            </w:r>
          </w:p>
        </w:tc>
        <w:tc>
          <w:tcPr>
            <w:tcW w:w="1179" w:type="pct"/>
            <w:tcBorders>
              <w:top w:val="nil"/>
              <w:left w:val="nil"/>
              <w:bottom w:val="single" w:sz="4" w:space="0" w:color="auto"/>
              <w:right w:val="single" w:sz="8" w:space="0" w:color="auto"/>
            </w:tcBorders>
            <w:shd w:val="clear" w:color="auto" w:fill="auto"/>
            <w:noWrap/>
            <w:vAlign w:val="center"/>
            <w:hideMark/>
          </w:tcPr>
          <w:p w14:paraId="678BFA14" w14:textId="77777777" w:rsidR="00867FDB" w:rsidRPr="00341B01" w:rsidRDefault="00867FDB" w:rsidP="00B1738B">
            <w:pPr>
              <w:pStyle w:val="Table-Text"/>
              <w:spacing w:line="240" w:lineRule="auto"/>
              <w:contextualSpacing/>
            </w:pPr>
            <w:r w:rsidRPr="00341B01">
              <w:t>Electrostatic Precipitator</w:t>
            </w:r>
          </w:p>
        </w:tc>
      </w:tr>
      <w:tr w:rsidR="00867FDB" w:rsidRPr="00341B01" w14:paraId="39480E3B" w14:textId="77777777" w:rsidTr="3328C818">
        <w:trPr>
          <w:trHeight w:hRule="exact" w:val="288"/>
        </w:trPr>
        <w:tc>
          <w:tcPr>
            <w:tcW w:w="316" w:type="pct"/>
            <w:tcBorders>
              <w:top w:val="nil"/>
              <w:left w:val="single" w:sz="8" w:space="0" w:color="auto"/>
              <w:bottom w:val="single" w:sz="8" w:space="0" w:color="auto"/>
              <w:right w:val="single" w:sz="4" w:space="0" w:color="auto"/>
            </w:tcBorders>
            <w:shd w:val="clear" w:color="auto" w:fill="auto"/>
            <w:noWrap/>
            <w:vAlign w:val="center"/>
            <w:hideMark/>
          </w:tcPr>
          <w:p w14:paraId="75C10E1F" w14:textId="77777777" w:rsidR="00867FDB" w:rsidRPr="00341B01" w:rsidRDefault="647749C5" w:rsidP="3328C818">
            <w:pPr>
              <w:pStyle w:val="Table-Text"/>
              <w:spacing w:line="240" w:lineRule="auto"/>
              <w:contextualSpacing/>
              <w:jc w:val="center"/>
            </w:pPr>
            <w:r>
              <w:t>OR</w:t>
            </w:r>
          </w:p>
        </w:tc>
        <w:tc>
          <w:tcPr>
            <w:tcW w:w="658" w:type="pct"/>
            <w:tcBorders>
              <w:top w:val="nil"/>
              <w:left w:val="nil"/>
              <w:bottom w:val="single" w:sz="8" w:space="0" w:color="auto"/>
              <w:right w:val="single" w:sz="4" w:space="0" w:color="auto"/>
            </w:tcBorders>
            <w:shd w:val="clear" w:color="auto" w:fill="auto"/>
            <w:noWrap/>
            <w:vAlign w:val="center"/>
            <w:hideMark/>
          </w:tcPr>
          <w:p w14:paraId="0A47BDF1" w14:textId="77777777" w:rsidR="00867FDB" w:rsidRPr="00341B01" w:rsidRDefault="00867FDB" w:rsidP="00B1738B">
            <w:pPr>
              <w:pStyle w:val="Table-Text"/>
              <w:spacing w:line="240" w:lineRule="auto"/>
              <w:contextualSpacing/>
            </w:pPr>
            <w:r w:rsidRPr="00341B01">
              <w:t>Boardman</w:t>
            </w:r>
          </w:p>
        </w:tc>
        <w:tc>
          <w:tcPr>
            <w:tcW w:w="308" w:type="pct"/>
            <w:tcBorders>
              <w:top w:val="nil"/>
              <w:left w:val="nil"/>
              <w:bottom w:val="single" w:sz="8" w:space="0" w:color="auto"/>
              <w:right w:val="single" w:sz="4" w:space="0" w:color="auto"/>
            </w:tcBorders>
            <w:shd w:val="clear" w:color="auto" w:fill="auto"/>
            <w:noWrap/>
            <w:vAlign w:val="center"/>
            <w:hideMark/>
          </w:tcPr>
          <w:p w14:paraId="7D4E7F91" w14:textId="77777777" w:rsidR="00867FDB" w:rsidRPr="00341B01" w:rsidRDefault="647749C5" w:rsidP="3328C818">
            <w:pPr>
              <w:pStyle w:val="Table-Text"/>
              <w:spacing w:line="240" w:lineRule="auto"/>
              <w:contextualSpacing/>
              <w:jc w:val="center"/>
            </w:pPr>
            <w:r>
              <w:t>1SG</w:t>
            </w:r>
          </w:p>
        </w:tc>
        <w:tc>
          <w:tcPr>
            <w:tcW w:w="344" w:type="pct"/>
            <w:tcBorders>
              <w:top w:val="nil"/>
              <w:left w:val="nil"/>
              <w:bottom w:val="single" w:sz="8" w:space="0" w:color="auto"/>
              <w:right w:val="single" w:sz="4" w:space="0" w:color="auto"/>
            </w:tcBorders>
            <w:shd w:val="clear" w:color="auto" w:fill="auto"/>
            <w:noWrap/>
            <w:vAlign w:val="center"/>
            <w:hideMark/>
          </w:tcPr>
          <w:p w14:paraId="4780E6A5" w14:textId="77777777" w:rsidR="00867FDB" w:rsidRPr="00341B01" w:rsidRDefault="00867FDB" w:rsidP="3328C818">
            <w:pPr>
              <w:pStyle w:val="Table-Text"/>
              <w:spacing w:line="240" w:lineRule="auto"/>
              <w:contextualSpacing/>
              <w:jc w:val="center"/>
            </w:pPr>
          </w:p>
        </w:tc>
        <w:tc>
          <w:tcPr>
            <w:tcW w:w="597" w:type="pct"/>
            <w:tcBorders>
              <w:top w:val="nil"/>
              <w:left w:val="nil"/>
              <w:bottom w:val="single" w:sz="8" w:space="0" w:color="auto"/>
              <w:right w:val="single" w:sz="4" w:space="0" w:color="auto"/>
            </w:tcBorders>
            <w:shd w:val="clear" w:color="auto" w:fill="auto"/>
            <w:noWrap/>
            <w:vAlign w:val="center"/>
            <w:hideMark/>
          </w:tcPr>
          <w:p w14:paraId="371D2348" w14:textId="77777777" w:rsidR="00867FDB" w:rsidRPr="00341B01" w:rsidRDefault="00867FDB" w:rsidP="3328C818">
            <w:pPr>
              <w:pStyle w:val="Table-Text"/>
              <w:spacing w:line="240" w:lineRule="auto"/>
              <w:contextualSpacing/>
              <w:jc w:val="center"/>
            </w:pPr>
          </w:p>
        </w:tc>
        <w:tc>
          <w:tcPr>
            <w:tcW w:w="567" w:type="pct"/>
            <w:tcBorders>
              <w:top w:val="nil"/>
              <w:left w:val="nil"/>
              <w:bottom w:val="single" w:sz="8" w:space="0" w:color="auto"/>
              <w:right w:val="single" w:sz="4" w:space="0" w:color="auto"/>
            </w:tcBorders>
            <w:shd w:val="clear" w:color="auto" w:fill="auto"/>
            <w:noWrap/>
            <w:vAlign w:val="center"/>
            <w:hideMark/>
          </w:tcPr>
          <w:p w14:paraId="73DF44BD" w14:textId="77777777" w:rsidR="00867FDB" w:rsidRPr="00341B01" w:rsidRDefault="00867FDB" w:rsidP="3328C818">
            <w:pPr>
              <w:pStyle w:val="Table-Text"/>
              <w:spacing w:line="240" w:lineRule="auto"/>
              <w:contextualSpacing/>
              <w:jc w:val="center"/>
            </w:pPr>
          </w:p>
        </w:tc>
        <w:tc>
          <w:tcPr>
            <w:tcW w:w="1031" w:type="pct"/>
            <w:tcBorders>
              <w:top w:val="nil"/>
              <w:left w:val="nil"/>
              <w:bottom w:val="single" w:sz="8" w:space="0" w:color="auto"/>
              <w:right w:val="single" w:sz="4" w:space="0" w:color="auto"/>
            </w:tcBorders>
            <w:shd w:val="clear" w:color="auto" w:fill="auto"/>
            <w:noWrap/>
            <w:vAlign w:val="center"/>
            <w:hideMark/>
          </w:tcPr>
          <w:p w14:paraId="575D00B8" w14:textId="77777777" w:rsidR="00867FDB" w:rsidRPr="00341B01" w:rsidRDefault="00867FDB" w:rsidP="00B1738B">
            <w:pPr>
              <w:pStyle w:val="Table-Text"/>
              <w:spacing w:line="240" w:lineRule="auto"/>
              <w:contextualSpacing/>
            </w:pPr>
            <w:r w:rsidRPr="00341B01">
              <w:t>Dry bottom wall-fired</w:t>
            </w:r>
          </w:p>
        </w:tc>
        <w:tc>
          <w:tcPr>
            <w:tcW w:w="1179" w:type="pct"/>
            <w:tcBorders>
              <w:top w:val="nil"/>
              <w:left w:val="nil"/>
              <w:bottom w:val="single" w:sz="8" w:space="0" w:color="auto"/>
              <w:right w:val="single" w:sz="8" w:space="0" w:color="auto"/>
            </w:tcBorders>
            <w:shd w:val="clear" w:color="auto" w:fill="auto"/>
            <w:noWrap/>
            <w:vAlign w:val="center"/>
            <w:hideMark/>
          </w:tcPr>
          <w:p w14:paraId="25F168A3" w14:textId="77777777" w:rsidR="00867FDB" w:rsidRPr="00341B01" w:rsidRDefault="00867FDB" w:rsidP="00B1738B">
            <w:pPr>
              <w:pStyle w:val="Table-Text"/>
              <w:spacing w:line="240" w:lineRule="auto"/>
              <w:contextualSpacing/>
            </w:pPr>
            <w:r w:rsidRPr="00341B01">
              <w:t>Electrostatic Precipitator</w:t>
            </w:r>
          </w:p>
        </w:tc>
      </w:tr>
    </w:tbl>
    <w:p w14:paraId="0F88DFFD" w14:textId="2D35137C" w:rsidR="00900E3D" w:rsidRDefault="00900E3D" w:rsidP="00B1738B">
      <w:pPr>
        <w:spacing w:line="240" w:lineRule="auto"/>
        <w:contextualSpacing/>
        <w:rPr>
          <w:bCs/>
        </w:rPr>
      </w:pPr>
    </w:p>
    <w:p w14:paraId="1D21F94D" w14:textId="77777777" w:rsidR="00293E74" w:rsidRDefault="00293E74">
      <w:pPr>
        <w:rPr>
          <w:rFonts w:asciiTheme="majorHAnsi" w:eastAsiaTheme="majorEastAsia" w:hAnsiTheme="majorHAnsi" w:cstheme="majorBidi"/>
          <w:i/>
          <w:iCs/>
          <w:color w:val="2F5496" w:themeColor="accent1" w:themeShade="BF"/>
        </w:rPr>
      </w:pPr>
      <w:r>
        <w:br w:type="page"/>
      </w:r>
    </w:p>
    <w:p w14:paraId="5DA0D5C2" w14:textId="77777777" w:rsidR="00B1738B" w:rsidRDefault="00B1738B" w:rsidP="00B1738B">
      <w:pPr>
        <w:pStyle w:val="Heading4"/>
        <w:spacing w:line="240" w:lineRule="auto"/>
        <w:contextualSpacing/>
      </w:pPr>
      <w:r>
        <w:t>Statutory Factor 1: Cost of Compliance</w:t>
      </w:r>
    </w:p>
    <w:p w14:paraId="5E626868" w14:textId="77777777" w:rsidR="00B1738B" w:rsidRDefault="00B1738B" w:rsidP="00B1738B">
      <w:pPr>
        <w:spacing w:line="240" w:lineRule="auto"/>
        <w:contextualSpacing/>
        <w:rPr>
          <w:bCs/>
        </w:rPr>
      </w:pPr>
    </w:p>
    <w:p w14:paraId="6FEEDE74" w14:textId="7E35509C" w:rsidR="00867FDB" w:rsidRPr="00751BAD" w:rsidRDefault="00867FDB" w:rsidP="00B1738B">
      <w:pPr>
        <w:spacing w:line="240" w:lineRule="auto"/>
        <w:contextualSpacing/>
        <w:rPr>
          <w:bCs/>
        </w:rPr>
      </w:pPr>
      <w:r w:rsidRPr="00751BAD">
        <w:rPr>
          <w:bCs/>
        </w:rPr>
        <w:t>In its 2022 submittal, HDR states:</w:t>
      </w:r>
    </w:p>
    <w:p w14:paraId="39D8F490" w14:textId="77777777" w:rsidR="00867FDB" w:rsidRPr="00751BAD" w:rsidRDefault="00867FDB" w:rsidP="00B1738B">
      <w:pPr>
        <w:pStyle w:val="Quote"/>
        <w:spacing w:line="240" w:lineRule="auto"/>
        <w:contextualSpacing/>
      </w:pPr>
      <w:r w:rsidRPr="00751BAD">
        <w:t>American Crystal Sugar Company (ACSCC) obtained site-specific vendor quotes for Dry Sorbent Injection (DSI) equipment in order to verify estimated capital equipment and annual operating costs included in the original Four Factor Analysis (FFA) for the ACSCC East Grand Forks (EGF) and Crookston (CRK) facilities.</w:t>
      </w:r>
    </w:p>
    <w:p w14:paraId="6938B25C" w14:textId="575A202F" w:rsidR="003B5841" w:rsidRDefault="003F31CF" w:rsidP="007C48DE">
      <w:pPr>
        <w:spacing w:line="240" w:lineRule="auto"/>
        <w:contextualSpacing/>
        <w:rPr>
          <w:bCs/>
        </w:rPr>
      </w:pPr>
      <w:r>
        <w:rPr>
          <w:bCs/>
        </w:rPr>
        <w:t xml:space="preserve">However, it did not provide the vendor information supporting </w:t>
      </w:r>
      <w:r w:rsidR="003B5841">
        <w:rPr>
          <w:bCs/>
        </w:rPr>
        <w:t xml:space="preserve">its </w:t>
      </w:r>
      <w:r>
        <w:rPr>
          <w:bCs/>
        </w:rPr>
        <w:t>costs for DSI (and a new baghouse</w:t>
      </w:r>
      <w:r w:rsidR="003B5841">
        <w:rPr>
          <w:bCs/>
        </w:rPr>
        <w:t>)</w:t>
      </w:r>
      <w:r w:rsidR="00635646">
        <w:rPr>
          <w:bCs/>
        </w:rPr>
        <w:t xml:space="preserve"> and NPS cannot evaluate the use of that information</w:t>
      </w:r>
      <w:r w:rsidR="003B5841">
        <w:rPr>
          <w:bCs/>
        </w:rPr>
        <w:t>.</w:t>
      </w:r>
      <w:r>
        <w:rPr>
          <w:bCs/>
        </w:rPr>
        <w:t xml:space="preserve"> </w:t>
      </w:r>
    </w:p>
    <w:p w14:paraId="34BD71A2" w14:textId="77777777" w:rsidR="003B5841" w:rsidRDefault="003B5841" w:rsidP="007C48DE">
      <w:pPr>
        <w:spacing w:line="240" w:lineRule="auto"/>
        <w:contextualSpacing/>
        <w:rPr>
          <w:bCs/>
        </w:rPr>
      </w:pPr>
    </w:p>
    <w:p w14:paraId="12DC40D5" w14:textId="3F1F744D" w:rsidR="007C48DE" w:rsidRPr="00751BAD" w:rsidRDefault="00867FDB" w:rsidP="007C48DE">
      <w:pPr>
        <w:spacing w:line="240" w:lineRule="auto"/>
        <w:contextualSpacing/>
      </w:pPr>
      <w:r>
        <w:rPr>
          <w:bCs/>
        </w:rPr>
        <w:t>In the revised analysis</w:t>
      </w:r>
      <w:r w:rsidR="00900E3D">
        <w:rPr>
          <w:bCs/>
        </w:rPr>
        <w:t>,</w:t>
      </w:r>
      <w:r>
        <w:rPr>
          <w:bCs/>
        </w:rPr>
        <w:t xml:space="preserve"> </w:t>
      </w:r>
      <w:r w:rsidRPr="00751BAD">
        <w:rPr>
          <w:bCs/>
        </w:rPr>
        <w:t>HDR’s cost-effectiveness of DSI increased to above $10,000/ton. Many of the costs in ACSC’s Tables 4 &amp; 5 and HDR’s Table 2 are overestimated</w:t>
      </w:r>
      <w:r w:rsidR="007C48DE">
        <w:rPr>
          <w:bCs/>
        </w:rPr>
        <w:t xml:space="preserve"> and </w:t>
      </w:r>
      <w:r w:rsidR="007C48DE">
        <w:t>NPS</w:t>
      </w:r>
      <w:r w:rsidR="007C48DE" w:rsidRPr="00751BAD">
        <w:t xml:space="preserve"> review of the HDR submittal </w:t>
      </w:r>
      <w:r w:rsidR="007C48DE">
        <w:t>identifies</w:t>
      </w:r>
      <w:r w:rsidR="007C48DE" w:rsidRPr="00751BAD">
        <w:t xml:space="preserve"> these issues:</w:t>
      </w:r>
    </w:p>
    <w:p w14:paraId="1B01ABAD" w14:textId="050845B0" w:rsidR="00867FDB" w:rsidRDefault="00867FDB" w:rsidP="00B1738B">
      <w:pPr>
        <w:pStyle w:val="ListParagraph"/>
      </w:pPr>
      <w:bookmarkStart w:id="19" w:name="_Hlk101169593"/>
      <w:r w:rsidRPr="00751BAD">
        <w:t xml:space="preserve">ACSC used a 20-year life for DSI; the CCM recommends 30 years for </w:t>
      </w:r>
      <w:r w:rsidRPr="00A9462F">
        <w:t>SO</w:t>
      </w:r>
      <w:r w:rsidRPr="00A9462F">
        <w:rPr>
          <w:vertAlign w:val="subscript"/>
        </w:rPr>
        <w:t>2</w:t>
      </w:r>
      <w:r w:rsidRPr="00751BAD">
        <w:t xml:space="preserve"> scrubbers.</w:t>
      </w:r>
    </w:p>
    <w:p w14:paraId="532A2B63" w14:textId="58B673F6" w:rsidR="007C48DE" w:rsidRDefault="007C48DE" w:rsidP="007C48DE">
      <w:pPr>
        <w:pStyle w:val="ListParagraph"/>
      </w:pPr>
      <w:bookmarkStart w:id="20" w:name="_Hlk101169476"/>
      <w:r w:rsidRPr="00B65AE3">
        <w:t>ACSC</w:t>
      </w:r>
      <w:r>
        <w:t>’s</w:t>
      </w:r>
      <w:r w:rsidRPr="00B65AE3">
        <w:t xml:space="preserve"> </w:t>
      </w:r>
      <w:r>
        <w:t>four-factor analyses assume</w:t>
      </w:r>
      <w:r w:rsidRPr="00B65AE3">
        <w:t xml:space="preserve"> that DSI </w:t>
      </w:r>
      <w:r>
        <w:t xml:space="preserve">with milled trona and a baghouse </w:t>
      </w:r>
      <w:r w:rsidRPr="00B65AE3">
        <w:t xml:space="preserve">can achieve </w:t>
      </w:r>
      <w:r w:rsidR="0048455A">
        <w:t>70</w:t>
      </w:r>
      <w:r w:rsidRPr="00B65AE3">
        <w:t>% control</w:t>
      </w:r>
      <w:r>
        <w:t xml:space="preserve"> versus 90% control in the S&amp;L IPM model.</w:t>
      </w:r>
    </w:p>
    <w:p w14:paraId="30403616" w14:textId="37334787" w:rsidR="007C48DE" w:rsidRPr="00751BAD" w:rsidRDefault="007C48DE" w:rsidP="00EA0940">
      <w:pPr>
        <w:pStyle w:val="ListParagraph"/>
      </w:pPr>
      <w:r w:rsidRPr="00751BAD">
        <w:t>HDR proposes to “Extend three stacks to 200 ft.”</w:t>
      </w:r>
      <w:r>
        <w:t xml:space="preserve"> </w:t>
      </w:r>
      <w:r w:rsidRPr="007C48DE">
        <w:rPr>
          <w:bCs/>
        </w:rPr>
        <w:t xml:space="preserve">It is unclear why it would be necessary to extend three stacks to 200ft as HDR proposes. This likely represents an </w:t>
      </w:r>
      <w:r w:rsidRPr="003B5841">
        <w:rPr>
          <w:bCs/>
        </w:rPr>
        <w:t>unjustified</w:t>
      </w:r>
      <w:r w:rsidRPr="007C48DE">
        <w:rPr>
          <w:bCs/>
        </w:rPr>
        <w:t xml:space="preserve"> expense. </w:t>
      </w:r>
    </w:p>
    <w:bookmarkEnd w:id="20"/>
    <w:p w14:paraId="2A23DD85" w14:textId="013A9A8F" w:rsidR="00867FDB" w:rsidRPr="00751BAD" w:rsidRDefault="00867FDB" w:rsidP="00B1738B">
      <w:pPr>
        <w:pStyle w:val="ListParagraph"/>
      </w:pPr>
      <w:r w:rsidRPr="00751BAD">
        <w:t xml:space="preserve">ACSC stated that Boilers 1 &amp; 2 have rated capacities of 137 </w:t>
      </w:r>
      <w:proofErr w:type="spellStart"/>
      <w:r w:rsidRPr="00751BAD">
        <w:t>mmBtu</w:t>
      </w:r>
      <w:proofErr w:type="spellEnd"/>
      <w:r w:rsidRPr="00751BAD">
        <w:t>/</w:t>
      </w:r>
      <w:proofErr w:type="spellStart"/>
      <w:r w:rsidRPr="00751BAD">
        <w:t>hr</w:t>
      </w:r>
      <w:proofErr w:type="spellEnd"/>
      <w:r w:rsidRPr="00751BAD">
        <w:t xml:space="preserve"> and that annual </w:t>
      </w:r>
      <w:r w:rsidRPr="00A9462F">
        <w:t>SO</w:t>
      </w:r>
      <w:r w:rsidRPr="00A9462F">
        <w:rPr>
          <w:vertAlign w:val="subscript"/>
        </w:rPr>
        <w:t>2</w:t>
      </w:r>
      <w:r w:rsidRPr="00751BAD">
        <w:t xml:space="preserve"> emissions are 241 tons at 0.37 </w:t>
      </w:r>
      <w:proofErr w:type="spellStart"/>
      <w:r w:rsidRPr="00751BAD">
        <w:t>lb</w:t>
      </w:r>
      <w:proofErr w:type="spellEnd"/>
      <w:r w:rsidRPr="00751BAD">
        <w:t>/</w:t>
      </w:r>
      <w:proofErr w:type="spellStart"/>
      <w:r w:rsidRPr="00751BAD">
        <w:t>mmBtu</w:t>
      </w:r>
      <w:proofErr w:type="spellEnd"/>
      <w:r w:rsidRPr="00751BAD">
        <w:t xml:space="preserve">. However, at maximum capacity, Boilers 1 &amp; 2 can emit no more than 222 </w:t>
      </w:r>
      <w:proofErr w:type="spellStart"/>
      <w:r w:rsidRPr="00751BAD">
        <w:t>tpy</w:t>
      </w:r>
      <w:proofErr w:type="spellEnd"/>
      <w:r w:rsidRPr="00751BAD">
        <w:t>.</w:t>
      </w:r>
    </w:p>
    <w:p w14:paraId="5E25F5B0" w14:textId="56377768" w:rsidR="003B5841" w:rsidRDefault="00867FDB" w:rsidP="003B5841">
      <w:pPr>
        <w:pStyle w:val="Default"/>
      </w:pPr>
      <w:bookmarkStart w:id="21" w:name="_Hlk105480442"/>
      <w:bookmarkEnd w:id="19"/>
      <w:r w:rsidRPr="00751BAD">
        <w:t xml:space="preserve">MPCA appears to have used much of the HDR cost estimates </w:t>
      </w:r>
      <w:r>
        <w:t xml:space="preserve">without addressing </w:t>
      </w:r>
      <w:r w:rsidR="00635646">
        <w:t xml:space="preserve">all of </w:t>
      </w:r>
      <w:r>
        <w:t>these issues</w:t>
      </w:r>
      <w:r w:rsidRPr="00751BAD">
        <w:t xml:space="preserve">. </w:t>
      </w:r>
    </w:p>
    <w:p w14:paraId="253C3E8E" w14:textId="2FA3637B" w:rsidR="00635646" w:rsidRDefault="647749C5" w:rsidP="003B5841">
      <w:pPr>
        <w:pStyle w:val="Default"/>
      </w:pPr>
      <w:r>
        <w:t>The NPS also questions the cost of a new fabric filter</w:t>
      </w:r>
      <w:r w:rsidR="692492A4">
        <w:t xml:space="preserve"> baghouse</w:t>
      </w:r>
      <w:r w:rsidR="223945C6">
        <w:t xml:space="preserve">. HDR </w:t>
      </w:r>
      <w:r w:rsidR="0D1457AB">
        <w:t>refers to a</w:t>
      </w:r>
      <w:r w:rsidR="223945C6">
        <w:t xml:space="preserve"> “Capital equipment cost provided by vendor and scaled for capacity” but does not provide the actual vendor quote.</w:t>
      </w:r>
      <w:r>
        <w:t xml:space="preserve"> </w:t>
      </w:r>
      <w:bookmarkStart w:id="22" w:name="_Hlk105480512"/>
      <w:bookmarkEnd w:id="21"/>
    </w:p>
    <w:p w14:paraId="46EBBDFB" w14:textId="615CE0BC" w:rsidR="00867FDB" w:rsidRPr="003B5841" w:rsidRDefault="00635646" w:rsidP="003B5841">
      <w:pPr>
        <w:pStyle w:val="Default"/>
      </w:pPr>
      <w:r>
        <w:t xml:space="preserve">In the absence of site-specific vendor information, </w:t>
      </w:r>
      <w:r w:rsidR="00867FDB" w:rsidRPr="003B5841">
        <w:t>NPS analyses applied the current EPA CCM workbooks for wet and dry scrubbers, ESPs, and baghouses, as well as the current S&amp;L model for DSI with milled trona and:</w:t>
      </w:r>
    </w:p>
    <w:p w14:paraId="5CE411EF" w14:textId="3E77EC62" w:rsidR="00867FDB" w:rsidRPr="00751BAD" w:rsidRDefault="00867FDB" w:rsidP="00B1738B">
      <w:pPr>
        <w:pStyle w:val="ListParagraph"/>
      </w:pPr>
      <w:r w:rsidRPr="00751BAD">
        <w:t xml:space="preserve">the existing ESP at </w:t>
      </w:r>
      <w:r w:rsidR="00900E3D">
        <w:t>4</w:t>
      </w:r>
      <w:r w:rsidRPr="00751BAD">
        <w:t>0% control</w:t>
      </w:r>
    </w:p>
    <w:p w14:paraId="3490F02A" w14:textId="2854ABD1" w:rsidR="00867FDB" w:rsidRPr="00751BAD" w:rsidRDefault="00867FDB" w:rsidP="00B1738B">
      <w:pPr>
        <w:pStyle w:val="ListParagraph"/>
      </w:pPr>
      <w:r w:rsidRPr="00751BAD">
        <w:t xml:space="preserve">a baghouse at 80% </w:t>
      </w:r>
      <w:r w:rsidRPr="00A9462F">
        <w:t>SO</w:t>
      </w:r>
      <w:r w:rsidRPr="00A9462F">
        <w:rPr>
          <w:vertAlign w:val="subscript"/>
        </w:rPr>
        <w:t>2</w:t>
      </w:r>
      <w:r w:rsidRPr="00751BAD">
        <w:t xml:space="preserve"> control </w:t>
      </w:r>
    </w:p>
    <w:bookmarkEnd w:id="22"/>
    <w:p w14:paraId="208DA599" w14:textId="5823ECD8" w:rsidR="00867FDB" w:rsidRDefault="00867FDB" w:rsidP="00B1738B">
      <w:pPr>
        <w:spacing w:line="240" w:lineRule="auto"/>
        <w:contextualSpacing/>
      </w:pPr>
      <w:r>
        <w:rPr>
          <w:bCs/>
        </w:rPr>
        <w:t>NPS analyses</w:t>
      </w:r>
      <w:r w:rsidRPr="00751BAD">
        <w:rPr>
          <w:bCs/>
        </w:rPr>
        <w:t xml:space="preserve"> applied a retrofit factor = 1.0 assuming that the new baghouses could be installed within the footprint of, or inside the shells of, the ESPs. </w:t>
      </w:r>
      <w:r>
        <w:t>NPS</w:t>
      </w:r>
      <w:r w:rsidRPr="00751BAD">
        <w:t xml:space="preserve"> assumed equipment lives of 30 years for </w:t>
      </w:r>
      <w:r w:rsidR="00983AD3">
        <w:t>DSI</w:t>
      </w:r>
      <w:r w:rsidRPr="00751BAD">
        <w:t xml:space="preserve"> and 20 years for a new baghouse.</w:t>
      </w:r>
    </w:p>
    <w:p w14:paraId="7541F461" w14:textId="77777777" w:rsidR="003F33CB" w:rsidRPr="00751BAD" w:rsidRDefault="003F33CB" w:rsidP="00B1738B">
      <w:pPr>
        <w:spacing w:line="240" w:lineRule="auto"/>
        <w:contextualSpacing/>
      </w:pPr>
    </w:p>
    <w:p w14:paraId="030CE027" w14:textId="5089BAF6" w:rsidR="00867FDB" w:rsidRDefault="00867FDB" w:rsidP="00B1738B">
      <w:pPr>
        <w:spacing w:line="240" w:lineRule="auto"/>
        <w:contextualSpacing/>
      </w:pPr>
      <w:r>
        <w:t>The NPS</w:t>
      </w:r>
      <w:r w:rsidRPr="00751BAD">
        <w:t xml:space="preserve"> </w:t>
      </w:r>
      <w:r>
        <w:t xml:space="preserve">analysis </w:t>
      </w:r>
      <w:r w:rsidRPr="00751BAD">
        <w:t xml:space="preserve">used the CCM to estimate </w:t>
      </w:r>
      <w:r w:rsidR="00E25819" w:rsidRPr="00751BAD">
        <w:t xml:space="preserve">operating cost savings </w:t>
      </w:r>
      <w:r w:rsidR="00E25819">
        <w:t xml:space="preserve">due to </w:t>
      </w:r>
      <w:r w:rsidRPr="00751BAD">
        <w:t xml:space="preserve">ESP </w:t>
      </w:r>
      <w:r w:rsidR="00E25819">
        <w:t xml:space="preserve">removal </w:t>
      </w:r>
      <w:r w:rsidRPr="00751BAD">
        <w:t xml:space="preserve">(see ESP workbook). ESP purchased equipment costs </w:t>
      </w:r>
      <w:r>
        <w:t xml:space="preserve">were scaled </w:t>
      </w:r>
      <w:r w:rsidRPr="00751BAD">
        <w:t xml:space="preserve">up from the CCM example using the six-tenths power rule based upon gas flow provided by ACSC. </w:t>
      </w:r>
      <w:r>
        <w:t>O</w:t>
      </w:r>
      <w:r w:rsidRPr="00751BAD">
        <w:t xml:space="preserve">ther costs </w:t>
      </w:r>
      <w:r>
        <w:t xml:space="preserve">were scaled </w:t>
      </w:r>
      <w:r w:rsidRPr="00751BAD">
        <w:t xml:space="preserve">up based upon a straight gas flow ratio. </w:t>
      </w:r>
      <w:r>
        <w:t>T</w:t>
      </w:r>
      <w:r w:rsidRPr="00751BAD">
        <w:t xml:space="preserve">he CEPCI </w:t>
      </w:r>
      <w:r w:rsidR="00983AD3">
        <w:t>2019</w:t>
      </w:r>
      <w:r w:rsidRPr="00751BAD">
        <w:t>/1987 ratio</w:t>
      </w:r>
      <w:r>
        <w:t xml:space="preserve"> was applied</w:t>
      </w:r>
      <w:r w:rsidRPr="00751BAD">
        <w:t xml:space="preserve"> to estimate total capital investment. </w:t>
      </w:r>
      <w:r>
        <w:t>The NPS</w:t>
      </w:r>
      <w:r w:rsidRPr="00751BAD">
        <w:t xml:space="preserve"> included ACSC’s $200,000 for demolition of the ESPs and estimate that saved ESP operating costs would be about $550,000/yr.</w:t>
      </w:r>
    </w:p>
    <w:p w14:paraId="0845D05C" w14:textId="77777777" w:rsidR="00E25819" w:rsidRPr="00751BAD" w:rsidRDefault="00E25819" w:rsidP="00B1738B">
      <w:pPr>
        <w:spacing w:line="240" w:lineRule="auto"/>
        <w:contextualSpacing/>
      </w:pPr>
    </w:p>
    <w:p w14:paraId="380B6A19" w14:textId="6131FC59" w:rsidR="00867FDB" w:rsidRDefault="00867FDB" w:rsidP="00B1738B">
      <w:pPr>
        <w:spacing w:line="240" w:lineRule="auto"/>
        <w:contextualSpacing/>
      </w:pPr>
      <w:r>
        <w:t>The NPS analysis</w:t>
      </w:r>
      <w:r w:rsidRPr="00751BAD">
        <w:t xml:space="preserve"> used the CCM to estimate baghouse costs (see baghouse workbook). </w:t>
      </w:r>
      <w:r>
        <w:t>S</w:t>
      </w:r>
      <w:r w:rsidRPr="00751BAD">
        <w:t xml:space="preserve">ome baghouse purchased equipment costs </w:t>
      </w:r>
      <w:r>
        <w:t xml:space="preserve">were scaled </w:t>
      </w:r>
      <w:r w:rsidRPr="00751BAD">
        <w:t xml:space="preserve">up from the CCM example using the six-tenths power rule based upon gas flow provided by ACSC. </w:t>
      </w:r>
      <w:r>
        <w:t>O</w:t>
      </w:r>
      <w:r w:rsidRPr="00751BAD">
        <w:t xml:space="preserve">ther equipment costs </w:t>
      </w:r>
      <w:r>
        <w:t xml:space="preserve">were scaled </w:t>
      </w:r>
      <w:r w:rsidRPr="00751BAD">
        <w:t xml:space="preserve">up based upon a straight gas flow ratio. </w:t>
      </w:r>
      <w:r>
        <w:t>T</w:t>
      </w:r>
      <w:r w:rsidRPr="00751BAD">
        <w:t>he CEPCI 20</w:t>
      </w:r>
      <w:r w:rsidR="00983AD3">
        <w:t>19</w:t>
      </w:r>
      <w:r w:rsidRPr="00751BAD">
        <w:t xml:space="preserve">/1998 ratio to estimate total capital investment. </w:t>
      </w:r>
    </w:p>
    <w:p w14:paraId="55AACF20" w14:textId="77777777" w:rsidR="00B441E5" w:rsidRDefault="00B441E5" w:rsidP="00B1738B">
      <w:pPr>
        <w:spacing w:line="240" w:lineRule="auto"/>
        <w:contextualSpacing/>
      </w:pPr>
    </w:p>
    <w:p w14:paraId="027E0BD8" w14:textId="5CE18C5C" w:rsidR="00B441E5" w:rsidRDefault="00983AD3" w:rsidP="00B448C7">
      <w:pPr>
        <w:pStyle w:val="Caption"/>
      </w:pPr>
      <w:r>
        <w:t xml:space="preserve">Table </w:t>
      </w:r>
      <w:r>
        <w:fldChar w:fldCharType="begin"/>
      </w:r>
      <w:r>
        <w:instrText>SEQ Table \* ARABIC</w:instrText>
      </w:r>
      <w:r>
        <w:fldChar w:fldCharType="separate"/>
      </w:r>
      <w:r w:rsidR="00A402DD">
        <w:rPr>
          <w:noProof/>
        </w:rPr>
        <w:t>3</w:t>
      </w:r>
      <w:r>
        <w:fldChar w:fldCharType="end"/>
      </w:r>
      <w:r>
        <w:t xml:space="preserve">. NPS </w:t>
      </w:r>
      <w:r w:rsidRPr="00A9462F">
        <w:t>SO</w:t>
      </w:r>
      <w:r w:rsidRPr="00A9462F">
        <w:rPr>
          <w:vertAlign w:val="subscript"/>
        </w:rPr>
        <w:t>2</w:t>
      </w:r>
      <w:r>
        <w:t xml:space="preserve"> Control Cost Estimates for DSI at ACSC</w:t>
      </w:r>
    </w:p>
    <w:tbl>
      <w:tblPr>
        <w:tblW w:w="5000" w:type="pct"/>
        <w:tblLook w:val="04A0" w:firstRow="1" w:lastRow="0" w:firstColumn="1" w:lastColumn="0" w:noHBand="0" w:noVBand="1"/>
      </w:tblPr>
      <w:tblGrid>
        <w:gridCol w:w="4041"/>
        <w:gridCol w:w="1315"/>
        <w:gridCol w:w="1466"/>
        <w:gridCol w:w="1259"/>
        <w:gridCol w:w="1259"/>
      </w:tblGrid>
      <w:tr w:rsidR="00983AD3" w:rsidRPr="00983AD3" w14:paraId="7F56E885" w14:textId="77777777" w:rsidTr="3328C818">
        <w:trPr>
          <w:trHeight w:val="290"/>
        </w:trPr>
        <w:tc>
          <w:tcPr>
            <w:tcW w:w="21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142962" w14:textId="77777777" w:rsidR="00983AD3" w:rsidRPr="00983AD3" w:rsidRDefault="00983AD3" w:rsidP="001B0492">
            <w:pPr>
              <w:pStyle w:val="Table-Text"/>
              <w:rPr>
                <w:rFonts w:eastAsia="Times New Roman" w:cs="Times New Roman"/>
                <w:color w:val="000000"/>
              </w:rPr>
            </w:pPr>
            <w:r w:rsidRPr="001B0492">
              <w:rPr>
                <w:b/>
              </w:rPr>
              <w:t>ACS CRK Boilers 1, 2 &amp; 3</w:t>
            </w:r>
          </w:p>
        </w:tc>
        <w:tc>
          <w:tcPr>
            <w:tcW w:w="2837" w:type="pct"/>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465C7D" w14:textId="77777777" w:rsidR="00983AD3" w:rsidRPr="00983AD3" w:rsidRDefault="00983AD3" w:rsidP="001B0492">
            <w:pPr>
              <w:pStyle w:val="Table-Text"/>
              <w:rPr>
                <w:rFonts w:eastAsia="Times New Roman" w:cs="Times New Roman"/>
                <w:color w:val="000000"/>
              </w:rPr>
            </w:pPr>
            <w:r w:rsidRPr="001B0492">
              <w:rPr>
                <w:b/>
              </w:rPr>
              <w:t>Combined DSI w Milled Trona</w:t>
            </w:r>
          </w:p>
        </w:tc>
      </w:tr>
      <w:tr w:rsidR="00983AD3" w:rsidRPr="00983AD3" w14:paraId="43411F1B" w14:textId="77777777" w:rsidTr="3328C818">
        <w:trPr>
          <w:trHeight w:val="600"/>
        </w:trPr>
        <w:tc>
          <w:tcPr>
            <w:tcW w:w="21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233099" w14:textId="77777777" w:rsidR="00983AD3" w:rsidRPr="00983AD3" w:rsidRDefault="00983AD3" w:rsidP="001B0492">
            <w:pPr>
              <w:pStyle w:val="Table-Text"/>
              <w:rPr>
                <w:rFonts w:eastAsia="Times New Roman" w:cs="Times New Roman"/>
                <w:color w:val="000000"/>
              </w:rPr>
            </w:pPr>
            <w:r w:rsidRPr="001B0492">
              <w:rPr>
                <w:b/>
              </w:rPr>
              <w:t>Control Technology</w:t>
            </w:r>
          </w:p>
        </w:tc>
        <w:tc>
          <w:tcPr>
            <w:tcW w:w="70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33ADEF1" w14:textId="77777777" w:rsidR="00983AD3" w:rsidRPr="00983AD3" w:rsidRDefault="486E9EBF" w:rsidP="3328C818">
            <w:pPr>
              <w:pStyle w:val="Table-Text"/>
              <w:jc w:val="center"/>
              <w:rPr>
                <w:rFonts w:eastAsia="Times New Roman" w:cs="Times New Roman"/>
                <w:color w:val="000000"/>
              </w:rPr>
            </w:pPr>
            <w:r w:rsidRPr="3328C818">
              <w:rPr>
                <w:b/>
                <w:bCs/>
              </w:rPr>
              <w:t>w Existing ESP</w:t>
            </w:r>
          </w:p>
        </w:tc>
        <w:tc>
          <w:tcPr>
            <w:tcW w:w="78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487742E" w14:textId="77777777" w:rsidR="00983AD3" w:rsidRPr="00983AD3" w:rsidRDefault="486E9EBF" w:rsidP="3328C818">
            <w:pPr>
              <w:pStyle w:val="Table-Text"/>
              <w:jc w:val="center"/>
              <w:rPr>
                <w:rFonts w:eastAsia="Times New Roman" w:cs="Times New Roman"/>
                <w:color w:val="000000"/>
              </w:rPr>
            </w:pPr>
            <w:r w:rsidRPr="3328C818">
              <w:rPr>
                <w:b/>
                <w:bCs/>
              </w:rPr>
              <w:t xml:space="preserve"> w BGH</w:t>
            </w:r>
          </w:p>
        </w:tc>
        <w:tc>
          <w:tcPr>
            <w:tcW w:w="6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B80DE20" w14:textId="77777777" w:rsidR="00983AD3" w:rsidRPr="00983AD3" w:rsidRDefault="486E9EBF" w:rsidP="3328C818">
            <w:pPr>
              <w:pStyle w:val="Table-Text"/>
              <w:jc w:val="center"/>
              <w:rPr>
                <w:rFonts w:eastAsia="Times New Roman" w:cs="Times New Roman"/>
                <w:color w:val="000000"/>
              </w:rPr>
            </w:pPr>
            <w:r w:rsidRPr="3328C818">
              <w:rPr>
                <w:b/>
                <w:bCs/>
              </w:rPr>
              <w:t>Combined New Baghouse</w:t>
            </w:r>
          </w:p>
        </w:tc>
        <w:tc>
          <w:tcPr>
            <w:tcW w:w="67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D67486" w14:textId="77777777" w:rsidR="00983AD3" w:rsidRPr="00983AD3" w:rsidRDefault="486E9EBF" w:rsidP="3328C818">
            <w:pPr>
              <w:pStyle w:val="Table-Text"/>
              <w:jc w:val="center"/>
              <w:rPr>
                <w:rFonts w:eastAsia="Times New Roman" w:cs="Times New Roman"/>
                <w:color w:val="000000"/>
              </w:rPr>
            </w:pPr>
            <w:r w:rsidRPr="3328C818">
              <w:rPr>
                <w:b/>
                <w:bCs/>
              </w:rPr>
              <w:t>Totals</w:t>
            </w:r>
          </w:p>
        </w:tc>
      </w:tr>
      <w:tr w:rsidR="00983AD3" w:rsidRPr="00983AD3" w14:paraId="44C73866" w14:textId="77777777" w:rsidTr="3328C818">
        <w:trPr>
          <w:trHeight w:hRule="exact" w:val="288"/>
        </w:trPr>
        <w:tc>
          <w:tcPr>
            <w:tcW w:w="2163" w:type="pct"/>
            <w:tcBorders>
              <w:top w:val="single" w:sz="8" w:space="0" w:color="auto"/>
              <w:left w:val="single" w:sz="8" w:space="0" w:color="auto"/>
              <w:bottom w:val="single" w:sz="4" w:space="0" w:color="auto"/>
              <w:right w:val="nil"/>
            </w:tcBorders>
            <w:shd w:val="clear" w:color="auto" w:fill="auto"/>
            <w:noWrap/>
            <w:vAlign w:val="center"/>
            <w:hideMark/>
          </w:tcPr>
          <w:p w14:paraId="34533443" w14:textId="77777777" w:rsidR="00983AD3" w:rsidRPr="00983AD3" w:rsidRDefault="00983AD3" w:rsidP="001B0492">
            <w:pPr>
              <w:pStyle w:val="Table-Text"/>
              <w:rPr>
                <w:rFonts w:eastAsia="Times New Roman" w:cs="Times New Roman"/>
                <w:color w:val="000000"/>
              </w:rPr>
            </w:pPr>
            <w:r w:rsidRPr="00983AD3">
              <w:t xml:space="preserve">Capacity </w:t>
            </w:r>
            <w:r w:rsidRPr="00983AD3">
              <w:rPr>
                <w:rFonts w:eastAsia="Times New Roman" w:cs="Times New Roman"/>
                <w:color w:val="000000"/>
              </w:rPr>
              <w:t>(MW)</w:t>
            </w:r>
          </w:p>
        </w:tc>
        <w:tc>
          <w:tcPr>
            <w:tcW w:w="704" w:type="pct"/>
            <w:tcBorders>
              <w:top w:val="single" w:sz="8" w:space="0" w:color="auto"/>
              <w:left w:val="single" w:sz="8" w:space="0" w:color="auto"/>
              <w:bottom w:val="single" w:sz="4" w:space="0" w:color="auto"/>
              <w:right w:val="nil"/>
            </w:tcBorders>
            <w:shd w:val="clear" w:color="auto" w:fill="auto"/>
            <w:vAlign w:val="center"/>
            <w:hideMark/>
          </w:tcPr>
          <w:p w14:paraId="269E2244" w14:textId="77777777" w:rsidR="00983AD3" w:rsidRPr="00983AD3" w:rsidRDefault="486E9EBF" w:rsidP="3328C818">
            <w:pPr>
              <w:pStyle w:val="Table-Text"/>
              <w:jc w:val="center"/>
              <w:rPr>
                <w:rFonts w:eastAsia="Times New Roman" w:cs="Times New Roman"/>
                <w:color w:val="000000"/>
              </w:rPr>
            </w:pPr>
            <w:r>
              <w:t>43.9</w:t>
            </w:r>
          </w:p>
        </w:tc>
        <w:tc>
          <w:tcPr>
            <w:tcW w:w="785"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B954646" w14:textId="77777777" w:rsidR="00983AD3" w:rsidRPr="00983AD3" w:rsidRDefault="486E9EBF" w:rsidP="3328C818">
            <w:pPr>
              <w:pStyle w:val="Table-Text"/>
              <w:jc w:val="center"/>
              <w:rPr>
                <w:rFonts w:eastAsia="Times New Roman" w:cs="Times New Roman"/>
                <w:color w:val="000000"/>
              </w:rPr>
            </w:pPr>
            <w:r>
              <w:t>43.9</w:t>
            </w:r>
          </w:p>
        </w:tc>
        <w:tc>
          <w:tcPr>
            <w:tcW w:w="674" w:type="pct"/>
            <w:tcBorders>
              <w:top w:val="single" w:sz="8" w:space="0" w:color="auto"/>
              <w:left w:val="nil"/>
              <w:bottom w:val="single" w:sz="4" w:space="0" w:color="auto"/>
              <w:right w:val="single" w:sz="4" w:space="0" w:color="auto"/>
            </w:tcBorders>
            <w:shd w:val="clear" w:color="auto" w:fill="auto"/>
            <w:noWrap/>
            <w:vAlign w:val="center"/>
            <w:hideMark/>
          </w:tcPr>
          <w:p w14:paraId="48B5AE6A" w14:textId="77777777" w:rsidR="00983AD3" w:rsidRPr="00983AD3" w:rsidRDefault="486E9EBF" w:rsidP="3328C818">
            <w:pPr>
              <w:pStyle w:val="Table-Text"/>
              <w:jc w:val="center"/>
              <w:rPr>
                <w:rFonts w:eastAsia="Times New Roman" w:cs="Times New Roman"/>
                <w:color w:val="000000"/>
              </w:rPr>
            </w:pPr>
            <w:r>
              <w:t>43.9</w:t>
            </w:r>
          </w:p>
        </w:tc>
        <w:tc>
          <w:tcPr>
            <w:tcW w:w="674" w:type="pct"/>
            <w:tcBorders>
              <w:top w:val="single" w:sz="8" w:space="0" w:color="auto"/>
              <w:left w:val="nil"/>
              <w:bottom w:val="single" w:sz="4" w:space="0" w:color="auto"/>
              <w:right w:val="single" w:sz="8" w:space="0" w:color="auto"/>
            </w:tcBorders>
            <w:shd w:val="clear" w:color="auto" w:fill="auto"/>
            <w:noWrap/>
            <w:vAlign w:val="center"/>
            <w:hideMark/>
          </w:tcPr>
          <w:p w14:paraId="7CF1012E" w14:textId="77777777" w:rsidR="00983AD3" w:rsidRPr="00983AD3" w:rsidRDefault="486E9EBF" w:rsidP="3328C818">
            <w:pPr>
              <w:pStyle w:val="Table-Text"/>
              <w:jc w:val="center"/>
              <w:rPr>
                <w:rFonts w:eastAsia="Times New Roman" w:cs="Times New Roman"/>
                <w:color w:val="000000"/>
              </w:rPr>
            </w:pPr>
            <w:r>
              <w:t> </w:t>
            </w:r>
          </w:p>
        </w:tc>
      </w:tr>
      <w:tr w:rsidR="00983AD3" w:rsidRPr="00983AD3" w14:paraId="3497CADE" w14:textId="77777777" w:rsidTr="3328C818">
        <w:trPr>
          <w:trHeight w:hRule="exact" w:val="288"/>
        </w:trPr>
        <w:tc>
          <w:tcPr>
            <w:tcW w:w="2163" w:type="pct"/>
            <w:tcBorders>
              <w:top w:val="nil"/>
              <w:left w:val="single" w:sz="8" w:space="0" w:color="auto"/>
              <w:bottom w:val="single" w:sz="4" w:space="0" w:color="auto"/>
              <w:right w:val="nil"/>
            </w:tcBorders>
            <w:shd w:val="clear" w:color="auto" w:fill="auto"/>
            <w:noWrap/>
            <w:vAlign w:val="center"/>
            <w:hideMark/>
          </w:tcPr>
          <w:p w14:paraId="29CB701B" w14:textId="77777777" w:rsidR="00983AD3" w:rsidRPr="00983AD3" w:rsidRDefault="00983AD3" w:rsidP="001B0492">
            <w:pPr>
              <w:pStyle w:val="Table-Text"/>
              <w:rPr>
                <w:rFonts w:eastAsia="Times New Roman" w:cs="Times New Roman"/>
                <w:color w:val="000000"/>
              </w:rPr>
            </w:pPr>
            <w:r w:rsidRPr="00983AD3">
              <w:t>Retrofit factor</w:t>
            </w:r>
          </w:p>
        </w:tc>
        <w:tc>
          <w:tcPr>
            <w:tcW w:w="704" w:type="pct"/>
            <w:tcBorders>
              <w:top w:val="nil"/>
              <w:left w:val="single" w:sz="8" w:space="0" w:color="auto"/>
              <w:bottom w:val="single" w:sz="4" w:space="0" w:color="auto"/>
              <w:right w:val="nil"/>
            </w:tcBorders>
            <w:shd w:val="clear" w:color="auto" w:fill="auto"/>
            <w:noWrap/>
            <w:vAlign w:val="center"/>
            <w:hideMark/>
          </w:tcPr>
          <w:p w14:paraId="02928B6C" w14:textId="77777777" w:rsidR="00983AD3" w:rsidRPr="00983AD3" w:rsidRDefault="486E9EBF" w:rsidP="3328C818">
            <w:pPr>
              <w:pStyle w:val="Table-Text"/>
              <w:jc w:val="center"/>
              <w:rPr>
                <w:rFonts w:eastAsia="Times New Roman" w:cs="Times New Roman"/>
                <w:color w:val="000000"/>
              </w:rPr>
            </w:pPr>
            <w:r>
              <w:t>1</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14:paraId="4AFB6CF3" w14:textId="77777777" w:rsidR="00983AD3" w:rsidRPr="00983AD3" w:rsidRDefault="486E9EBF" w:rsidP="3328C818">
            <w:pPr>
              <w:pStyle w:val="Table-Text"/>
              <w:jc w:val="center"/>
              <w:rPr>
                <w:rFonts w:eastAsia="Times New Roman" w:cs="Times New Roman"/>
                <w:color w:val="000000"/>
              </w:rPr>
            </w:pPr>
            <w:r>
              <w:t>1</w:t>
            </w:r>
          </w:p>
        </w:tc>
        <w:tc>
          <w:tcPr>
            <w:tcW w:w="674" w:type="pct"/>
            <w:tcBorders>
              <w:top w:val="nil"/>
              <w:left w:val="nil"/>
              <w:bottom w:val="single" w:sz="4" w:space="0" w:color="auto"/>
              <w:right w:val="single" w:sz="4" w:space="0" w:color="auto"/>
            </w:tcBorders>
            <w:shd w:val="clear" w:color="auto" w:fill="auto"/>
            <w:noWrap/>
            <w:vAlign w:val="center"/>
            <w:hideMark/>
          </w:tcPr>
          <w:p w14:paraId="2A8F8165" w14:textId="77777777" w:rsidR="00983AD3" w:rsidRPr="00983AD3" w:rsidRDefault="486E9EBF" w:rsidP="3328C818">
            <w:pPr>
              <w:pStyle w:val="Table-Text"/>
              <w:jc w:val="center"/>
              <w:rPr>
                <w:rFonts w:eastAsia="Times New Roman" w:cs="Times New Roman"/>
                <w:color w:val="000000"/>
              </w:rPr>
            </w:pPr>
            <w:r>
              <w:t>1</w:t>
            </w:r>
          </w:p>
        </w:tc>
        <w:tc>
          <w:tcPr>
            <w:tcW w:w="674" w:type="pct"/>
            <w:tcBorders>
              <w:top w:val="nil"/>
              <w:left w:val="nil"/>
              <w:bottom w:val="single" w:sz="4" w:space="0" w:color="auto"/>
              <w:right w:val="single" w:sz="8" w:space="0" w:color="auto"/>
            </w:tcBorders>
            <w:shd w:val="clear" w:color="auto" w:fill="auto"/>
            <w:noWrap/>
            <w:vAlign w:val="center"/>
            <w:hideMark/>
          </w:tcPr>
          <w:p w14:paraId="5E63C560" w14:textId="77777777" w:rsidR="00983AD3" w:rsidRPr="00983AD3" w:rsidRDefault="486E9EBF" w:rsidP="3328C818">
            <w:pPr>
              <w:pStyle w:val="Table-Text"/>
              <w:jc w:val="center"/>
              <w:rPr>
                <w:rFonts w:eastAsia="Times New Roman" w:cs="Times New Roman"/>
                <w:color w:val="000000"/>
              </w:rPr>
            </w:pPr>
            <w:r>
              <w:t> </w:t>
            </w:r>
          </w:p>
        </w:tc>
      </w:tr>
      <w:tr w:rsidR="00983AD3" w:rsidRPr="00983AD3" w14:paraId="090BDB58" w14:textId="77777777" w:rsidTr="3328C818">
        <w:trPr>
          <w:trHeight w:hRule="exact" w:val="288"/>
        </w:trPr>
        <w:tc>
          <w:tcPr>
            <w:tcW w:w="2163" w:type="pct"/>
            <w:tcBorders>
              <w:top w:val="nil"/>
              <w:left w:val="single" w:sz="8" w:space="0" w:color="auto"/>
              <w:bottom w:val="single" w:sz="4" w:space="0" w:color="auto"/>
              <w:right w:val="nil"/>
            </w:tcBorders>
            <w:shd w:val="clear" w:color="auto" w:fill="auto"/>
            <w:noWrap/>
            <w:vAlign w:val="center"/>
            <w:hideMark/>
          </w:tcPr>
          <w:p w14:paraId="3E4E7C11" w14:textId="77777777" w:rsidR="00983AD3" w:rsidRPr="00983AD3" w:rsidRDefault="00983AD3" w:rsidP="001B0492">
            <w:pPr>
              <w:pStyle w:val="Table-Text"/>
              <w:rPr>
                <w:rFonts w:eastAsia="Times New Roman" w:cs="Times New Roman"/>
                <w:color w:val="000000"/>
              </w:rPr>
            </w:pPr>
            <w:r w:rsidRPr="00983AD3">
              <w:t>CEPCI</w:t>
            </w:r>
          </w:p>
        </w:tc>
        <w:tc>
          <w:tcPr>
            <w:tcW w:w="704" w:type="pct"/>
            <w:tcBorders>
              <w:top w:val="nil"/>
              <w:left w:val="single" w:sz="8" w:space="0" w:color="auto"/>
              <w:bottom w:val="single" w:sz="4" w:space="0" w:color="auto"/>
              <w:right w:val="nil"/>
            </w:tcBorders>
            <w:shd w:val="clear" w:color="auto" w:fill="auto"/>
            <w:noWrap/>
            <w:vAlign w:val="center"/>
            <w:hideMark/>
          </w:tcPr>
          <w:p w14:paraId="1A5C5079" w14:textId="77777777" w:rsidR="00983AD3" w:rsidRPr="00983AD3" w:rsidRDefault="486E9EBF" w:rsidP="3328C818">
            <w:pPr>
              <w:pStyle w:val="Table-Text"/>
              <w:jc w:val="center"/>
              <w:rPr>
                <w:rFonts w:eastAsia="Times New Roman" w:cs="Times New Roman"/>
                <w:color w:val="000000"/>
              </w:rPr>
            </w:pPr>
            <w:r>
              <w:t>607.5</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14:paraId="6287EA14" w14:textId="77777777" w:rsidR="00983AD3" w:rsidRPr="00983AD3" w:rsidRDefault="486E9EBF" w:rsidP="3328C818">
            <w:pPr>
              <w:pStyle w:val="Table-Text"/>
              <w:jc w:val="center"/>
              <w:rPr>
                <w:rFonts w:eastAsia="Times New Roman" w:cs="Times New Roman"/>
                <w:color w:val="000000"/>
              </w:rPr>
            </w:pPr>
            <w:r>
              <w:t>607.5</w:t>
            </w:r>
          </w:p>
        </w:tc>
        <w:tc>
          <w:tcPr>
            <w:tcW w:w="674" w:type="pct"/>
            <w:tcBorders>
              <w:top w:val="nil"/>
              <w:left w:val="nil"/>
              <w:bottom w:val="single" w:sz="4" w:space="0" w:color="auto"/>
              <w:right w:val="single" w:sz="4" w:space="0" w:color="auto"/>
            </w:tcBorders>
            <w:shd w:val="clear" w:color="auto" w:fill="auto"/>
            <w:noWrap/>
            <w:vAlign w:val="center"/>
            <w:hideMark/>
          </w:tcPr>
          <w:p w14:paraId="132BDCFB" w14:textId="77777777" w:rsidR="00983AD3" w:rsidRPr="00983AD3" w:rsidRDefault="486E9EBF" w:rsidP="3328C818">
            <w:pPr>
              <w:pStyle w:val="Table-Text"/>
              <w:jc w:val="center"/>
              <w:rPr>
                <w:rFonts w:eastAsia="Times New Roman" w:cs="Times New Roman"/>
                <w:color w:val="000000"/>
              </w:rPr>
            </w:pPr>
            <w:r>
              <w:t>607.5</w:t>
            </w:r>
          </w:p>
        </w:tc>
        <w:tc>
          <w:tcPr>
            <w:tcW w:w="674" w:type="pct"/>
            <w:tcBorders>
              <w:top w:val="nil"/>
              <w:left w:val="nil"/>
              <w:bottom w:val="single" w:sz="4" w:space="0" w:color="auto"/>
              <w:right w:val="single" w:sz="8" w:space="0" w:color="auto"/>
            </w:tcBorders>
            <w:shd w:val="clear" w:color="auto" w:fill="auto"/>
            <w:noWrap/>
            <w:vAlign w:val="center"/>
            <w:hideMark/>
          </w:tcPr>
          <w:p w14:paraId="14C94940" w14:textId="77777777" w:rsidR="00983AD3" w:rsidRPr="00983AD3" w:rsidRDefault="486E9EBF" w:rsidP="3328C818">
            <w:pPr>
              <w:pStyle w:val="Table-Text"/>
              <w:jc w:val="center"/>
              <w:rPr>
                <w:rFonts w:eastAsia="Times New Roman" w:cs="Times New Roman"/>
                <w:color w:val="000000"/>
              </w:rPr>
            </w:pPr>
            <w:r>
              <w:t> </w:t>
            </w:r>
          </w:p>
        </w:tc>
      </w:tr>
      <w:tr w:rsidR="00983AD3" w:rsidRPr="00983AD3" w14:paraId="568050BE" w14:textId="77777777" w:rsidTr="3328C818">
        <w:trPr>
          <w:trHeight w:hRule="exact" w:val="288"/>
        </w:trPr>
        <w:tc>
          <w:tcPr>
            <w:tcW w:w="2163" w:type="pct"/>
            <w:tcBorders>
              <w:top w:val="nil"/>
              <w:left w:val="single" w:sz="8" w:space="0" w:color="auto"/>
              <w:bottom w:val="single" w:sz="4" w:space="0" w:color="auto"/>
              <w:right w:val="nil"/>
            </w:tcBorders>
            <w:shd w:val="clear" w:color="auto" w:fill="auto"/>
            <w:noWrap/>
            <w:vAlign w:val="bottom"/>
            <w:hideMark/>
          </w:tcPr>
          <w:p w14:paraId="26EA7033" w14:textId="77777777" w:rsidR="00983AD3" w:rsidRPr="00983AD3" w:rsidRDefault="00983AD3" w:rsidP="001B0492">
            <w:pPr>
              <w:pStyle w:val="Table-Text"/>
              <w:rPr>
                <w:rFonts w:eastAsia="Times New Roman" w:cs="Times New Roman"/>
                <w:color w:val="000000"/>
              </w:rPr>
            </w:pPr>
            <w:r w:rsidRPr="00983AD3">
              <w:t>Capita</w:t>
            </w:r>
            <w:r w:rsidRPr="00983AD3">
              <w:rPr>
                <w:rFonts w:eastAsia="Times New Roman" w:cs="Times New Roman"/>
                <w:color w:val="000000"/>
              </w:rPr>
              <w:t xml:space="preserve">l Cost </w:t>
            </w:r>
          </w:p>
        </w:tc>
        <w:tc>
          <w:tcPr>
            <w:tcW w:w="704" w:type="pct"/>
            <w:tcBorders>
              <w:top w:val="nil"/>
              <w:left w:val="single" w:sz="8" w:space="0" w:color="auto"/>
              <w:bottom w:val="single" w:sz="4" w:space="0" w:color="auto"/>
              <w:right w:val="nil"/>
            </w:tcBorders>
            <w:shd w:val="clear" w:color="auto" w:fill="auto"/>
            <w:noWrap/>
            <w:vAlign w:val="center"/>
            <w:hideMark/>
          </w:tcPr>
          <w:p w14:paraId="2B3429AA" w14:textId="77777777" w:rsidR="00983AD3" w:rsidRPr="00983AD3" w:rsidRDefault="486E9EBF" w:rsidP="3328C818">
            <w:pPr>
              <w:pStyle w:val="Table-Text"/>
              <w:jc w:val="center"/>
              <w:rPr>
                <w:rFonts w:eastAsia="Times New Roman" w:cs="Times New Roman"/>
                <w:color w:val="000000"/>
              </w:rPr>
            </w:pPr>
            <w:r>
              <w:t xml:space="preserve"> $     7,341,768 </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14:paraId="0B2F21BF" w14:textId="77777777" w:rsidR="00983AD3" w:rsidRPr="00983AD3" w:rsidRDefault="486E9EBF" w:rsidP="3328C818">
            <w:pPr>
              <w:pStyle w:val="Table-Text"/>
              <w:jc w:val="center"/>
              <w:rPr>
                <w:rFonts w:eastAsia="Times New Roman" w:cs="Times New Roman"/>
                <w:color w:val="000000"/>
              </w:rPr>
            </w:pPr>
            <w:r>
              <w:t xml:space="preserve"> $        8,703,415 </w:t>
            </w:r>
          </w:p>
        </w:tc>
        <w:tc>
          <w:tcPr>
            <w:tcW w:w="674" w:type="pct"/>
            <w:tcBorders>
              <w:top w:val="nil"/>
              <w:left w:val="nil"/>
              <w:bottom w:val="single" w:sz="4" w:space="0" w:color="auto"/>
              <w:right w:val="single" w:sz="4" w:space="0" w:color="auto"/>
            </w:tcBorders>
            <w:shd w:val="clear" w:color="auto" w:fill="auto"/>
            <w:noWrap/>
            <w:vAlign w:val="center"/>
            <w:hideMark/>
          </w:tcPr>
          <w:p w14:paraId="2A2E5EB3" w14:textId="77777777" w:rsidR="00983AD3" w:rsidRPr="00983AD3" w:rsidRDefault="486E9EBF" w:rsidP="3328C818">
            <w:pPr>
              <w:pStyle w:val="Table-Text"/>
              <w:jc w:val="center"/>
              <w:rPr>
                <w:rFonts w:eastAsia="Times New Roman" w:cs="Times New Roman"/>
                <w:color w:val="000000"/>
              </w:rPr>
            </w:pPr>
            <w:r>
              <w:t xml:space="preserve"> $   2,894,980 </w:t>
            </w:r>
          </w:p>
        </w:tc>
        <w:tc>
          <w:tcPr>
            <w:tcW w:w="674" w:type="pct"/>
            <w:tcBorders>
              <w:top w:val="nil"/>
              <w:left w:val="nil"/>
              <w:bottom w:val="single" w:sz="4" w:space="0" w:color="auto"/>
              <w:right w:val="single" w:sz="8" w:space="0" w:color="auto"/>
            </w:tcBorders>
            <w:shd w:val="clear" w:color="auto" w:fill="auto"/>
            <w:noWrap/>
            <w:vAlign w:val="center"/>
            <w:hideMark/>
          </w:tcPr>
          <w:p w14:paraId="4FF3C95A" w14:textId="77777777" w:rsidR="00983AD3" w:rsidRPr="00983AD3" w:rsidRDefault="486E9EBF" w:rsidP="3328C818">
            <w:pPr>
              <w:pStyle w:val="Table-Text"/>
              <w:jc w:val="center"/>
              <w:rPr>
                <w:rFonts w:eastAsia="Times New Roman" w:cs="Times New Roman"/>
                <w:color w:val="000000"/>
              </w:rPr>
            </w:pPr>
            <w:r>
              <w:t xml:space="preserve"> $ 11,598,395 </w:t>
            </w:r>
          </w:p>
        </w:tc>
      </w:tr>
      <w:tr w:rsidR="00983AD3" w:rsidRPr="00983AD3" w14:paraId="0B65B1CC" w14:textId="77777777" w:rsidTr="3328C818">
        <w:trPr>
          <w:trHeight w:hRule="exact" w:val="288"/>
        </w:trPr>
        <w:tc>
          <w:tcPr>
            <w:tcW w:w="2163" w:type="pct"/>
            <w:tcBorders>
              <w:top w:val="nil"/>
              <w:left w:val="single" w:sz="8" w:space="0" w:color="auto"/>
              <w:bottom w:val="single" w:sz="4" w:space="0" w:color="auto"/>
              <w:right w:val="nil"/>
            </w:tcBorders>
            <w:shd w:val="clear" w:color="auto" w:fill="auto"/>
            <w:noWrap/>
            <w:vAlign w:val="bottom"/>
            <w:hideMark/>
          </w:tcPr>
          <w:p w14:paraId="13A67B11" w14:textId="77777777" w:rsidR="00983AD3" w:rsidRPr="00983AD3" w:rsidRDefault="00983AD3" w:rsidP="001B0492">
            <w:pPr>
              <w:pStyle w:val="Table-Text"/>
              <w:rPr>
                <w:rFonts w:eastAsia="Times New Roman" w:cs="Times New Roman"/>
                <w:color w:val="000000"/>
              </w:rPr>
            </w:pPr>
            <w:r w:rsidRPr="00983AD3">
              <w:t>Interest rate</w:t>
            </w:r>
          </w:p>
        </w:tc>
        <w:tc>
          <w:tcPr>
            <w:tcW w:w="704" w:type="pct"/>
            <w:tcBorders>
              <w:top w:val="nil"/>
              <w:left w:val="single" w:sz="8" w:space="0" w:color="auto"/>
              <w:bottom w:val="single" w:sz="4" w:space="0" w:color="auto"/>
              <w:right w:val="nil"/>
            </w:tcBorders>
            <w:shd w:val="clear" w:color="auto" w:fill="auto"/>
            <w:noWrap/>
            <w:vAlign w:val="center"/>
            <w:hideMark/>
          </w:tcPr>
          <w:p w14:paraId="512FF014" w14:textId="77777777" w:rsidR="00983AD3" w:rsidRPr="00983AD3" w:rsidRDefault="486E9EBF" w:rsidP="3328C818">
            <w:pPr>
              <w:pStyle w:val="Table-Text"/>
              <w:jc w:val="center"/>
              <w:rPr>
                <w:rFonts w:eastAsia="Times New Roman" w:cs="Times New Roman"/>
                <w:color w:val="000000"/>
              </w:rPr>
            </w:pPr>
            <w:r>
              <w:t>3.50</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14:paraId="371A0369" w14:textId="77777777" w:rsidR="00983AD3" w:rsidRPr="00983AD3" w:rsidRDefault="486E9EBF" w:rsidP="3328C818">
            <w:pPr>
              <w:pStyle w:val="Table-Text"/>
              <w:jc w:val="center"/>
              <w:rPr>
                <w:rFonts w:eastAsia="Times New Roman" w:cs="Times New Roman"/>
                <w:color w:val="000000"/>
              </w:rPr>
            </w:pPr>
            <w:r>
              <w:t>3.50%</w:t>
            </w:r>
          </w:p>
        </w:tc>
        <w:tc>
          <w:tcPr>
            <w:tcW w:w="674" w:type="pct"/>
            <w:tcBorders>
              <w:top w:val="nil"/>
              <w:left w:val="nil"/>
              <w:bottom w:val="single" w:sz="4" w:space="0" w:color="auto"/>
              <w:right w:val="single" w:sz="4" w:space="0" w:color="auto"/>
            </w:tcBorders>
            <w:shd w:val="clear" w:color="auto" w:fill="auto"/>
            <w:noWrap/>
            <w:vAlign w:val="center"/>
            <w:hideMark/>
          </w:tcPr>
          <w:p w14:paraId="7C01AC4E" w14:textId="77777777" w:rsidR="00983AD3" w:rsidRPr="00983AD3" w:rsidRDefault="486E9EBF" w:rsidP="3328C818">
            <w:pPr>
              <w:pStyle w:val="Table-Text"/>
              <w:jc w:val="center"/>
              <w:rPr>
                <w:rFonts w:eastAsia="Times New Roman" w:cs="Times New Roman"/>
                <w:color w:val="000000"/>
              </w:rPr>
            </w:pPr>
            <w:r>
              <w:t>3.50%</w:t>
            </w:r>
          </w:p>
        </w:tc>
        <w:tc>
          <w:tcPr>
            <w:tcW w:w="674" w:type="pct"/>
            <w:tcBorders>
              <w:top w:val="nil"/>
              <w:left w:val="nil"/>
              <w:bottom w:val="single" w:sz="4" w:space="0" w:color="auto"/>
              <w:right w:val="single" w:sz="8" w:space="0" w:color="auto"/>
            </w:tcBorders>
            <w:shd w:val="clear" w:color="auto" w:fill="auto"/>
            <w:noWrap/>
            <w:vAlign w:val="center"/>
            <w:hideMark/>
          </w:tcPr>
          <w:p w14:paraId="673C3261" w14:textId="77777777" w:rsidR="00983AD3" w:rsidRPr="00983AD3" w:rsidRDefault="486E9EBF" w:rsidP="3328C818">
            <w:pPr>
              <w:pStyle w:val="Table-Text"/>
              <w:jc w:val="center"/>
              <w:rPr>
                <w:rFonts w:eastAsia="Times New Roman" w:cs="Times New Roman"/>
                <w:color w:val="000000"/>
              </w:rPr>
            </w:pPr>
            <w:r>
              <w:t> </w:t>
            </w:r>
          </w:p>
        </w:tc>
      </w:tr>
      <w:tr w:rsidR="00983AD3" w:rsidRPr="00983AD3" w14:paraId="7EADF2A9" w14:textId="77777777" w:rsidTr="3328C818">
        <w:trPr>
          <w:trHeight w:hRule="exact" w:val="288"/>
        </w:trPr>
        <w:tc>
          <w:tcPr>
            <w:tcW w:w="2163" w:type="pct"/>
            <w:tcBorders>
              <w:top w:val="nil"/>
              <w:left w:val="single" w:sz="8" w:space="0" w:color="auto"/>
              <w:bottom w:val="single" w:sz="4" w:space="0" w:color="auto"/>
              <w:right w:val="nil"/>
            </w:tcBorders>
            <w:shd w:val="clear" w:color="auto" w:fill="auto"/>
            <w:noWrap/>
            <w:vAlign w:val="bottom"/>
            <w:hideMark/>
          </w:tcPr>
          <w:p w14:paraId="57628A91" w14:textId="77777777" w:rsidR="00983AD3" w:rsidRPr="00983AD3" w:rsidRDefault="00983AD3" w:rsidP="001B0492">
            <w:pPr>
              <w:pStyle w:val="Table-Text"/>
              <w:rPr>
                <w:rFonts w:eastAsia="Times New Roman" w:cs="Times New Roman"/>
                <w:color w:val="000000"/>
              </w:rPr>
            </w:pPr>
            <w:r w:rsidRPr="00983AD3">
              <w:t>Control Equipment Life (</w:t>
            </w:r>
            <w:proofErr w:type="spellStart"/>
            <w:r w:rsidRPr="00983AD3">
              <w:t>yr</w:t>
            </w:r>
            <w:proofErr w:type="spellEnd"/>
            <w:r w:rsidRPr="00983AD3">
              <w:t>)</w:t>
            </w:r>
          </w:p>
        </w:tc>
        <w:tc>
          <w:tcPr>
            <w:tcW w:w="704" w:type="pct"/>
            <w:tcBorders>
              <w:top w:val="nil"/>
              <w:left w:val="single" w:sz="8" w:space="0" w:color="auto"/>
              <w:bottom w:val="single" w:sz="4" w:space="0" w:color="auto"/>
              <w:right w:val="nil"/>
            </w:tcBorders>
            <w:shd w:val="clear" w:color="auto" w:fill="auto"/>
            <w:noWrap/>
            <w:vAlign w:val="center"/>
            <w:hideMark/>
          </w:tcPr>
          <w:p w14:paraId="6CEE2058" w14:textId="77777777" w:rsidR="00983AD3" w:rsidRPr="00983AD3" w:rsidRDefault="486E9EBF" w:rsidP="3328C818">
            <w:pPr>
              <w:pStyle w:val="Table-Text"/>
              <w:jc w:val="center"/>
              <w:rPr>
                <w:rFonts w:eastAsia="Times New Roman" w:cs="Times New Roman"/>
                <w:color w:val="000000"/>
              </w:rPr>
            </w:pPr>
            <w:r>
              <w:t>30</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14:paraId="065BC2FD" w14:textId="77777777" w:rsidR="00983AD3" w:rsidRPr="00983AD3" w:rsidRDefault="486E9EBF" w:rsidP="3328C818">
            <w:pPr>
              <w:pStyle w:val="Table-Text"/>
              <w:jc w:val="center"/>
              <w:rPr>
                <w:rFonts w:eastAsia="Times New Roman" w:cs="Times New Roman"/>
                <w:color w:val="000000"/>
              </w:rPr>
            </w:pPr>
            <w:r>
              <w:t xml:space="preserve">30 </w:t>
            </w:r>
          </w:p>
        </w:tc>
        <w:tc>
          <w:tcPr>
            <w:tcW w:w="674" w:type="pct"/>
            <w:tcBorders>
              <w:top w:val="nil"/>
              <w:left w:val="nil"/>
              <w:bottom w:val="single" w:sz="4" w:space="0" w:color="auto"/>
              <w:right w:val="single" w:sz="4" w:space="0" w:color="auto"/>
            </w:tcBorders>
            <w:shd w:val="clear" w:color="auto" w:fill="auto"/>
            <w:noWrap/>
            <w:vAlign w:val="center"/>
            <w:hideMark/>
          </w:tcPr>
          <w:p w14:paraId="0954107F" w14:textId="77777777" w:rsidR="00983AD3" w:rsidRPr="00983AD3" w:rsidRDefault="486E9EBF" w:rsidP="3328C818">
            <w:pPr>
              <w:pStyle w:val="Table-Text"/>
              <w:jc w:val="center"/>
              <w:rPr>
                <w:rFonts w:eastAsia="Times New Roman" w:cs="Times New Roman"/>
                <w:color w:val="000000"/>
              </w:rPr>
            </w:pPr>
            <w:r>
              <w:t xml:space="preserve">20 </w:t>
            </w:r>
          </w:p>
        </w:tc>
        <w:tc>
          <w:tcPr>
            <w:tcW w:w="674" w:type="pct"/>
            <w:tcBorders>
              <w:top w:val="nil"/>
              <w:left w:val="nil"/>
              <w:bottom w:val="single" w:sz="4" w:space="0" w:color="auto"/>
              <w:right w:val="single" w:sz="8" w:space="0" w:color="auto"/>
            </w:tcBorders>
            <w:shd w:val="clear" w:color="auto" w:fill="auto"/>
            <w:noWrap/>
            <w:vAlign w:val="center"/>
            <w:hideMark/>
          </w:tcPr>
          <w:p w14:paraId="79098E88" w14:textId="77777777" w:rsidR="00983AD3" w:rsidRPr="00983AD3" w:rsidRDefault="486E9EBF" w:rsidP="3328C818">
            <w:pPr>
              <w:pStyle w:val="Table-Text"/>
              <w:jc w:val="center"/>
              <w:rPr>
                <w:rFonts w:eastAsia="Times New Roman" w:cs="Times New Roman"/>
                <w:color w:val="000000"/>
              </w:rPr>
            </w:pPr>
            <w:r>
              <w:t> </w:t>
            </w:r>
          </w:p>
        </w:tc>
      </w:tr>
      <w:tr w:rsidR="00983AD3" w:rsidRPr="00983AD3" w14:paraId="27AFE6B6" w14:textId="77777777" w:rsidTr="3328C818">
        <w:trPr>
          <w:trHeight w:hRule="exact" w:val="288"/>
        </w:trPr>
        <w:tc>
          <w:tcPr>
            <w:tcW w:w="2163" w:type="pct"/>
            <w:tcBorders>
              <w:top w:val="nil"/>
              <w:left w:val="single" w:sz="8" w:space="0" w:color="auto"/>
              <w:bottom w:val="single" w:sz="4" w:space="0" w:color="auto"/>
              <w:right w:val="nil"/>
            </w:tcBorders>
            <w:shd w:val="clear" w:color="auto" w:fill="auto"/>
            <w:noWrap/>
            <w:vAlign w:val="bottom"/>
            <w:hideMark/>
          </w:tcPr>
          <w:p w14:paraId="724335F4" w14:textId="77777777" w:rsidR="00983AD3" w:rsidRPr="00983AD3" w:rsidRDefault="00983AD3" w:rsidP="001B0492">
            <w:pPr>
              <w:pStyle w:val="Table-Text"/>
              <w:rPr>
                <w:rFonts w:eastAsia="Times New Roman" w:cs="Times New Roman"/>
                <w:color w:val="000000"/>
              </w:rPr>
            </w:pPr>
            <w:r w:rsidRPr="00983AD3">
              <w:t>Capital Recovery Fac</w:t>
            </w:r>
            <w:r w:rsidRPr="00983AD3">
              <w:rPr>
                <w:rFonts w:eastAsia="Times New Roman" w:cs="Times New Roman"/>
                <w:color w:val="000000"/>
              </w:rPr>
              <w:t>tor</w:t>
            </w:r>
          </w:p>
        </w:tc>
        <w:tc>
          <w:tcPr>
            <w:tcW w:w="704" w:type="pct"/>
            <w:tcBorders>
              <w:top w:val="nil"/>
              <w:left w:val="single" w:sz="8" w:space="0" w:color="auto"/>
              <w:bottom w:val="single" w:sz="4" w:space="0" w:color="auto"/>
              <w:right w:val="nil"/>
            </w:tcBorders>
            <w:shd w:val="clear" w:color="auto" w:fill="auto"/>
            <w:noWrap/>
            <w:vAlign w:val="center"/>
            <w:hideMark/>
          </w:tcPr>
          <w:p w14:paraId="33358E1A" w14:textId="77777777" w:rsidR="00983AD3" w:rsidRPr="00983AD3" w:rsidRDefault="486E9EBF" w:rsidP="3328C818">
            <w:pPr>
              <w:pStyle w:val="Table-Text"/>
              <w:jc w:val="center"/>
              <w:rPr>
                <w:rFonts w:eastAsia="Times New Roman" w:cs="Times New Roman"/>
                <w:color w:val="000000"/>
              </w:rPr>
            </w:pPr>
            <w:r>
              <w:t>0.0544</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14:paraId="28994CAB" w14:textId="77777777" w:rsidR="00983AD3" w:rsidRPr="00983AD3" w:rsidRDefault="486E9EBF" w:rsidP="3328C818">
            <w:pPr>
              <w:pStyle w:val="Table-Text"/>
              <w:jc w:val="center"/>
              <w:rPr>
                <w:rFonts w:eastAsia="Times New Roman" w:cs="Times New Roman"/>
                <w:color w:val="000000"/>
              </w:rPr>
            </w:pPr>
            <w:r>
              <w:t xml:space="preserve">0.0544 </w:t>
            </w:r>
          </w:p>
        </w:tc>
        <w:tc>
          <w:tcPr>
            <w:tcW w:w="674" w:type="pct"/>
            <w:tcBorders>
              <w:top w:val="nil"/>
              <w:left w:val="nil"/>
              <w:bottom w:val="single" w:sz="4" w:space="0" w:color="auto"/>
              <w:right w:val="single" w:sz="4" w:space="0" w:color="auto"/>
            </w:tcBorders>
            <w:shd w:val="clear" w:color="auto" w:fill="auto"/>
            <w:noWrap/>
            <w:vAlign w:val="center"/>
            <w:hideMark/>
          </w:tcPr>
          <w:p w14:paraId="1C1F1211" w14:textId="77777777" w:rsidR="00983AD3" w:rsidRPr="00983AD3" w:rsidRDefault="486E9EBF" w:rsidP="3328C818">
            <w:pPr>
              <w:pStyle w:val="Table-Text"/>
              <w:jc w:val="center"/>
              <w:rPr>
                <w:rFonts w:eastAsia="Times New Roman" w:cs="Times New Roman"/>
                <w:color w:val="000000"/>
              </w:rPr>
            </w:pPr>
            <w:r>
              <w:t xml:space="preserve">0.0704 </w:t>
            </w:r>
          </w:p>
        </w:tc>
        <w:tc>
          <w:tcPr>
            <w:tcW w:w="674" w:type="pct"/>
            <w:tcBorders>
              <w:top w:val="nil"/>
              <w:left w:val="nil"/>
              <w:bottom w:val="single" w:sz="4" w:space="0" w:color="auto"/>
              <w:right w:val="single" w:sz="8" w:space="0" w:color="auto"/>
            </w:tcBorders>
            <w:shd w:val="clear" w:color="auto" w:fill="auto"/>
            <w:noWrap/>
            <w:vAlign w:val="center"/>
            <w:hideMark/>
          </w:tcPr>
          <w:p w14:paraId="6F04D6C3" w14:textId="77777777" w:rsidR="00983AD3" w:rsidRPr="00983AD3" w:rsidRDefault="486E9EBF" w:rsidP="3328C818">
            <w:pPr>
              <w:pStyle w:val="Table-Text"/>
              <w:jc w:val="center"/>
              <w:rPr>
                <w:rFonts w:eastAsia="Times New Roman" w:cs="Times New Roman"/>
                <w:color w:val="000000"/>
              </w:rPr>
            </w:pPr>
            <w:r>
              <w:t> </w:t>
            </w:r>
          </w:p>
        </w:tc>
      </w:tr>
      <w:tr w:rsidR="00983AD3" w:rsidRPr="00983AD3" w14:paraId="40D7553A" w14:textId="77777777" w:rsidTr="3328C818">
        <w:trPr>
          <w:trHeight w:hRule="exact" w:val="288"/>
        </w:trPr>
        <w:tc>
          <w:tcPr>
            <w:tcW w:w="2163" w:type="pct"/>
            <w:tcBorders>
              <w:top w:val="nil"/>
              <w:left w:val="single" w:sz="8" w:space="0" w:color="auto"/>
              <w:bottom w:val="single" w:sz="4" w:space="0" w:color="auto"/>
              <w:right w:val="nil"/>
            </w:tcBorders>
            <w:shd w:val="clear" w:color="auto" w:fill="auto"/>
            <w:noWrap/>
            <w:vAlign w:val="bottom"/>
            <w:hideMark/>
          </w:tcPr>
          <w:p w14:paraId="22328EF0" w14:textId="77777777" w:rsidR="00983AD3" w:rsidRPr="00983AD3" w:rsidRDefault="00983AD3" w:rsidP="001B0492">
            <w:pPr>
              <w:pStyle w:val="Table-Text"/>
              <w:rPr>
                <w:rFonts w:eastAsia="Times New Roman" w:cs="Times New Roman"/>
                <w:color w:val="000000"/>
              </w:rPr>
            </w:pPr>
            <w:r w:rsidRPr="00983AD3">
              <w:t>Capital Recovery Cost</w:t>
            </w:r>
          </w:p>
        </w:tc>
        <w:tc>
          <w:tcPr>
            <w:tcW w:w="704" w:type="pct"/>
            <w:tcBorders>
              <w:top w:val="nil"/>
              <w:left w:val="single" w:sz="8" w:space="0" w:color="auto"/>
              <w:bottom w:val="single" w:sz="4" w:space="0" w:color="auto"/>
              <w:right w:val="nil"/>
            </w:tcBorders>
            <w:shd w:val="clear" w:color="auto" w:fill="auto"/>
            <w:noWrap/>
            <w:vAlign w:val="center"/>
            <w:hideMark/>
          </w:tcPr>
          <w:p w14:paraId="56F8C480" w14:textId="77777777" w:rsidR="00983AD3" w:rsidRPr="00983AD3" w:rsidRDefault="486E9EBF" w:rsidP="3328C818">
            <w:pPr>
              <w:pStyle w:val="Table-Text"/>
              <w:jc w:val="center"/>
              <w:rPr>
                <w:rFonts w:eastAsia="Times New Roman" w:cs="Times New Roman"/>
                <w:color w:val="000000"/>
              </w:rPr>
            </w:pPr>
            <w:r>
              <w:t xml:space="preserve"> $        399,182 </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14:paraId="20975571" w14:textId="77777777" w:rsidR="00983AD3" w:rsidRPr="00983AD3" w:rsidRDefault="486E9EBF" w:rsidP="3328C818">
            <w:pPr>
              <w:pStyle w:val="Table-Text"/>
              <w:jc w:val="center"/>
              <w:rPr>
                <w:rFonts w:eastAsia="Times New Roman" w:cs="Times New Roman"/>
                <w:color w:val="000000"/>
              </w:rPr>
            </w:pPr>
            <w:r>
              <w:t xml:space="preserve"> $        </w:t>
            </w:r>
            <w:r w:rsidRPr="3328C818">
              <w:rPr>
                <w:rFonts w:eastAsia="Times New Roman" w:cs="Times New Roman"/>
                <w:color w:val="000000" w:themeColor="text1"/>
              </w:rPr>
              <w:t xml:space="preserve">   473,216 </w:t>
            </w:r>
          </w:p>
        </w:tc>
        <w:tc>
          <w:tcPr>
            <w:tcW w:w="674" w:type="pct"/>
            <w:tcBorders>
              <w:top w:val="nil"/>
              <w:left w:val="nil"/>
              <w:bottom w:val="single" w:sz="4" w:space="0" w:color="auto"/>
              <w:right w:val="single" w:sz="4" w:space="0" w:color="auto"/>
            </w:tcBorders>
            <w:shd w:val="clear" w:color="auto" w:fill="auto"/>
            <w:noWrap/>
            <w:vAlign w:val="center"/>
            <w:hideMark/>
          </w:tcPr>
          <w:p w14:paraId="68B59BF3" w14:textId="77777777" w:rsidR="00983AD3" w:rsidRPr="00983AD3" w:rsidRDefault="486E9EBF" w:rsidP="3328C818">
            <w:pPr>
              <w:pStyle w:val="Table-Text"/>
              <w:jc w:val="center"/>
              <w:rPr>
                <w:rFonts w:eastAsia="Times New Roman" w:cs="Times New Roman"/>
                <w:color w:val="000000"/>
              </w:rPr>
            </w:pPr>
            <w:r>
              <w:t xml:space="preserve"> $       130,599 </w:t>
            </w:r>
          </w:p>
        </w:tc>
        <w:tc>
          <w:tcPr>
            <w:tcW w:w="674" w:type="pct"/>
            <w:tcBorders>
              <w:top w:val="nil"/>
              <w:left w:val="nil"/>
              <w:bottom w:val="single" w:sz="4" w:space="0" w:color="auto"/>
              <w:right w:val="single" w:sz="8" w:space="0" w:color="auto"/>
            </w:tcBorders>
            <w:shd w:val="clear" w:color="auto" w:fill="auto"/>
            <w:noWrap/>
            <w:vAlign w:val="center"/>
            <w:hideMark/>
          </w:tcPr>
          <w:p w14:paraId="1A2CB98F" w14:textId="77777777" w:rsidR="00983AD3" w:rsidRPr="00983AD3" w:rsidRDefault="486E9EBF" w:rsidP="3328C818">
            <w:pPr>
              <w:pStyle w:val="Table-Text"/>
              <w:jc w:val="center"/>
              <w:rPr>
                <w:rFonts w:eastAsia="Times New Roman" w:cs="Times New Roman"/>
                <w:color w:val="000000"/>
              </w:rPr>
            </w:pPr>
            <w:r>
              <w:t xml:space="preserve"> $       603,815 </w:t>
            </w:r>
          </w:p>
        </w:tc>
      </w:tr>
      <w:tr w:rsidR="00983AD3" w:rsidRPr="00983AD3" w14:paraId="0811829F" w14:textId="77777777" w:rsidTr="3328C818">
        <w:trPr>
          <w:trHeight w:hRule="exact" w:val="288"/>
        </w:trPr>
        <w:tc>
          <w:tcPr>
            <w:tcW w:w="2163" w:type="pct"/>
            <w:tcBorders>
              <w:top w:val="nil"/>
              <w:left w:val="single" w:sz="8" w:space="0" w:color="auto"/>
              <w:bottom w:val="single" w:sz="4" w:space="0" w:color="auto"/>
              <w:right w:val="nil"/>
            </w:tcBorders>
            <w:shd w:val="clear" w:color="auto" w:fill="auto"/>
            <w:noWrap/>
            <w:vAlign w:val="bottom"/>
            <w:hideMark/>
          </w:tcPr>
          <w:p w14:paraId="1FED6757" w14:textId="77777777" w:rsidR="00983AD3" w:rsidRPr="00983AD3" w:rsidRDefault="00983AD3" w:rsidP="001B0492">
            <w:pPr>
              <w:pStyle w:val="Table-Text"/>
              <w:rPr>
                <w:rFonts w:eastAsia="Times New Roman" w:cs="Times New Roman"/>
                <w:color w:val="000000"/>
              </w:rPr>
            </w:pPr>
            <w:r w:rsidRPr="00983AD3">
              <w:t>Indirect Cost/Fixed O&amp;M</w:t>
            </w:r>
          </w:p>
        </w:tc>
        <w:tc>
          <w:tcPr>
            <w:tcW w:w="704" w:type="pct"/>
            <w:tcBorders>
              <w:top w:val="nil"/>
              <w:left w:val="single" w:sz="8" w:space="0" w:color="auto"/>
              <w:bottom w:val="single" w:sz="4" w:space="0" w:color="auto"/>
              <w:right w:val="nil"/>
            </w:tcBorders>
            <w:shd w:val="clear" w:color="auto" w:fill="auto"/>
            <w:noWrap/>
            <w:vAlign w:val="center"/>
            <w:hideMark/>
          </w:tcPr>
          <w:p w14:paraId="78F9107B" w14:textId="77777777" w:rsidR="00983AD3" w:rsidRPr="00983AD3" w:rsidRDefault="486E9EBF" w:rsidP="3328C818">
            <w:pPr>
              <w:pStyle w:val="Table-Text"/>
              <w:jc w:val="center"/>
              <w:rPr>
                <w:rFonts w:eastAsia="Times New Roman" w:cs="Times New Roman"/>
                <w:color w:val="000000"/>
              </w:rPr>
            </w:pPr>
            <w:r>
              <w:t xml:space="preserve"> $        312,297 </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14:paraId="05FA42C9" w14:textId="77777777" w:rsidR="00983AD3" w:rsidRPr="00983AD3" w:rsidRDefault="486E9EBF" w:rsidP="3328C818">
            <w:pPr>
              <w:pStyle w:val="Table-Text"/>
              <w:jc w:val="center"/>
              <w:rPr>
                <w:rFonts w:eastAsia="Times New Roman" w:cs="Times New Roman"/>
                <w:color w:val="000000"/>
              </w:rPr>
            </w:pPr>
            <w:r>
              <w:t xml:space="preserve"> $           322,537 </w:t>
            </w:r>
          </w:p>
        </w:tc>
        <w:tc>
          <w:tcPr>
            <w:tcW w:w="674" w:type="pct"/>
            <w:tcBorders>
              <w:top w:val="nil"/>
              <w:left w:val="nil"/>
              <w:bottom w:val="single" w:sz="4" w:space="0" w:color="auto"/>
              <w:right w:val="single" w:sz="4" w:space="0" w:color="auto"/>
            </w:tcBorders>
            <w:shd w:val="clear" w:color="auto" w:fill="auto"/>
            <w:noWrap/>
            <w:vAlign w:val="center"/>
            <w:hideMark/>
          </w:tcPr>
          <w:p w14:paraId="6CE0D57C" w14:textId="77777777" w:rsidR="00983AD3" w:rsidRPr="00983AD3" w:rsidRDefault="486E9EBF" w:rsidP="3328C818">
            <w:pPr>
              <w:pStyle w:val="Table-Text"/>
              <w:jc w:val="center"/>
              <w:rPr>
                <w:rFonts w:eastAsia="Times New Roman" w:cs="Times New Roman"/>
                <w:color w:val="000000"/>
              </w:rPr>
            </w:pPr>
            <w:r>
              <w:t xml:space="preserve"> $       338,298 </w:t>
            </w:r>
          </w:p>
        </w:tc>
        <w:tc>
          <w:tcPr>
            <w:tcW w:w="674" w:type="pct"/>
            <w:tcBorders>
              <w:top w:val="nil"/>
              <w:left w:val="nil"/>
              <w:bottom w:val="single" w:sz="4" w:space="0" w:color="auto"/>
              <w:right w:val="single" w:sz="8" w:space="0" w:color="auto"/>
            </w:tcBorders>
            <w:shd w:val="clear" w:color="auto" w:fill="auto"/>
            <w:noWrap/>
            <w:vAlign w:val="center"/>
            <w:hideMark/>
          </w:tcPr>
          <w:p w14:paraId="086AE64B" w14:textId="77777777" w:rsidR="00983AD3" w:rsidRPr="00983AD3" w:rsidRDefault="486E9EBF" w:rsidP="3328C818">
            <w:pPr>
              <w:pStyle w:val="Table-Text"/>
              <w:jc w:val="center"/>
              <w:rPr>
                <w:rFonts w:eastAsia="Times New Roman" w:cs="Times New Roman"/>
                <w:color w:val="000000"/>
              </w:rPr>
            </w:pPr>
            <w:r>
              <w:t xml:space="preserve"> $       660,835 </w:t>
            </w:r>
          </w:p>
        </w:tc>
      </w:tr>
      <w:tr w:rsidR="00983AD3" w:rsidRPr="00983AD3" w14:paraId="43057C18" w14:textId="77777777" w:rsidTr="3328C818">
        <w:trPr>
          <w:trHeight w:hRule="exact" w:val="288"/>
        </w:trPr>
        <w:tc>
          <w:tcPr>
            <w:tcW w:w="2163" w:type="pct"/>
            <w:tcBorders>
              <w:top w:val="nil"/>
              <w:left w:val="single" w:sz="8" w:space="0" w:color="auto"/>
              <w:bottom w:val="single" w:sz="4" w:space="0" w:color="auto"/>
              <w:right w:val="nil"/>
            </w:tcBorders>
            <w:shd w:val="clear" w:color="auto" w:fill="auto"/>
            <w:noWrap/>
            <w:vAlign w:val="bottom"/>
            <w:hideMark/>
          </w:tcPr>
          <w:p w14:paraId="2F794C48" w14:textId="77777777" w:rsidR="00983AD3" w:rsidRPr="00983AD3" w:rsidRDefault="00983AD3" w:rsidP="001B0492">
            <w:pPr>
              <w:pStyle w:val="Table-Text"/>
              <w:rPr>
                <w:rFonts w:eastAsia="Times New Roman" w:cs="Times New Roman"/>
                <w:color w:val="000000"/>
              </w:rPr>
            </w:pPr>
            <w:r w:rsidRPr="00983AD3">
              <w:t>Direct Cost/Variable O&amp;M</w:t>
            </w:r>
          </w:p>
        </w:tc>
        <w:tc>
          <w:tcPr>
            <w:tcW w:w="704" w:type="pct"/>
            <w:tcBorders>
              <w:top w:val="nil"/>
              <w:left w:val="single" w:sz="8" w:space="0" w:color="auto"/>
              <w:bottom w:val="single" w:sz="4" w:space="0" w:color="auto"/>
              <w:right w:val="nil"/>
            </w:tcBorders>
            <w:shd w:val="clear" w:color="auto" w:fill="auto"/>
            <w:noWrap/>
            <w:vAlign w:val="center"/>
            <w:hideMark/>
          </w:tcPr>
          <w:p w14:paraId="77A5413C" w14:textId="77777777" w:rsidR="00983AD3" w:rsidRPr="00983AD3" w:rsidRDefault="486E9EBF" w:rsidP="3328C818">
            <w:pPr>
              <w:pStyle w:val="Table-Text"/>
              <w:jc w:val="center"/>
              <w:rPr>
                <w:rFonts w:eastAsia="Times New Roman" w:cs="Times New Roman"/>
                <w:color w:val="000000"/>
              </w:rPr>
            </w:pPr>
            <w:r>
              <w:t xml:space="preserve"> $     1,054,806 </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14:paraId="19C492AF" w14:textId="77777777" w:rsidR="00983AD3" w:rsidRPr="00983AD3" w:rsidRDefault="486E9EBF" w:rsidP="3328C818">
            <w:pPr>
              <w:pStyle w:val="Table-Text"/>
              <w:jc w:val="center"/>
              <w:rPr>
                <w:rFonts w:eastAsia="Times New Roman" w:cs="Times New Roman"/>
                <w:color w:val="000000"/>
              </w:rPr>
            </w:pPr>
            <w:r>
              <w:t xml:space="preserve"> $        1,577,580 </w:t>
            </w:r>
          </w:p>
        </w:tc>
        <w:tc>
          <w:tcPr>
            <w:tcW w:w="674" w:type="pct"/>
            <w:tcBorders>
              <w:top w:val="nil"/>
              <w:left w:val="nil"/>
              <w:bottom w:val="single" w:sz="4" w:space="0" w:color="auto"/>
              <w:right w:val="single" w:sz="4" w:space="0" w:color="auto"/>
            </w:tcBorders>
            <w:shd w:val="clear" w:color="auto" w:fill="auto"/>
            <w:noWrap/>
            <w:vAlign w:val="center"/>
            <w:hideMark/>
          </w:tcPr>
          <w:p w14:paraId="253C0F07" w14:textId="77777777" w:rsidR="00983AD3" w:rsidRPr="00983AD3" w:rsidRDefault="486E9EBF" w:rsidP="3328C818">
            <w:pPr>
              <w:pStyle w:val="Table-Text"/>
              <w:jc w:val="center"/>
              <w:rPr>
                <w:rFonts w:eastAsia="Times New Roman" w:cs="Times New Roman"/>
                <w:color w:val="000000"/>
              </w:rPr>
            </w:pPr>
            <w:r>
              <w:t xml:space="preserve"> $       262,636 </w:t>
            </w:r>
          </w:p>
        </w:tc>
        <w:tc>
          <w:tcPr>
            <w:tcW w:w="674" w:type="pct"/>
            <w:tcBorders>
              <w:top w:val="nil"/>
              <w:left w:val="nil"/>
              <w:bottom w:val="single" w:sz="4" w:space="0" w:color="auto"/>
              <w:right w:val="single" w:sz="8" w:space="0" w:color="auto"/>
            </w:tcBorders>
            <w:shd w:val="clear" w:color="auto" w:fill="auto"/>
            <w:noWrap/>
            <w:vAlign w:val="center"/>
            <w:hideMark/>
          </w:tcPr>
          <w:p w14:paraId="0C195604" w14:textId="77777777" w:rsidR="00983AD3" w:rsidRPr="00983AD3" w:rsidRDefault="486E9EBF" w:rsidP="3328C818">
            <w:pPr>
              <w:pStyle w:val="Table-Text"/>
              <w:jc w:val="center"/>
              <w:rPr>
                <w:rFonts w:eastAsia="Times New Roman" w:cs="Times New Roman"/>
                <w:color w:val="000000"/>
              </w:rPr>
            </w:pPr>
            <w:r>
              <w:t xml:space="preserve"> $   1,840,216 </w:t>
            </w:r>
          </w:p>
        </w:tc>
      </w:tr>
      <w:tr w:rsidR="00983AD3" w:rsidRPr="00983AD3" w14:paraId="16244628" w14:textId="77777777" w:rsidTr="3328C818">
        <w:trPr>
          <w:trHeight w:hRule="exact" w:val="288"/>
        </w:trPr>
        <w:tc>
          <w:tcPr>
            <w:tcW w:w="2163" w:type="pct"/>
            <w:tcBorders>
              <w:top w:val="nil"/>
              <w:left w:val="single" w:sz="8" w:space="0" w:color="auto"/>
              <w:bottom w:val="single" w:sz="4" w:space="0" w:color="auto"/>
              <w:right w:val="nil"/>
            </w:tcBorders>
            <w:shd w:val="clear" w:color="auto" w:fill="auto"/>
            <w:noWrap/>
            <w:vAlign w:val="bottom"/>
            <w:hideMark/>
          </w:tcPr>
          <w:p w14:paraId="447677BD" w14:textId="77777777" w:rsidR="00983AD3" w:rsidRPr="00983AD3" w:rsidRDefault="00983AD3" w:rsidP="001B0492">
            <w:pPr>
              <w:pStyle w:val="Table-Text"/>
              <w:rPr>
                <w:rFonts w:eastAsia="Times New Roman" w:cs="Times New Roman"/>
                <w:color w:val="000000"/>
              </w:rPr>
            </w:pPr>
            <w:r w:rsidRPr="00983AD3">
              <w:t xml:space="preserve">Total </w:t>
            </w:r>
            <w:r w:rsidRPr="00983AD3">
              <w:rPr>
                <w:rFonts w:eastAsia="Times New Roman" w:cs="Times New Roman"/>
                <w:color w:val="000000"/>
              </w:rPr>
              <w:t xml:space="preserve">Annual Cost </w:t>
            </w:r>
          </w:p>
        </w:tc>
        <w:tc>
          <w:tcPr>
            <w:tcW w:w="704" w:type="pct"/>
            <w:tcBorders>
              <w:top w:val="nil"/>
              <w:left w:val="single" w:sz="8" w:space="0" w:color="auto"/>
              <w:bottom w:val="single" w:sz="4" w:space="0" w:color="auto"/>
              <w:right w:val="nil"/>
            </w:tcBorders>
            <w:shd w:val="clear" w:color="auto" w:fill="auto"/>
            <w:noWrap/>
            <w:vAlign w:val="center"/>
            <w:hideMark/>
          </w:tcPr>
          <w:p w14:paraId="16F6DA1B" w14:textId="77777777" w:rsidR="00983AD3" w:rsidRPr="00983AD3" w:rsidRDefault="486E9EBF" w:rsidP="3328C818">
            <w:pPr>
              <w:pStyle w:val="Table-Text"/>
              <w:jc w:val="center"/>
              <w:rPr>
                <w:rFonts w:eastAsia="Times New Roman" w:cs="Times New Roman"/>
                <w:color w:val="000000"/>
              </w:rPr>
            </w:pPr>
            <w:r>
              <w:t xml:space="preserve"> $     1,766,285 </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14:paraId="1719E9F2" w14:textId="77777777" w:rsidR="00983AD3" w:rsidRPr="00983AD3" w:rsidRDefault="486E9EBF" w:rsidP="3328C818">
            <w:pPr>
              <w:pStyle w:val="Table-Text"/>
              <w:jc w:val="center"/>
              <w:rPr>
                <w:rFonts w:eastAsia="Times New Roman" w:cs="Times New Roman"/>
                <w:color w:val="000000"/>
              </w:rPr>
            </w:pPr>
            <w:r>
              <w:t xml:space="preserve"> $        2,373,333 </w:t>
            </w:r>
          </w:p>
        </w:tc>
        <w:tc>
          <w:tcPr>
            <w:tcW w:w="674" w:type="pct"/>
            <w:tcBorders>
              <w:top w:val="nil"/>
              <w:left w:val="nil"/>
              <w:bottom w:val="single" w:sz="4" w:space="0" w:color="auto"/>
              <w:right w:val="single" w:sz="4" w:space="0" w:color="auto"/>
            </w:tcBorders>
            <w:shd w:val="clear" w:color="auto" w:fill="auto"/>
            <w:noWrap/>
            <w:vAlign w:val="center"/>
            <w:hideMark/>
          </w:tcPr>
          <w:p w14:paraId="58309BDD" w14:textId="77777777" w:rsidR="00983AD3" w:rsidRPr="00983AD3" w:rsidRDefault="486E9EBF" w:rsidP="3328C818">
            <w:pPr>
              <w:pStyle w:val="Table-Text"/>
              <w:jc w:val="center"/>
              <w:rPr>
                <w:rFonts w:eastAsia="Times New Roman" w:cs="Times New Roman"/>
                <w:color w:val="000000"/>
              </w:rPr>
            </w:pPr>
            <w:r>
              <w:t xml:space="preserve"> $       600,934 </w:t>
            </w:r>
          </w:p>
        </w:tc>
        <w:tc>
          <w:tcPr>
            <w:tcW w:w="674" w:type="pct"/>
            <w:tcBorders>
              <w:top w:val="nil"/>
              <w:left w:val="nil"/>
              <w:bottom w:val="single" w:sz="4" w:space="0" w:color="auto"/>
              <w:right w:val="single" w:sz="8" w:space="0" w:color="auto"/>
            </w:tcBorders>
            <w:shd w:val="clear" w:color="auto" w:fill="auto"/>
            <w:noWrap/>
            <w:vAlign w:val="center"/>
            <w:hideMark/>
          </w:tcPr>
          <w:p w14:paraId="5BD85AE7" w14:textId="77777777" w:rsidR="00983AD3" w:rsidRPr="00983AD3" w:rsidRDefault="486E9EBF" w:rsidP="3328C818">
            <w:pPr>
              <w:pStyle w:val="Table-Text"/>
              <w:jc w:val="center"/>
              <w:rPr>
                <w:rFonts w:eastAsia="Times New Roman" w:cs="Times New Roman"/>
                <w:color w:val="000000"/>
              </w:rPr>
            </w:pPr>
            <w:r>
              <w:t xml:space="preserve"> $   2,712,821 </w:t>
            </w:r>
          </w:p>
        </w:tc>
      </w:tr>
      <w:tr w:rsidR="00983AD3" w:rsidRPr="00983AD3" w14:paraId="66FF7A2D" w14:textId="77777777" w:rsidTr="3328C818">
        <w:trPr>
          <w:trHeight w:hRule="exact" w:val="288"/>
        </w:trPr>
        <w:tc>
          <w:tcPr>
            <w:tcW w:w="2163" w:type="pct"/>
            <w:tcBorders>
              <w:top w:val="nil"/>
              <w:left w:val="single" w:sz="8" w:space="0" w:color="auto"/>
              <w:bottom w:val="single" w:sz="4" w:space="0" w:color="auto"/>
              <w:right w:val="nil"/>
            </w:tcBorders>
            <w:shd w:val="clear" w:color="auto" w:fill="auto"/>
            <w:noWrap/>
            <w:vAlign w:val="bottom"/>
            <w:hideMark/>
          </w:tcPr>
          <w:p w14:paraId="08A43823" w14:textId="77777777" w:rsidR="00983AD3" w:rsidRPr="00983AD3" w:rsidRDefault="00983AD3" w:rsidP="001B0492">
            <w:pPr>
              <w:pStyle w:val="Table-Text"/>
              <w:rPr>
                <w:rFonts w:eastAsia="Times New Roman" w:cs="Times New Roman"/>
                <w:color w:val="000000"/>
              </w:rPr>
            </w:pPr>
            <w:r w:rsidRPr="00983AD3">
              <w:t>Uncontrolled SO2 Emission Rate (</w:t>
            </w:r>
            <w:proofErr w:type="spellStart"/>
            <w:r w:rsidRPr="00983AD3">
              <w:t>lb</w:t>
            </w:r>
            <w:proofErr w:type="spellEnd"/>
            <w:r w:rsidRPr="00983AD3">
              <w:t>/</w:t>
            </w:r>
            <w:proofErr w:type="spellStart"/>
            <w:r w:rsidRPr="00983AD3">
              <w:t>mmbtu</w:t>
            </w:r>
            <w:proofErr w:type="spellEnd"/>
            <w:r w:rsidRPr="00983AD3">
              <w:t>)</w:t>
            </w:r>
          </w:p>
        </w:tc>
        <w:tc>
          <w:tcPr>
            <w:tcW w:w="704" w:type="pct"/>
            <w:tcBorders>
              <w:top w:val="nil"/>
              <w:left w:val="single" w:sz="8" w:space="0" w:color="auto"/>
              <w:bottom w:val="single" w:sz="4" w:space="0" w:color="auto"/>
              <w:right w:val="nil"/>
            </w:tcBorders>
            <w:shd w:val="clear" w:color="auto" w:fill="auto"/>
            <w:noWrap/>
            <w:vAlign w:val="center"/>
            <w:hideMark/>
          </w:tcPr>
          <w:p w14:paraId="6A62593C" w14:textId="77777777" w:rsidR="00983AD3" w:rsidRPr="00983AD3" w:rsidRDefault="486E9EBF" w:rsidP="3328C818">
            <w:pPr>
              <w:pStyle w:val="Table-Text"/>
              <w:jc w:val="center"/>
              <w:rPr>
                <w:rFonts w:eastAsia="Times New Roman" w:cs="Times New Roman"/>
                <w:color w:val="000000"/>
              </w:rPr>
            </w:pPr>
            <w:r>
              <w:t xml:space="preserve">0.40 </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14:paraId="5A064CEE" w14:textId="77777777" w:rsidR="00983AD3" w:rsidRPr="00983AD3" w:rsidRDefault="486E9EBF" w:rsidP="3328C818">
            <w:pPr>
              <w:pStyle w:val="Table-Text"/>
              <w:jc w:val="center"/>
              <w:rPr>
                <w:rFonts w:eastAsia="Times New Roman" w:cs="Times New Roman"/>
                <w:color w:val="000000"/>
              </w:rPr>
            </w:pPr>
            <w:r>
              <w:t xml:space="preserve">0.40 </w:t>
            </w:r>
          </w:p>
        </w:tc>
        <w:tc>
          <w:tcPr>
            <w:tcW w:w="674" w:type="pct"/>
            <w:tcBorders>
              <w:top w:val="nil"/>
              <w:left w:val="nil"/>
              <w:bottom w:val="single" w:sz="4" w:space="0" w:color="auto"/>
              <w:right w:val="single" w:sz="4" w:space="0" w:color="auto"/>
            </w:tcBorders>
            <w:shd w:val="clear" w:color="auto" w:fill="auto"/>
            <w:noWrap/>
            <w:vAlign w:val="center"/>
            <w:hideMark/>
          </w:tcPr>
          <w:p w14:paraId="3EC22326" w14:textId="77777777" w:rsidR="00983AD3" w:rsidRPr="00983AD3" w:rsidRDefault="486E9EBF" w:rsidP="3328C818">
            <w:pPr>
              <w:pStyle w:val="Table-Text"/>
              <w:jc w:val="center"/>
              <w:rPr>
                <w:rFonts w:eastAsia="Times New Roman" w:cs="Times New Roman"/>
                <w:color w:val="000000"/>
              </w:rPr>
            </w:pPr>
            <w:r>
              <w:t> </w:t>
            </w:r>
          </w:p>
        </w:tc>
        <w:tc>
          <w:tcPr>
            <w:tcW w:w="674" w:type="pct"/>
            <w:tcBorders>
              <w:top w:val="nil"/>
              <w:left w:val="nil"/>
              <w:bottom w:val="single" w:sz="4" w:space="0" w:color="auto"/>
              <w:right w:val="single" w:sz="8" w:space="0" w:color="auto"/>
            </w:tcBorders>
            <w:shd w:val="clear" w:color="auto" w:fill="auto"/>
            <w:noWrap/>
            <w:vAlign w:val="center"/>
            <w:hideMark/>
          </w:tcPr>
          <w:p w14:paraId="38CB36BB" w14:textId="77777777" w:rsidR="00983AD3" w:rsidRPr="00983AD3" w:rsidRDefault="486E9EBF" w:rsidP="3328C818">
            <w:pPr>
              <w:pStyle w:val="Table-Text"/>
              <w:jc w:val="center"/>
              <w:rPr>
                <w:rFonts w:eastAsia="Times New Roman" w:cs="Times New Roman"/>
                <w:color w:val="000000"/>
              </w:rPr>
            </w:pPr>
            <w:r>
              <w:t xml:space="preserve">0.40 </w:t>
            </w:r>
          </w:p>
        </w:tc>
      </w:tr>
      <w:tr w:rsidR="00983AD3" w:rsidRPr="00983AD3" w14:paraId="76FD8E5A" w14:textId="77777777" w:rsidTr="3328C818">
        <w:trPr>
          <w:trHeight w:hRule="exact" w:val="288"/>
        </w:trPr>
        <w:tc>
          <w:tcPr>
            <w:tcW w:w="2163" w:type="pct"/>
            <w:tcBorders>
              <w:top w:val="nil"/>
              <w:left w:val="single" w:sz="8" w:space="0" w:color="auto"/>
              <w:bottom w:val="single" w:sz="4" w:space="0" w:color="auto"/>
              <w:right w:val="nil"/>
            </w:tcBorders>
            <w:shd w:val="clear" w:color="auto" w:fill="auto"/>
            <w:noWrap/>
            <w:vAlign w:val="bottom"/>
            <w:hideMark/>
          </w:tcPr>
          <w:p w14:paraId="1FF26452" w14:textId="77777777" w:rsidR="00983AD3" w:rsidRPr="00983AD3" w:rsidRDefault="00983AD3" w:rsidP="001B0492">
            <w:pPr>
              <w:pStyle w:val="Table-Text"/>
              <w:rPr>
                <w:rFonts w:eastAsia="Times New Roman" w:cs="Times New Roman"/>
                <w:color w:val="000000"/>
              </w:rPr>
            </w:pPr>
            <w:r w:rsidRPr="00983AD3">
              <w:t>Uncontrolled Tons</w:t>
            </w:r>
          </w:p>
        </w:tc>
        <w:tc>
          <w:tcPr>
            <w:tcW w:w="704" w:type="pct"/>
            <w:tcBorders>
              <w:top w:val="nil"/>
              <w:left w:val="single" w:sz="8" w:space="0" w:color="auto"/>
              <w:bottom w:val="single" w:sz="4" w:space="0" w:color="auto"/>
              <w:right w:val="nil"/>
            </w:tcBorders>
            <w:shd w:val="clear" w:color="auto" w:fill="auto"/>
            <w:noWrap/>
            <w:vAlign w:val="center"/>
            <w:hideMark/>
          </w:tcPr>
          <w:p w14:paraId="52BCF73F" w14:textId="77777777" w:rsidR="00983AD3" w:rsidRPr="00983AD3" w:rsidRDefault="486E9EBF" w:rsidP="3328C818">
            <w:pPr>
              <w:pStyle w:val="Table-Text"/>
              <w:jc w:val="center"/>
              <w:rPr>
                <w:rFonts w:eastAsia="Times New Roman" w:cs="Times New Roman"/>
                <w:color w:val="000000"/>
              </w:rPr>
            </w:pPr>
            <w:r>
              <w:t>735</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14:paraId="366613D0" w14:textId="77777777" w:rsidR="00983AD3" w:rsidRPr="00983AD3" w:rsidRDefault="486E9EBF" w:rsidP="3328C818">
            <w:pPr>
              <w:pStyle w:val="Table-Text"/>
              <w:jc w:val="center"/>
              <w:rPr>
                <w:rFonts w:eastAsia="Times New Roman" w:cs="Times New Roman"/>
                <w:color w:val="000000"/>
              </w:rPr>
            </w:pPr>
            <w:r>
              <w:t>735</w:t>
            </w:r>
            <w:r w:rsidRPr="3328C818">
              <w:rPr>
                <w:rFonts w:eastAsia="Times New Roman" w:cs="Times New Roman"/>
                <w:color w:val="000000" w:themeColor="text1"/>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0512E9EF" w14:textId="77777777" w:rsidR="00983AD3" w:rsidRPr="00983AD3" w:rsidRDefault="486E9EBF" w:rsidP="3328C818">
            <w:pPr>
              <w:pStyle w:val="Table-Text"/>
              <w:jc w:val="center"/>
              <w:rPr>
                <w:rFonts w:eastAsia="Times New Roman" w:cs="Times New Roman"/>
                <w:color w:val="000000"/>
              </w:rPr>
            </w:pPr>
            <w:r>
              <w:t> </w:t>
            </w:r>
          </w:p>
        </w:tc>
        <w:tc>
          <w:tcPr>
            <w:tcW w:w="674" w:type="pct"/>
            <w:tcBorders>
              <w:top w:val="nil"/>
              <w:left w:val="nil"/>
              <w:bottom w:val="single" w:sz="4" w:space="0" w:color="auto"/>
              <w:right w:val="single" w:sz="8" w:space="0" w:color="auto"/>
            </w:tcBorders>
            <w:shd w:val="clear" w:color="auto" w:fill="auto"/>
            <w:noWrap/>
            <w:vAlign w:val="center"/>
            <w:hideMark/>
          </w:tcPr>
          <w:p w14:paraId="41A5215C" w14:textId="77777777" w:rsidR="00983AD3" w:rsidRPr="00983AD3" w:rsidRDefault="486E9EBF" w:rsidP="3328C818">
            <w:pPr>
              <w:pStyle w:val="Table-Text"/>
              <w:jc w:val="center"/>
              <w:rPr>
                <w:rFonts w:eastAsia="Times New Roman" w:cs="Times New Roman"/>
                <w:color w:val="000000"/>
              </w:rPr>
            </w:pPr>
            <w:r>
              <w:t xml:space="preserve">735 </w:t>
            </w:r>
          </w:p>
        </w:tc>
      </w:tr>
      <w:tr w:rsidR="00983AD3" w:rsidRPr="00983AD3" w14:paraId="6AAA6F26" w14:textId="77777777" w:rsidTr="3328C818">
        <w:trPr>
          <w:trHeight w:hRule="exact" w:val="288"/>
        </w:trPr>
        <w:tc>
          <w:tcPr>
            <w:tcW w:w="2163" w:type="pct"/>
            <w:tcBorders>
              <w:top w:val="nil"/>
              <w:left w:val="single" w:sz="8" w:space="0" w:color="auto"/>
              <w:bottom w:val="single" w:sz="4" w:space="0" w:color="auto"/>
              <w:right w:val="nil"/>
            </w:tcBorders>
            <w:shd w:val="clear" w:color="auto" w:fill="auto"/>
            <w:noWrap/>
            <w:vAlign w:val="bottom"/>
            <w:hideMark/>
          </w:tcPr>
          <w:p w14:paraId="784AFAEB" w14:textId="77777777" w:rsidR="00983AD3" w:rsidRPr="00983AD3" w:rsidRDefault="00983AD3" w:rsidP="001B0492">
            <w:pPr>
              <w:pStyle w:val="Table-Text"/>
              <w:rPr>
                <w:rFonts w:eastAsia="Times New Roman" w:cs="Times New Roman"/>
                <w:color w:val="000000"/>
              </w:rPr>
            </w:pPr>
            <w:r w:rsidRPr="00983AD3">
              <w:t xml:space="preserve">SO2 </w:t>
            </w:r>
            <w:r w:rsidRPr="00983AD3">
              <w:rPr>
                <w:rFonts w:eastAsia="Times New Roman" w:cs="Times New Roman"/>
                <w:color w:val="000000"/>
              </w:rPr>
              <w:t>Removal Efficiency</w:t>
            </w:r>
          </w:p>
        </w:tc>
        <w:tc>
          <w:tcPr>
            <w:tcW w:w="704" w:type="pct"/>
            <w:tcBorders>
              <w:top w:val="nil"/>
              <w:left w:val="single" w:sz="8" w:space="0" w:color="auto"/>
              <w:bottom w:val="single" w:sz="4" w:space="0" w:color="auto"/>
              <w:right w:val="nil"/>
            </w:tcBorders>
            <w:shd w:val="clear" w:color="auto" w:fill="auto"/>
            <w:noWrap/>
            <w:vAlign w:val="center"/>
            <w:hideMark/>
          </w:tcPr>
          <w:p w14:paraId="7552B464" w14:textId="77777777" w:rsidR="00983AD3" w:rsidRPr="00983AD3" w:rsidRDefault="486E9EBF" w:rsidP="3328C818">
            <w:pPr>
              <w:pStyle w:val="Table-Text"/>
              <w:jc w:val="center"/>
              <w:rPr>
                <w:rFonts w:eastAsia="Times New Roman" w:cs="Times New Roman"/>
                <w:color w:val="000000"/>
              </w:rPr>
            </w:pPr>
            <w:r>
              <w:t>40</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14:paraId="00DF530C" w14:textId="77777777" w:rsidR="00983AD3" w:rsidRPr="00983AD3" w:rsidRDefault="486E9EBF" w:rsidP="3328C818">
            <w:pPr>
              <w:pStyle w:val="Table-Text"/>
              <w:jc w:val="center"/>
              <w:rPr>
                <w:rFonts w:eastAsia="Times New Roman" w:cs="Times New Roman"/>
                <w:color w:val="000000"/>
              </w:rPr>
            </w:pPr>
            <w:r>
              <w:t xml:space="preserve">80 </w:t>
            </w:r>
          </w:p>
        </w:tc>
        <w:tc>
          <w:tcPr>
            <w:tcW w:w="674" w:type="pct"/>
            <w:tcBorders>
              <w:top w:val="nil"/>
              <w:left w:val="nil"/>
              <w:bottom w:val="single" w:sz="4" w:space="0" w:color="auto"/>
              <w:right w:val="single" w:sz="4" w:space="0" w:color="auto"/>
            </w:tcBorders>
            <w:shd w:val="clear" w:color="auto" w:fill="auto"/>
            <w:noWrap/>
            <w:vAlign w:val="center"/>
            <w:hideMark/>
          </w:tcPr>
          <w:p w14:paraId="1281AA6F" w14:textId="77777777" w:rsidR="00983AD3" w:rsidRPr="00983AD3" w:rsidRDefault="486E9EBF" w:rsidP="3328C818">
            <w:pPr>
              <w:pStyle w:val="Table-Text"/>
              <w:jc w:val="center"/>
              <w:rPr>
                <w:rFonts w:eastAsia="Times New Roman" w:cs="Times New Roman"/>
                <w:color w:val="000000"/>
              </w:rPr>
            </w:pPr>
            <w:r>
              <w:t> </w:t>
            </w:r>
          </w:p>
        </w:tc>
        <w:tc>
          <w:tcPr>
            <w:tcW w:w="674" w:type="pct"/>
            <w:tcBorders>
              <w:top w:val="nil"/>
              <w:left w:val="nil"/>
              <w:bottom w:val="single" w:sz="4" w:space="0" w:color="auto"/>
              <w:right w:val="single" w:sz="8" w:space="0" w:color="auto"/>
            </w:tcBorders>
            <w:shd w:val="clear" w:color="auto" w:fill="auto"/>
            <w:noWrap/>
            <w:vAlign w:val="center"/>
            <w:hideMark/>
          </w:tcPr>
          <w:p w14:paraId="13742B36" w14:textId="77777777" w:rsidR="00983AD3" w:rsidRPr="00983AD3" w:rsidRDefault="486E9EBF" w:rsidP="3328C818">
            <w:pPr>
              <w:pStyle w:val="Table-Text"/>
              <w:jc w:val="center"/>
              <w:rPr>
                <w:rFonts w:eastAsia="Times New Roman" w:cs="Times New Roman"/>
                <w:color w:val="000000"/>
              </w:rPr>
            </w:pPr>
            <w:r>
              <w:t xml:space="preserve">80 </w:t>
            </w:r>
          </w:p>
        </w:tc>
      </w:tr>
      <w:tr w:rsidR="00983AD3" w:rsidRPr="00983AD3" w14:paraId="7B17403A" w14:textId="77777777" w:rsidTr="3328C818">
        <w:trPr>
          <w:trHeight w:hRule="exact" w:val="288"/>
        </w:trPr>
        <w:tc>
          <w:tcPr>
            <w:tcW w:w="2163" w:type="pct"/>
            <w:tcBorders>
              <w:top w:val="nil"/>
              <w:left w:val="single" w:sz="8" w:space="0" w:color="auto"/>
              <w:bottom w:val="single" w:sz="4" w:space="0" w:color="auto"/>
              <w:right w:val="nil"/>
            </w:tcBorders>
            <w:shd w:val="clear" w:color="auto" w:fill="auto"/>
            <w:noWrap/>
            <w:vAlign w:val="bottom"/>
            <w:hideMark/>
          </w:tcPr>
          <w:p w14:paraId="2776F3AA" w14:textId="77777777" w:rsidR="00983AD3" w:rsidRPr="00983AD3" w:rsidRDefault="00983AD3" w:rsidP="001B0492">
            <w:pPr>
              <w:pStyle w:val="Table-Text"/>
              <w:rPr>
                <w:rFonts w:eastAsia="Times New Roman" w:cs="Times New Roman"/>
                <w:color w:val="000000"/>
              </w:rPr>
            </w:pPr>
            <w:r w:rsidRPr="00983AD3">
              <w:t>Controlled SO2 Emission Rate (</w:t>
            </w:r>
            <w:proofErr w:type="spellStart"/>
            <w:r w:rsidRPr="00983AD3">
              <w:t>lb</w:t>
            </w:r>
            <w:proofErr w:type="spellEnd"/>
            <w:r w:rsidRPr="00983AD3">
              <w:t>/</w:t>
            </w:r>
            <w:proofErr w:type="spellStart"/>
            <w:r w:rsidRPr="00983AD3">
              <w:t>m</w:t>
            </w:r>
            <w:r w:rsidRPr="00983AD3">
              <w:rPr>
                <w:rFonts w:eastAsia="Times New Roman" w:cs="Times New Roman"/>
                <w:color w:val="000000"/>
              </w:rPr>
              <w:t>mbtu</w:t>
            </w:r>
            <w:proofErr w:type="spellEnd"/>
            <w:r w:rsidRPr="00983AD3">
              <w:rPr>
                <w:rFonts w:eastAsia="Times New Roman" w:cs="Times New Roman"/>
                <w:color w:val="000000"/>
              </w:rPr>
              <w:t>)</w:t>
            </w:r>
          </w:p>
        </w:tc>
        <w:tc>
          <w:tcPr>
            <w:tcW w:w="704" w:type="pct"/>
            <w:tcBorders>
              <w:top w:val="nil"/>
              <w:left w:val="single" w:sz="8" w:space="0" w:color="auto"/>
              <w:bottom w:val="single" w:sz="4" w:space="0" w:color="auto"/>
              <w:right w:val="nil"/>
            </w:tcBorders>
            <w:shd w:val="clear" w:color="auto" w:fill="auto"/>
            <w:noWrap/>
            <w:vAlign w:val="center"/>
            <w:hideMark/>
          </w:tcPr>
          <w:p w14:paraId="3EC9C3D2" w14:textId="77777777" w:rsidR="00983AD3" w:rsidRPr="00983AD3" w:rsidRDefault="486E9EBF" w:rsidP="3328C818">
            <w:pPr>
              <w:pStyle w:val="Table-Text"/>
              <w:jc w:val="center"/>
              <w:rPr>
                <w:rFonts w:eastAsia="Times New Roman" w:cs="Times New Roman"/>
                <w:color w:val="000000"/>
              </w:rPr>
            </w:pPr>
            <w:r>
              <w:t>0.24</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14:paraId="5D6A28C1" w14:textId="77777777" w:rsidR="00983AD3" w:rsidRPr="00983AD3" w:rsidRDefault="486E9EBF" w:rsidP="3328C818">
            <w:pPr>
              <w:pStyle w:val="Table-Text"/>
              <w:jc w:val="center"/>
              <w:rPr>
                <w:rFonts w:eastAsia="Times New Roman" w:cs="Times New Roman"/>
                <w:color w:val="000000"/>
              </w:rPr>
            </w:pPr>
            <w:r>
              <w:t xml:space="preserve">0.08 </w:t>
            </w:r>
          </w:p>
        </w:tc>
        <w:tc>
          <w:tcPr>
            <w:tcW w:w="674" w:type="pct"/>
            <w:tcBorders>
              <w:top w:val="nil"/>
              <w:left w:val="nil"/>
              <w:bottom w:val="single" w:sz="4" w:space="0" w:color="auto"/>
              <w:right w:val="single" w:sz="4" w:space="0" w:color="auto"/>
            </w:tcBorders>
            <w:shd w:val="clear" w:color="auto" w:fill="auto"/>
            <w:noWrap/>
            <w:vAlign w:val="center"/>
            <w:hideMark/>
          </w:tcPr>
          <w:p w14:paraId="4CAA494E" w14:textId="77777777" w:rsidR="00983AD3" w:rsidRPr="00983AD3" w:rsidRDefault="486E9EBF" w:rsidP="3328C818">
            <w:pPr>
              <w:pStyle w:val="Table-Text"/>
              <w:jc w:val="center"/>
              <w:rPr>
                <w:rFonts w:eastAsia="Times New Roman" w:cs="Times New Roman"/>
                <w:color w:val="000000"/>
              </w:rPr>
            </w:pPr>
            <w:r>
              <w:t> </w:t>
            </w:r>
          </w:p>
        </w:tc>
        <w:tc>
          <w:tcPr>
            <w:tcW w:w="674" w:type="pct"/>
            <w:tcBorders>
              <w:top w:val="nil"/>
              <w:left w:val="nil"/>
              <w:bottom w:val="single" w:sz="4" w:space="0" w:color="auto"/>
              <w:right w:val="single" w:sz="8" w:space="0" w:color="auto"/>
            </w:tcBorders>
            <w:shd w:val="clear" w:color="auto" w:fill="auto"/>
            <w:noWrap/>
            <w:vAlign w:val="center"/>
            <w:hideMark/>
          </w:tcPr>
          <w:p w14:paraId="3BCB2355" w14:textId="77777777" w:rsidR="00983AD3" w:rsidRPr="00983AD3" w:rsidRDefault="486E9EBF" w:rsidP="3328C818">
            <w:pPr>
              <w:pStyle w:val="Table-Text"/>
              <w:jc w:val="center"/>
              <w:rPr>
                <w:rFonts w:eastAsia="Times New Roman" w:cs="Times New Roman"/>
                <w:color w:val="000000"/>
              </w:rPr>
            </w:pPr>
            <w:r>
              <w:t xml:space="preserve">0.08 </w:t>
            </w:r>
          </w:p>
        </w:tc>
      </w:tr>
      <w:tr w:rsidR="00983AD3" w:rsidRPr="00983AD3" w14:paraId="419C4527" w14:textId="77777777" w:rsidTr="3328C818">
        <w:trPr>
          <w:trHeight w:hRule="exact" w:val="288"/>
        </w:trPr>
        <w:tc>
          <w:tcPr>
            <w:tcW w:w="2163" w:type="pct"/>
            <w:tcBorders>
              <w:top w:val="nil"/>
              <w:left w:val="single" w:sz="8" w:space="0" w:color="auto"/>
              <w:bottom w:val="single" w:sz="4" w:space="0" w:color="auto"/>
              <w:right w:val="nil"/>
            </w:tcBorders>
            <w:shd w:val="clear" w:color="auto" w:fill="auto"/>
            <w:noWrap/>
            <w:vAlign w:val="bottom"/>
            <w:hideMark/>
          </w:tcPr>
          <w:p w14:paraId="4607F4CB" w14:textId="77777777" w:rsidR="00983AD3" w:rsidRPr="00983AD3" w:rsidRDefault="00983AD3" w:rsidP="001B0492">
            <w:pPr>
              <w:pStyle w:val="Table-Text"/>
              <w:rPr>
                <w:rFonts w:eastAsia="Times New Roman" w:cs="Times New Roman"/>
                <w:color w:val="000000"/>
              </w:rPr>
            </w:pPr>
            <w:r w:rsidRPr="00983AD3">
              <w:t>Tons Removed</w:t>
            </w:r>
          </w:p>
        </w:tc>
        <w:tc>
          <w:tcPr>
            <w:tcW w:w="704" w:type="pct"/>
            <w:tcBorders>
              <w:top w:val="nil"/>
              <w:left w:val="single" w:sz="8" w:space="0" w:color="auto"/>
              <w:bottom w:val="single" w:sz="4" w:space="0" w:color="auto"/>
              <w:right w:val="nil"/>
            </w:tcBorders>
            <w:shd w:val="clear" w:color="auto" w:fill="auto"/>
            <w:noWrap/>
            <w:vAlign w:val="center"/>
            <w:hideMark/>
          </w:tcPr>
          <w:p w14:paraId="4F5EDB70" w14:textId="77777777" w:rsidR="00983AD3" w:rsidRPr="00983AD3" w:rsidRDefault="486E9EBF" w:rsidP="3328C818">
            <w:pPr>
              <w:pStyle w:val="Table-Text"/>
              <w:jc w:val="center"/>
              <w:rPr>
                <w:rFonts w:eastAsia="Times New Roman" w:cs="Times New Roman"/>
                <w:color w:val="000000"/>
              </w:rPr>
            </w:pPr>
            <w:r>
              <w:t>294</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14:paraId="05152F48" w14:textId="77777777" w:rsidR="00983AD3" w:rsidRPr="00983AD3" w:rsidRDefault="486E9EBF" w:rsidP="3328C818">
            <w:pPr>
              <w:pStyle w:val="Table-Text"/>
              <w:jc w:val="center"/>
              <w:rPr>
                <w:rFonts w:eastAsia="Times New Roman" w:cs="Times New Roman"/>
                <w:color w:val="000000"/>
              </w:rPr>
            </w:pPr>
            <w:r>
              <w:t xml:space="preserve">588 </w:t>
            </w:r>
          </w:p>
        </w:tc>
        <w:tc>
          <w:tcPr>
            <w:tcW w:w="674" w:type="pct"/>
            <w:tcBorders>
              <w:top w:val="nil"/>
              <w:left w:val="nil"/>
              <w:bottom w:val="single" w:sz="4" w:space="0" w:color="auto"/>
              <w:right w:val="single" w:sz="4" w:space="0" w:color="auto"/>
            </w:tcBorders>
            <w:shd w:val="clear" w:color="auto" w:fill="auto"/>
            <w:noWrap/>
            <w:vAlign w:val="center"/>
            <w:hideMark/>
          </w:tcPr>
          <w:p w14:paraId="18C39D99" w14:textId="77777777" w:rsidR="00983AD3" w:rsidRPr="00983AD3" w:rsidRDefault="486E9EBF" w:rsidP="3328C818">
            <w:pPr>
              <w:pStyle w:val="Table-Text"/>
              <w:jc w:val="center"/>
              <w:rPr>
                <w:rFonts w:eastAsia="Times New Roman" w:cs="Times New Roman"/>
                <w:color w:val="000000"/>
              </w:rPr>
            </w:pPr>
            <w:r>
              <w:t> </w:t>
            </w:r>
          </w:p>
        </w:tc>
        <w:tc>
          <w:tcPr>
            <w:tcW w:w="674" w:type="pct"/>
            <w:tcBorders>
              <w:top w:val="nil"/>
              <w:left w:val="nil"/>
              <w:bottom w:val="single" w:sz="4" w:space="0" w:color="auto"/>
              <w:right w:val="single" w:sz="8" w:space="0" w:color="auto"/>
            </w:tcBorders>
            <w:shd w:val="clear" w:color="auto" w:fill="auto"/>
            <w:noWrap/>
            <w:vAlign w:val="center"/>
            <w:hideMark/>
          </w:tcPr>
          <w:p w14:paraId="2381B227" w14:textId="77777777" w:rsidR="00983AD3" w:rsidRPr="00983AD3" w:rsidRDefault="486E9EBF" w:rsidP="3328C818">
            <w:pPr>
              <w:pStyle w:val="Table-Text"/>
              <w:jc w:val="center"/>
              <w:rPr>
                <w:rFonts w:eastAsia="Times New Roman" w:cs="Times New Roman"/>
                <w:color w:val="000000"/>
              </w:rPr>
            </w:pPr>
            <w:r>
              <w:t xml:space="preserve">588 </w:t>
            </w:r>
          </w:p>
        </w:tc>
      </w:tr>
      <w:tr w:rsidR="00983AD3" w:rsidRPr="00983AD3" w14:paraId="617B5206" w14:textId="77777777" w:rsidTr="3328C818">
        <w:trPr>
          <w:trHeight w:hRule="exact" w:val="288"/>
        </w:trPr>
        <w:tc>
          <w:tcPr>
            <w:tcW w:w="2163" w:type="pct"/>
            <w:tcBorders>
              <w:top w:val="nil"/>
              <w:left w:val="single" w:sz="8" w:space="0" w:color="auto"/>
              <w:bottom w:val="single" w:sz="8" w:space="0" w:color="auto"/>
              <w:right w:val="nil"/>
            </w:tcBorders>
            <w:shd w:val="clear" w:color="auto" w:fill="auto"/>
            <w:noWrap/>
            <w:vAlign w:val="bottom"/>
            <w:hideMark/>
          </w:tcPr>
          <w:p w14:paraId="2315D1D8" w14:textId="77777777" w:rsidR="00983AD3" w:rsidRPr="00983AD3" w:rsidRDefault="00983AD3" w:rsidP="001B0492">
            <w:pPr>
              <w:pStyle w:val="Table-Text"/>
              <w:rPr>
                <w:rFonts w:eastAsia="Times New Roman" w:cs="Times New Roman"/>
                <w:color w:val="000000"/>
              </w:rPr>
            </w:pPr>
            <w:r w:rsidRPr="00983AD3">
              <w:t>Cost-Effectiveness</w:t>
            </w:r>
          </w:p>
        </w:tc>
        <w:tc>
          <w:tcPr>
            <w:tcW w:w="704" w:type="pct"/>
            <w:tcBorders>
              <w:top w:val="nil"/>
              <w:left w:val="single" w:sz="8" w:space="0" w:color="auto"/>
              <w:bottom w:val="single" w:sz="8" w:space="0" w:color="auto"/>
              <w:right w:val="nil"/>
            </w:tcBorders>
            <w:shd w:val="clear" w:color="auto" w:fill="auto"/>
            <w:noWrap/>
            <w:vAlign w:val="center"/>
            <w:hideMark/>
          </w:tcPr>
          <w:p w14:paraId="45D709CC" w14:textId="77777777" w:rsidR="00983AD3" w:rsidRPr="00983AD3" w:rsidRDefault="486E9EBF" w:rsidP="3328C818">
            <w:pPr>
              <w:pStyle w:val="Table-Text"/>
              <w:jc w:val="center"/>
              <w:rPr>
                <w:rFonts w:eastAsia="Times New Roman" w:cs="Times New Roman"/>
                <w:color w:val="000000"/>
              </w:rPr>
            </w:pPr>
            <w:r>
              <w:t xml:space="preserve"> $            6,008 </w:t>
            </w:r>
          </w:p>
        </w:tc>
        <w:tc>
          <w:tcPr>
            <w:tcW w:w="785" w:type="pct"/>
            <w:tcBorders>
              <w:top w:val="nil"/>
              <w:left w:val="single" w:sz="8" w:space="0" w:color="auto"/>
              <w:bottom w:val="single" w:sz="8" w:space="0" w:color="auto"/>
              <w:right w:val="single" w:sz="4" w:space="0" w:color="auto"/>
            </w:tcBorders>
            <w:shd w:val="clear" w:color="auto" w:fill="auto"/>
            <w:noWrap/>
            <w:vAlign w:val="center"/>
            <w:hideMark/>
          </w:tcPr>
          <w:p w14:paraId="659FA2C9" w14:textId="77777777" w:rsidR="00983AD3" w:rsidRPr="00983AD3" w:rsidRDefault="486E9EBF" w:rsidP="3328C818">
            <w:pPr>
              <w:pStyle w:val="Table-Text"/>
              <w:jc w:val="center"/>
              <w:rPr>
                <w:rFonts w:eastAsia="Times New Roman" w:cs="Times New Roman"/>
                <w:color w:val="000000"/>
              </w:rPr>
            </w:pPr>
            <w:r>
              <w:t xml:space="preserve"> $               4,036 </w:t>
            </w:r>
          </w:p>
        </w:tc>
        <w:tc>
          <w:tcPr>
            <w:tcW w:w="674" w:type="pct"/>
            <w:tcBorders>
              <w:top w:val="nil"/>
              <w:left w:val="nil"/>
              <w:bottom w:val="single" w:sz="8" w:space="0" w:color="auto"/>
              <w:right w:val="single" w:sz="4" w:space="0" w:color="auto"/>
            </w:tcBorders>
            <w:shd w:val="clear" w:color="auto" w:fill="auto"/>
            <w:noWrap/>
            <w:vAlign w:val="center"/>
            <w:hideMark/>
          </w:tcPr>
          <w:p w14:paraId="3834E464" w14:textId="77777777" w:rsidR="00983AD3" w:rsidRPr="00983AD3" w:rsidRDefault="486E9EBF" w:rsidP="3328C818">
            <w:pPr>
              <w:pStyle w:val="Table-Text"/>
              <w:jc w:val="center"/>
              <w:rPr>
                <w:rFonts w:eastAsia="Times New Roman" w:cs="Times New Roman"/>
                <w:color w:val="000000"/>
              </w:rPr>
            </w:pPr>
            <w:r>
              <w:t> </w:t>
            </w:r>
          </w:p>
        </w:tc>
        <w:tc>
          <w:tcPr>
            <w:tcW w:w="674" w:type="pct"/>
            <w:tcBorders>
              <w:top w:val="nil"/>
              <w:left w:val="nil"/>
              <w:bottom w:val="single" w:sz="8" w:space="0" w:color="auto"/>
              <w:right w:val="single" w:sz="8" w:space="0" w:color="auto"/>
            </w:tcBorders>
            <w:shd w:val="clear" w:color="auto" w:fill="auto"/>
            <w:noWrap/>
            <w:vAlign w:val="center"/>
            <w:hideMark/>
          </w:tcPr>
          <w:p w14:paraId="602AB554" w14:textId="77777777" w:rsidR="00983AD3" w:rsidRPr="00983AD3" w:rsidRDefault="486E9EBF" w:rsidP="3328C818">
            <w:pPr>
              <w:pStyle w:val="Table-Text"/>
              <w:jc w:val="center"/>
              <w:rPr>
                <w:rFonts w:eastAsia="Times New Roman" w:cs="Times New Roman"/>
                <w:color w:val="000000"/>
              </w:rPr>
            </w:pPr>
            <w:r>
              <w:t xml:space="preserve"> $           4,614 </w:t>
            </w:r>
          </w:p>
        </w:tc>
      </w:tr>
    </w:tbl>
    <w:p w14:paraId="579BC09C" w14:textId="77777777" w:rsidR="00983AD3" w:rsidRDefault="00983AD3" w:rsidP="00B1738B">
      <w:pPr>
        <w:spacing w:line="240" w:lineRule="auto"/>
        <w:contextualSpacing/>
      </w:pPr>
    </w:p>
    <w:p w14:paraId="5FE08EE3" w14:textId="6D70D436" w:rsidR="00983AD3" w:rsidRDefault="00867FDB" w:rsidP="00B1738B">
      <w:pPr>
        <w:spacing w:line="240" w:lineRule="auto"/>
        <w:contextualSpacing/>
      </w:pPr>
      <w:r>
        <w:t>NPS analyses show that the</w:t>
      </w:r>
      <w:r w:rsidRPr="00751BAD">
        <w:t xml:space="preserve"> cost-effectiveness of adding DSI with milled trona to the existing system is $6,000/ton and with baghouse replacement is </w:t>
      </w:r>
      <w:r w:rsidR="00983AD3">
        <w:t xml:space="preserve">less than </w:t>
      </w:r>
      <w:r w:rsidRPr="00751BAD">
        <w:t>$5,000/ton</w:t>
      </w:r>
      <w:r w:rsidR="00BE4601">
        <w:t>; both of these options result in cost-effectiveness value</w:t>
      </w:r>
      <w:r w:rsidR="008979CA">
        <w:t xml:space="preserve">s </w:t>
      </w:r>
      <w:r w:rsidR="00BE4601">
        <w:t>well below MPCA’s $7,600/ton threshold</w:t>
      </w:r>
      <w:r w:rsidRPr="00751BAD">
        <w:t>.</w:t>
      </w:r>
    </w:p>
    <w:p w14:paraId="06169D45" w14:textId="77777777" w:rsidR="00293E74" w:rsidRDefault="00293E74">
      <w:pPr>
        <w:rPr>
          <w:rFonts w:asciiTheme="majorHAnsi" w:eastAsiaTheme="majorEastAsia" w:hAnsiTheme="majorHAnsi" w:cstheme="majorBidi"/>
          <w:i/>
          <w:iCs/>
          <w:color w:val="2F5496" w:themeColor="accent1" w:themeShade="BF"/>
        </w:rPr>
      </w:pPr>
      <w:r>
        <w:br w:type="page"/>
      </w:r>
    </w:p>
    <w:p w14:paraId="004C41D1" w14:textId="76E1B57C" w:rsidR="00B1738B" w:rsidRDefault="00B1738B" w:rsidP="00B1738B">
      <w:pPr>
        <w:pStyle w:val="Heading4"/>
        <w:spacing w:line="240" w:lineRule="auto"/>
        <w:contextualSpacing/>
      </w:pPr>
      <w:r>
        <w:t xml:space="preserve">Statutory Factor </w:t>
      </w:r>
      <w:r w:rsidR="008979CA">
        <w:t>2</w:t>
      </w:r>
      <w:r>
        <w:t>: Time Necessary for Compliance</w:t>
      </w:r>
    </w:p>
    <w:p w14:paraId="1551A88C" w14:textId="7AE15E8B" w:rsidR="00867FDB" w:rsidRDefault="00867FDB" w:rsidP="00B1738B">
      <w:pPr>
        <w:spacing w:line="240" w:lineRule="auto"/>
        <w:contextualSpacing/>
      </w:pPr>
      <w:r>
        <w:t>The NPS</w:t>
      </w:r>
      <w:r w:rsidRPr="00231210">
        <w:t xml:space="preserve"> estimate</w:t>
      </w:r>
      <w:r>
        <w:t>s that it would take</w:t>
      </w:r>
      <w:r w:rsidRPr="00231210">
        <w:t xml:space="preserve"> 18 months for DSI with milled trona</w:t>
      </w:r>
      <w:r>
        <w:t xml:space="preserve"> to be installed and operational.</w:t>
      </w:r>
    </w:p>
    <w:p w14:paraId="5D4B97B6" w14:textId="16FEBCCE" w:rsidR="00867FDB" w:rsidRDefault="00867FDB" w:rsidP="00B1738B">
      <w:pPr>
        <w:pStyle w:val="Heading4"/>
        <w:spacing w:line="240" w:lineRule="auto"/>
        <w:contextualSpacing/>
      </w:pPr>
      <w:r>
        <w:t>Statutory Factor 3: Energy and Non-Air Quality Environmental Impacts</w:t>
      </w:r>
    </w:p>
    <w:p w14:paraId="6D94DCFA" w14:textId="76B45C51" w:rsidR="00867FDB" w:rsidRDefault="00867FDB" w:rsidP="00B1738B">
      <w:pPr>
        <w:spacing w:line="240" w:lineRule="auto"/>
        <w:contextualSpacing/>
      </w:pPr>
      <w:bookmarkStart w:id="23" w:name="_Hlk108020040"/>
      <w:r>
        <w:t>When evaluating statutory factor 3, ACSC raises several potential concerns with respect to Dry FGD or DSI including energy use, solid waste production, and potentially shortened useful life of the boiler. NPS review finds that:</w:t>
      </w:r>
    </w:p>
    <w:bookmarkEnd w:id="23"/>
    <w:p w14:paraId="162F4214" w14:textId="2B122FF1" w:rsidR="00867FDB" w:rsidRDefault="00867FDB" w:rsidP="00B1738B">
      <w:pPr>
        <w:pStyle w:val="ListParagraph"/>
      </w:pPr>
      <w:r>
        <w:t>The energy impacts mentioned are most properly accounted for when analyzing statutory factor 1, Cost of Compliance.</w:t>
      </w:r>
    </w:p>
    <w:p w14:paraId="0AC1376E" w14:textId="2F20584E" w:rsidR="00867FDB" w:rsidRDefault="00867FDB" w:rsidP="00B1738B">
      <w:pPr>
        <w:pStyle w:val="ListParagraph"/>
      </w:pPr>
      <w:r>
        <w:t xml:space="preserve">Solid waste production is not a unique issue to this site and has been handled effectively in numerous instances. </w:t>
      </w:r>
    </w:p>
    <w:p w14:paraId="44F48341" w14:textId="3DF0475E" w:rsidR="00867FDB" w:rsidRDefault="00867FDB" w:rsidP="00B1738B">
      <w:pPr>
        <w:pStyle w:val="ListParagraph"/>
      </w:pPr>
      <w:r>
        <w:t xml:space="preserve">Factors that could affect boiler life can be avoided if sorbent is injected downstream of the boiler. </w:t>
      </w:r>
    </w:p>
    <w:p w14:paraId="376AE1D4" w14:textId="7C3629F4" w:rsidR="00867FDB" w:rsidRDefault="00867FDB" w:rsidP="00B1738B">
      <w:pPr>
        <w:pStyle w:val="Heading4"/>
        <w:spacing w:line="240" w:lineRule="auto"/>
        <w:contextualSpacing/>
      </w:pPr>
      <w:r w:rsidRPr="00294DA7">
        <w:t>Stat</w:t>
      </w:r>
      <w:r>
        <w:t>utory</w:t>
      </w:r>
      <w:r w:rsidRPr="00294DA7">
        <w:t xml:space="preserve"> Factor 4: Remaining Useful Life</w:t>
      </w:r>
    </w:p>
    <w:p w14:paraId="7D85C0BE" w14:textId="394EBC8F" w:rsidR="00867FDB" w:rsidRPr="001B6B3A" w:rsidRDefault="00867FDB" w:rsidP="00B1738B">
      <w:pPr>
        <w:spacing w:line="240" w:lineRule="auto"/>
        <w:contextualSpacing/>
      </w:pPr>
      <w:r>
        <w:t>ACS</w:t>
      </w:r>
      <w:r w:rsidR="00BE4601">
        <w:t>C</w:t>
      </w:r>
      <w:r>
        <w:t xml:space="preserve"> notes that the remaining useful life of the </w:t>
      </w:r>
      <w:r w:rsidR="00BE4601">
        <w:t>CRK</w:t>
      </w:r>
      <w:r>
        <w:t xml:space="preserve"> boilers is greater than 20 years. Therefore, the remaining useful life has no impact on the annualized estimated control technology costs. In addition, the CCM recommends 30-year life for scrubbers unless limited by a federally-enforceable condition.</w:t>
      </w:r>
    </w:p>
    <w:p w14:paraId="3F06F76C" w14:textId="7F7A0560" w:rsidR="00867FDB" w:rsidRDefault="00867FDB" w:rsidP="00B1738B">
      <w:pPr>
        <w:pStyle w:val="Heading3"/>
        <w:spacing w:line="240" w:lineRule="auto"/>
        <w:contextualSpacing/>
      </w:pPr>
      <w:r w:rsidRPr="00A9462F">
        <w:t>NO</w:t>
      </w:r>
      <w:r>
        <w:rPr>
          <w:vertAlign w:val="subscript"/>
        </w:rPr>
        <w:t>x</w:t>
      </w:r>
      <w:r>
        <w:t xml:space="preserve"> Four-factor Analysis</w:t>
      </w:r>
    </w:p>
    <w:p w14:paraId="292F8436" w14:textId="77777777" w:rsidR="00867FDB" w:rsidRDefault="00867FDB" w:rsidP="00B1738B">
      <w:pPr>
        <w:pStyle w:val="Heading4"/>
        <w:spacing w:line="240" w:lineRule="auto"/>
        <w:contextualSpacing/>
      </w:pPr>
      <w:r>
        <w:t>Control Selection &amp; Efficiency</w:t>
      </w:r>
    </w:p>
    <w:p w14:paraId="07FFD8F9" w14:textId="35F61489" w:rsidR="00867FDB" w:rsidRPr="00786FF4" w:rsidRDefault="00867FDB" w:rsidP="00B1738B">
      <w:pPr>
        <w:spacing w:line="240" w:lineRule="auto"/>
        <w:contextualSpacing/>
      </w:pPr>
      <w:r>
        <w:t>NPS review finds that t</w:t>
      </w:r>
      <w:r w:rsidRPr="00786FF4">
        <w:t xml:space="preserve">he controlled emission rates presented by </w:t>
      </w:r>
      <w:r w:rsidR="00BE4601">
        <w:t>MPCA</w:t>
      </w:r>
      <w:r w:rsidRPr="00786FF4">
        <w:t xml:space="preserve"> for SCR </w:t>
      </w:r>
      <w:r>
        <w:t>(</w:t>
      </w:r>
      <w:r w:rsidR="00BE4601">
        <w:t>see table below</w:t>
      </w:r>
      <w:r>
        <w:t xml:space="preserve">) </w:t>
      </w:r>
      <w:r w:rsidRPr="00786FF4">
        <w:t xml:space="preserve">are too high. SCR emissions (and efficiencies) are driven by chemical equilibrium factors. The CCM advises that SCR can achieve up to 90% control and reduce emissions down to 0.04 </w:t>
      </w:r>
      <w:proofErr w:type="spellStart"/>
      <w:r w:rsidRPr="00786FF4">
        <w:t>lb</w:t>
      </w:r>
      <w:proofErr w:type="spellEnd"/>
      <w:r w:rsidRPr="00786FF4">
        <w:t>/</w:t>
      </w:r>
      <w:proofErr w:type="spellStart"/>
      <w:r w:rsidRPr="00786FF4">
        <w:t>mmbtu</w:t>
      </w:r>
      <w:proofErr w:type="spellEnd"/>
      <w:r>
        <w:t xml:space="preserve">. </w:t>
      </w:r>
      <w:r w:rsidRPr="00786FF4">
        <w:t xml:space="preserve">In this case, </w:t>
      </w:r>
      <w:r w:rsidR="005202A6">
        <w:t>NPS</w:t>
      </w:r>
      <w:r w:rsidR="00B1738B">
        <w:t xml:space="preserve"> conservatively assumed that SCR could achieve </w:t>
      </w:r>
      <w:r w:rsidRPr="00786FF4">
        <w:t>0.0</w:t>
      </w:r>
      <w:r w:rsidR="00B1738B">
        <w:t>5</w:t>
      </w:r>
      <w:r w:rsidRPr="00786FF4">
        <w:t xml:space="preserve"> </w:t>
      </w:r>
      <w:proofErr w:type="spellStart"/>
      <w:r w:rsidRPr="00786FF4">
        <w:t>lb</w:t>
      </w:r>
      <w:proofErr w:type="spellEnd"/>
      <w:r w:rsidRPr="00786FF4">
        <w:t>/</w:t>
      </w:r>
      <w:proofErr w:type="spellStart"/>
      <w:r w:rsidRPr="00786FF4">
        <w:t>mmBtu</w:t>
      </w:r>
      <w:proofErr w:type="spellEnd"/>
      <w:r w:rsidRPr="00786FF4">
        <w:t xml:space="preserve"> </w:t>
      </w:r>
      <w:r w:rsidR="00B1738B">
        <w:t xml:space="preserve">which </w:t>
      </w:r>
      <w:r w:rsidRPr="00786FF4">
        <w:t xml:space="preserve">would require </w:t>
      </w:r>
      <w:r w:rsidR="00BE4601">
        <w:t xml:space="preserve">84% - </w:t>
      </w:r>
      <w:r w:rsidRPr="00786FF4">
        <w:t>8</w:t>
      </w:r>
      <w:r w:rsidR="00B1738B">
        <w:t>5</w:t>
      </w:r>
      <w:r w:rsidRPr="00786FF4">
        <w:t xml:space="preserve">% control efficiency, which is </w:t>
      </w:r>
      <w:r w:rsidR="00B1738B">
        <w:t xml:space="preserve">easily </w:t>
      </w:r>
      <w:r w:rsidRPr="00786FF4">
        <w:t>within the capability of SCR.</w:t>
      </w:r>
    </w:p>
    <w:p w14:paraId="1EEFCAD2" w14:textId="77777777" w:rsidR="00867FDB" w:rsidRDefault="00867FDB" w:rsidP="00B1738B">
      <w:pPr>
        <w:pStyle w:val="Heading4"/>
        <w:spacing w:line="240" w:lineRule="auto"/>
        <w:contextualSpacing/>
      </w:pPr>
      <w:r>
        <w:t>Statutory Factor 1: Cost of Compliance</w:t>
      </w:r>
    </w:p>
    <w:p w14:paraId="4B7C57BA" w14:textId="1D5933C1" w:rsidR="00867FDB" w:rsidRDefault="00867FDB" w:rsidP="00B1738B">
      <w:pPr>
        <w:spacing w:line="240" w:lineRule="auto"/>
        <w:contextualSpacing/>
      </w:pPr>
      <w:r w:rsidRPr="003815E0">
        <w:t>On February 21, 2022, HDR submitted an “Updated Selective Non-Catalytic Reduction Performance Data for American Crystal Sugar Company Four Factor Analysis” to MPCA.</w:t>
      </w:r>
    </w:p>
    <w:p w14:paraId="3F41A17A" w14:textId="64EFDA9E" w:rsidR="00867FDB" w:rsidRPr="005D788F" w:rsidRDefault="00867FDB" w:rsidP="00B1738B">
      <w:pPr>
        <w:spacing w:line="240" w:lineRule="auto"/>
        <w:contextualSpacing/>
        <w:rPr>
          <w:bCs/>
        </w:rPr>
      </w:pPr>
      <w:r w:rsidRPr="005D788F">
        <w:t>ACSC’s SCR costs are inflated for several reasons:</w:t>
      </w:r>
    </w:p>
    <w:p w14:paraId="53DC8B4D" w14:textId="0B5BD8EC" w:rsidR="00867FDB" w:rsidRPr="005D788F" w:rsidRDefault="00867FDB" w:rsidP="00B1738B">
      <w:pPr>
        <w:pStyle w:val="ListParagraph"/>
      </w:pPr>
      <w:r w:rsidRPr="005D788F">
        <w:t>ACSC</w:t>
      </w:r>
      <w:r w:rsidR="00A428B5">
        <w:t xml:space="preserve"> and MPCA</w:t>
      </w:r>
      <w:r w:rsidRPr="005D788F">
        <w:t xml:space="preserve"> applied undocumented retrofit factors (1.5) </w:t>
      </w:r>
    </w:p>
    <w:p w14:paraId="43FFC128" w14:textId="77777777" w:rsidR="0063704C" w:rsidRPr="003278C4" w:rsidRDefault="0063704C" w:rsidP="0063704C">
      <w:pPr>
        <w:pStyle w:val="ListParagraph"/>
      </w:pPr>
      <w:r w:rsidRPr="003278C4">
        <w:t>SCR life is underestimated. The CCM recommends 20 – 25 years: while ACSC used 20 years, it also estimates that the SCR would only operate 265 days per year.</w:t>
      </w:r>
      <w:r w:rsidRPr="003278C4">
        <w:rPr>
          <w:vertAlign w:val="superscript"/>
        </w:rPr>
        <w:footnoteReference w:id="7"/>
      </w:r>
      <w:r w:rsidRPr="003278C4">
        <w:t xml:space="preserve"> Such limited operation should allow SCR to operate for at least 25 years.</w:t>
      </w:r>
    </w:p>
    <w:p w14:paraId="06A059AC" w14:textId="6A7BE8DF" w:rsidR="00867FDB" w:rsidRPr="005D788F" w:rsidRDefault="00867FDB" w:rsidP="00B1738B">
      <w:pPr>
        <w:pStyle w:val="ListParagraph"/>
      </w:pPr>
      <w:r w:rsidRPr="005D788F">
        <w:t xml:space="preserve">ACSC stated that Boilers 1 &amp; 2 have rated capacities of 137 </w:t>
      </w:r>
      <w:proofErr w:type="spellStart"/>
      <w:r w:rsidRPr="005D788F">
        <w:t>mmBtu</w:t>
      </w:r>
      <w:proofErr w:type="spellEnd"/>
      <w:r w:rsidRPr="005D788F">
        <w:t>/</w:t>
      </w:r>
      <w:proofErr w:type="spellStart"/>
      <w:r w:rsidRPr="005D788F">
        <w:t>hr</w:t>
      </w:r>
      <w:proofErr w:type="spellEnd"/>
      <w:r w:rsidRPr="005D788F">
        <w:t xml:space="preserve"> and that annual </w:t>
      </w:r>
      <w:r w:rsidRPr="00A9462F">
        <w:t>NO</w:t>
      </w:r>
      <w:r>
        <w:rPr>
          <w:vertAlign w:val="subscript"/>
        </w:rPr>
        <w:t>x</w:t>
      </w:r>
      <w:r w:rsidRPr="005D788F">
        <w:t xml:space="preserve"> emissions are 209 tons at 0.33 </w:t>
      </w:r>
      <w:proofErr w:type="spellStart"/>
      <w:r w:rsidRPr="005D788F">
        <w:t>lb</w:t>
      </w:r>
      <w:proofErr w:type="spellEnd"/>
      <w:r w:rsidRPr="005D788F">
        <w:t>/</w:t>
      </w:r>
      <w:proofErr w:type="spellStart"/>
      <w:r w:rsidRPr="005D788F">
        <w:t>mmBtu</w:t>
      </w:r>
      <w:proofErr w:type="spellEnd"/>
      <w:r w:rsidRPr="005D788F">
        <w:t xml:space="preserve">. However, at maximum capacity, Boilers 1 &amp; 2 can emit no more than 198 </w:t>
      </w:r>
      <w:proofErr w:type="spellStart"/>
      <w:r w:rsidRPr="005D788F">
        <w:t>tpy</w:t>
      </w:r>
      <w:proofErr w:type="spellEnd"/>
      <w:r w:rsidRPr="005D788F">
        <w:t>.</w:t>
      </w:r>
    </w:p>
    <w:p w14:paraId="7FC86435" w14:textId="5411D5D3" w:rsidR="00867FDB" w:rsidRPr="005D788F" w:rsidRDefault="00867FDB" w:rsidP="00B1738B">
      <w:pPr>
        <w:spacing w:line="240" w:lineRule="auto"/>
        <w:contextualSpacing/>
        <w:rPr>
          <w:bCs/>
        </w:rPr>
      </w:pPr>
      <w:r>
        <w:rPr>
          <w:bCs/>
        </w:rPr>
        <w:t>NPS</w:t>
      </w:r>
      <w:r w:rsidRPr="005D788F">
        <w:rPr>
          <w:bCs/>
        </w:rPr>
        <w:t xml:space="preserve"> estimates are based 10% control by SNCR and </w:t>
      </w:r>
      <w:r w:rsidR="0096546C">
        <w:rPr>
          <w:bCs/>
        </w:rPr>
        <w:t xml:space="preserve">84% - </w:t>
      </w:r>
      <w:r w:rsidRPr="005D788F">
        <w:rPr>
          <w:bCs/>
        </w:rPr>
        <w:t xml:space="preserve">85% control by SCR (0.05 </w:t>
      </w:r>
      <w:proofErr w:type="spellStart"/>
      <w:r w:rsidRPr="005D788F">
        <w:rPr>
          <w:bCs/>
        </w:rPr>
        <w:t>lb</w:t>
      </w:r>
      <w:proofErr w:type="spellEnd"/>
      <w:r w:rsidRPr="005D788F">
        <w:rPr>
          <w:bCs/>
        </w:rPr>
        <w:t>/</w:t>
      </w:r>
      <w:proofErr w:type="spellStart"/>
      <w:r w:rsidRPr="005D788F">
        <w:rPr>
          <w:bCs/>
        </w:rPr>
        <w:t>mmBtu</w:t>
      </w:r>
      <w:proofErr w:type="spellEnd"/>
      <w:r w:rsidRPr="005D788F">
        <w:rPr>
          <w:bCs/>
        </w:rPr>
        <w:t>) and are shown below.</w:t>
      </w:r>
    </w:p>
    <w:p w14:paraId="45B93259" w14:textId="183FD8E8" w:rsidR="00867FDB" w:rsidRDefault="00867FDB" w:rsidP="00B1738B">
      <w:pPr>
        <w:pStyle w:val="Caption"/>
        <w:contextualSpacing/>
      </w:pPr>
      <w:r>
        <w:t xml:space="preserve">Table </w:t>
      </w:r>
      <w:r>
        <w:fldChar w:fldCharType="begin"/>
      </w:r>
      <w:r>
        <w:instrText>SEQ Table \* ARABIC</w:instrText>
      </w:r>
      <w:r>
        <w:fldChar w:fldCharType="separate"/>
      </w:r>
      <w:r w:rsidR="00A402DD">
        <w:rPr>
          <w:noProof/>
        </w:rPr>
        <w:t>4</w:t>
      </w:r>
      <w:r>
        <w:fldChar w:fldCharType="end"/>
      </w:r>
      <w:r>
        <w:t xml:space="preserve">. NPS/MPCA </w:t>
      </w:r>
      <w:r w:rsidRPr="00A9462F">
        <w:t>NO</w:t>
      </w:r>
      <w:r>
        <w:rPr>
          <w:vertAlign w:val="subscript"/>
        </w:rPr>
        <w:t>x</w:t>
      </w:r>
      <w:r>
        <w:t xml:space="preserve"> Control Cost Estimate Comparison for SNCR and SCR at ACSC Boilers 1 &amp; 2</w:t>
      </w:r>
    </w:p>
    <w:tbl>
      <w:tblPr>
        <w:tblW w:w="5000" w:type="pct"/>
        <w:tblLook w:val="04A0" w:firstRow="1" w:lastRow="0" w:firstColumn="1" w:lastColumn="0" w:noHBand="0" w:noVBand="1"/>
      </w:tblPr>
      <w:tblGrid>
        <w:gridCol w:w="4228"/>
        <w:gridCol w:w="1227"/>
        <w:gridCol w:w="1229"/>
        <w:gridCol w:w="1326"/>
        <w:gridCol w:w="1330"/>
      </w:tblGrid>
      <w:tr w:rsidR="00B1738B" w:rsidRPr="00B1738B" w14:paraId="1A9ABDFA" w14:textId="77777777" w:rsidTr="3328C818">
        <w:trPr>
          <w:trHeight w:val="290"/>
        </w:trPr>
        <w:tc>
          <w:tcPr>
            <w:tcW w:w="2263" w:type="pct"/>
            <w:tcBorders>
              <w:top w:val="single" w:sz="8" w:space="0" w:color="auto"/>
              <w:left w:val="single" w:sz="8" w:space="0" w:color="auto"/>
              <w:bottom w:val="single" w:sz="4" w:space="0" w:color="auto"/>
              <w:right w:val="nil"/>
            </w:tcBorders>
            <w:shd w:val="clear" w:color="auto" w:fill="auto"/>
            <w:noWrap/>
            <w:vAlign w:val="bottom"/>
            <w:hideMark/>
          </w:tcPr>
          <w:p w14:paraId="18338586" w14:textId="77777777" w:rsidR="00B1738B" w:rsidRPr="001B0492" w:rsidRDefault="00B1738B" w:rsidP="001B0492">
            <w:pPr>
              <w:pStyle w:val="Table-Text"/>
              <w:rPr>
                <w:b/>
              </w:rPr>
            </w:pPr>
            <w:r w:rsidRPr="001B0492">
              <w:rPr>
                <w:b/>
              </w:rPr>
              <w:t>ACS CRK Boilers 1 &amp; 2</w:t>
            </w:r>
          </w:p>
        </w:tc>
        <w:tc>
          <w:tcPr>
            <w:tcW w:w="1315" w:type="pct"/>
            <w:gridSpan w:val="2"/>
            <w:tcBorders>
              <w:top w:val="single" w:sz="8" w:space="0" w:color="auto"/>
              <w:left w:val="single" w:sz="8" w:space="0" w:color="auto"/>
              <w:bottom w:val="single" w:sz="4" w:space="0" w:color="auto"/>
              <w:right w:val="single" w:sz="8" w:space="0" w:color="000000" w:themeColor="text1"/>
            </w:tcBorders>
            <w:shd w:val="clear" w:color="auto" w:fill="auto"/>
            <w:noWrap/>
            <w:vAlign w:val="center"/>
            <w:hideMark/>
          </w:tcPr>
          <w:p w14:paraId="0B9623A6" w14:textId="77777777" w:rsidR="00B1738B" w:rsidRPr="001B0492" w:rsidRDefault="48EF8FC6" w:rsidP="3328C818">
            <w:pPr>
              <w:pStyle w:val="Table-Text"/>
              <w:jc w:val="center"/>
              <w:rPr>
                <w:b/>
                <w:bCs/>
              </w:rPr>
            </w:pPr>
            <w:r w:rsidRPr="3328C818">
              <w:rPr>
                <w:b/>
                <w:bCs/>
              </w:rPr>
              <w:t>SNCR</w:t>
            </w:r>
          </w:p>
        </w:tc>
        <w:tc>
          <w:tcPr>
            <w:tcW w:w="1422" w:type="pct"/>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19E2531A" w14:textId="77777777" w:rsidR="00B1738B" w:rsidRPr="001B0492" w:rsidRDefault="48EF8FC6" w:rsidP="3328C818">
            <w:pPr>
              <w:pStyle w:val="Table-Text"/>
              <w:jc w:val="center"/>
              <w:rPr>
                <w:b/>
                <w:bCs/>
              </w:rPr>
            </w:pPr>
            <w:r w:rsidRPr="3328C818">
              <w:rPr>
                <w:b/>
                <w:bCs/>
              </w:rPr>
              <w:t>SCR</w:t>
            </w:r>
          </w:p>
        </w:tc>
      </w:tr>
      <w:tr w:rsidR="00B1738B" w:rsidRPr="00B1738B" w14:paraId="46600247" w14:textId="77777777" w:rsidTr="3328C818">
        <w:trPr>
          <w:trHeight w:val="300"/>
        </w:trPr>
        <w:tc>
          <w:tcPr>
            <w:tcW w:w="2263" w:type="pct"/>
            <w:tcBorders>
              <w:top w:val="nil"/>
              <w:left w:val="single" w:sz="8" w:space="0" w:color="auto"/>
              <w:bottom w:val="single" w:sz="8" w:space="0" w:color="auto"/>
              <w:right w:val="nil"/>
            </w:tcBorders>
            <w:shd w:val="clear" w:color="auto" w:fill="auto"/>
            <w:noWrap/>
            <w:vAlign w:val="center"/>
            <w:hideMark/>
          </w:tcPr>
          <w:p w14:paraId="3D76D5C5" w14:textId="77777777" w:rsidR="00B1738B" w:rsidRPr="001B0492" w:rsidRDefault="00B1738B" w:rsidP="001B0492">
            <w:pPr>
              <w:pStyle w:val="Table-Text"/>
              <w:rPr>
                <w:b/>
              </w:rPr>
            </w:pPr>
            <w:r w:rsidRPr="001B0492">
              <w:rPr>
                <w:b/>
              </w:rPr>
              <w:t>Control Technology</w:t>
            </w:r>
          </w:p>
        </w:tc>
        <w:tc>
          <w:tcPr>
            <w:tcW w:w="657" w:type="pct"/>
            <w:tcBorders>
              <w:top w:val="nil"/>
              <w:left w:val="single" w:sz="8" w:space="0" w:color="auto"/>
              <w:bottom w:val="single" w:sz="8" w:space="0" w:color="auto"/>
              <w:right w:val="single" w:sz="4" w:space="0" w:color="auto"/>
            </w:tcBorders>
            <w:shd w:val="clear" w:color="auto" w:fill="auto"/>
            <w:noWrap/>
            <w:vAlign w:val="center"/>
            <w:hideMark/>
          </w:tcPr>
          <w:p w14:paraId="12F3B804" w14:textId="77777777" w:rsidR="00B1738B" w:rsidRPr="001B0492" w:rsidRDefault="48EF8FC6" w:rsidP="3328C818">
            <w:pPr>
              <w:pStyle w:val="Table-Text"/>
              <w:jc w:val="center"/>
              <w:rPr>
                <w:b/>
                <w:bCs/>
              </w:rPr>
            </w:pPr>
            <w:r w:rsidRPr="3328C818">
              <w:rPr>
                <w:b/>
                <w:bCs/>
              </w:rPr>
              <w:t>ARD</w:t>
            </w:r>
          </w:p>
        </w:tc>
        <w:tc>
          <w:tcPr>
            <w:tcW w:w="657" w:type="pct"/>
            <w:tcBorders>
              <w:top w:val="nil"/>
              <w:left w:val="nil"/>
              <w:bottom w:val="single" w:sz="8" w:space="0" w:color="auto"/>
              <w:right w:val="single" w:sz="8" w:space="0" w:color="auto"/>
            </w:tcBorders>
            <w:shd w:val="clear" w:color="auto" w:fill="auto"/>
            <w:noWrap/>
            <w:vAlign w:val="center"/>
            <w:hideMark/>
          </w:tcPr>
          <w:p w14:paraId="2AE735F0" w14:textId="77777777" w:rsidR="00B1738B" w:rsidRPr="001B0492" w:rsidRDefault="48EF8FC6" w:rsidP="3328C818">
            <w:pPr>
              <w:pStyle w:val="Table-Text"/>
              <w:jc w:val="center"/>
              <w:rPr>
                <w:b/>
                <w:bCs/>
              </w:rPr>
            </w:pPr>
            <w:r w:rsidRPr="3328C818">
              <w:rPr>
                <w:b/>
                <w:bCs/>
              </w:rPr>
              <w:t>MPCA</w:t>
            </w:r>
          </w:p>
        </w:tc>
        <w:tc>
          <w:tcPr>
            <w:tcW w:w="710" w:type="pct"/>
            <w:tcBorders>
              <w:top w:val="nil"/>
              <w:left w:val="nil"/>
              <w:bottom w:val="single" w:sz="8" w:space="0" w:color="auto"/>
              <w:right w:val="single" w:sz="4" w:space="0" w:color="auto"/>
            </w:tcBorders>
            <w:shd w:val="clear" w:color="auto" w:fill="auto"/>
            <w:noWrap/>
            <w:vAlign w:val="center"/>
            <w:hideMark/>
          </w:tcPr>
          <w:p w14:paraId="030D12C8" w14:textId="77777777" w:rsidR="00B1738B" w:rsidRPr="001B0492" w:rsidRDefault="48EF8FC6" w:rsidP="3328C818">
            <w:pPr>
              <w:pStyle w:val="Table-Text"/>
              <w:jc w:val="center"/>
              <w:rPr>
                <w:b/>
                <w:bCs/>
              </w:rPr>
            </w:pPr>
            <w:r w:rsidRPr="3328C818">
              <w:rPr>
                <w:b/>
                <w:bCs/>
              </w:rPr>
              <w:t>ARD</w:t>
            </w:r>
          </w:p>
        </w:tc>
        <w:tc>
          <w:tcPr>
            <w:tcW w:w="712" w:type="pct"/>
            <w:tcBorders>
              <w:top w:val="nil"/>
              <w:left w:val="nil"/>
              <w:bottom w:val="single" w:sz="8" w:space="0" w:color="auto"/>
              <w:right w:val="single" w:sz="8" w:space="0" w:color="auto"/>
            </w:tcBorders>
            <w:shd w:val="clear" w:color="auto" w:fill="auto"/>
            <w:noWrap/>
            <w:vAlign w:val="center"/>
            <w:hideMark/>
          </w:tcPr>
          <w:p w14:paraId="279626EC" w14:textId="77777777" w:rsidR="00B1738B" w:rsidRPr="001B0492" w:rsidRDefault="48EF8FC6" w:rsidP="3328C818">
            <w:pPr>
              <w:pStyle w:val="Table-Text"/>
              <w:jc w:val="center"/>
              <w:rPr>
                <w:b/>
                <w:bCs/>
              </w:rPr>
            </w:pPr>
            <w:r w:rsidRPr="3328C818">
              <w:rPr>
                <w:b/>
                <w:bCs/>
              </w:rPr>
              <w:t>MPCA</w:t>
            </w:r>
          </w:p>
        </w:tc>
      </w:tr>
      <w:tr w:rsidR="00B1738B" w:rsidRPr="00B1738B" w14:paraId="442B3915"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center"/>
            <w:hideMark/>
          </w:tcPr>
          <w:p w14:paraId="6C4446C4" w14:textId="77777777" w:rsidR="00B1738B" w:rsidRPr="00B1738B" w:rsidRDefault="00B1738B" w:rsidP="001B0492">
            <w:pPr>
              <w:pStyle w:val="Table-Text"/>
            </w:pPr>
            <w:r w:rsidRPr="00B1738B">
              <w:t>Capacity (</w:t>
            </w:r>
            <w:proofErr w:type="spellStart"/>
            <w:r w:rsidRPr="00B1738B">
              <w:t>mmBtu</w:t>
            </w:r>
            <w:proofErr w:type="spellEnd"/>
            <w:r w:rsidRPr="00B1738B">
              <w:t>/</w:t>
            </w:r>
            <w:proofErr w:type="spellStart"/>
            <w:r w:rsidRPr="00B1738B">
              <w:t>hr</w:t>
            </w:r>
            <w:proofErr w:type="spellEnd"/>
            <w:r w:rsidRPr="00B1738B">
              <w:t>)</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125BB967" w14:textId="77777777" w:rsidR="00B1738B" w:rsidRPr="00B1738B" w:rsidRDefault="48EF8FC6" w:rsidP="3328C818">
            <w:pPr>
              <w:pStyle w:val="Table-Text"/>
              <w:jc w:val="center"/>
            </w:pPr>
            <w:r>
              <w:t>137</w:t>
            </w:r>
          </w:p>
        </w:tc>
        <w:tc>
          <w:tcPr>
            <w:tcW w:w="657" w:type="pct"/>
            <w:tcBorders>
              <w:top w:val="nil"/>
              <w:left w:val="nil"/>
              <w:bottom w:val="single" w:sz="4" w:space="0" w:color="auto"/>
              <w:right w:val="single" w:sz="8" w:space="0" w:color="auto"/>
            </w:tcBorders>
            <w:shd w:val="clear" w:color="auto" w:fill="auto"/>
            <w:noWrap/>
            <w:vAlign w:val="center"/>
            <w:hideMark/>
          </w:tcPr>
          <w:p w14:paraId="63E462FB" w14:textId="77777777" w:rsidR="00B1738B" w:rsidRPr="00B1738B" w:rsidRDefault="48EF8FC6" w:rsidP="3328C818">
            <w:pPr>
              <w:pStyle w:val="Table-Text"/>
              <w:jc w:val="center"/>
            </w:pPr>
            <w:r>
              <w:t>137</w:t>
            </w:r>
          </w:p>
        </w:tc>
        <w:tc>
          <w:tcPr>
            <w:tcW w:w="710" w:type="pct"/>
            <w:tcBorders>
              <w:top w:val="nil"/>
              <w:left w:val="nil"/>
              <w:bottom w:val="single" w:sz="4" w:space="0" w:color="auto"/>
              <w:right w:val="single" w:sz="4" w:space="0" w:color="auto"/>
            </w:tcBorders>
            <w:shd w:val="clear" w:color="auto" w:fill="auto"/>
            <w:noWrap/>
            <w:vAlign w:val="center"/>
            <w:hideMark/>
          </w:tcPr>
          <w:p w14:paraId="4BB62AB9" w14:textId="77777777" w:rsidR="00B1738B" w:rsidRPr="00B1738B" w:rsidRDefault="48EF8FC6" w:rsidP="3328C818">
            <w:pPr>
              <w:pStyle w:val="Table-Text"/>
              <w:jc w:val="center"/>
            </w:pPr>
            <w:r>
              <w:t>137</w:t>
            </w:r>
          </w:p>
        </w:tc>
        <w:tc>
          <w:tcPr>
            <w:tcW w:w="712" w:type="pct"/>
            <w:tcBorders>
              <w:top w:val="nil"/>
              <w:left w:val="nil"/>
              <w:bottom w:val="single" w:sz="4" w:space="0" w:color="auto"/>
              <w:right w:val="single" w:sz="8" w:space="0" w:color="auto"/>
            </w:tcBorders>
            <w:shd w:val="clear" w:color="auto" w:fill="auto"/>
            <w:noWrap/>
            <w:vAlign w:val="center"/>
            <w:hideMark/>
          </w:tcPr>
          <w:p w14:paraId="2691D87F" w14:textId="77777777" w:rsidR="00B1738B" w:rsidRPr="00B1738B" w:rsidRDefault="48EF8FC6" w:rsidP="3328C818">
            <w:pPr>
              <w:pStyle w:val="Table-Text"/>
              <w:jc w:val="center"/>
            </w:pPr>
            <w:r>
              <w:t>137</w:t>
            </w:r>
          </w:p>
        </w:tc>
      </w:tr>
      <w:tr w:rsidR="00B1738B" w:rsidRPr="00B1738B" w14:paraId="73766DDA"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center"/>
            <w:hideMark/>
          </w:tcPr>
          <w:p w14:paraId="4939B644" w14:textId="77777777" w:rsidR="00B1738B" w:rsidRPr="00B1738B" w:rsidRDefault="00B1738B" w:rsidP="001B0492">
            <w:pPr>
              <w:pStyle w:val="Table-Text"/>
            </w:pPr>
            <w:r w:rsidRPr="00B1738B">
              <w:t>Retrofit factor</w:t>
            </w:r>
          </w:p>
        </w:tc>
        <w:tc>
          <w:tcPr>
            <w:tcW w:w="657" w:type="pct"/>
            <w:tcBorders>
              <w:top w:val="nil"/>
              <w:left w:val="single" w:sz="8" w:space="0" w:color="auto"/>
              <w:bottom w:val="single" w:sz="4" w:space="0" w:color="auto"/>
              <w:right w:val="single" w:sz="4" w:space="0" w:color="auto"/>
            </w:tcBorders>
            <w:shd w:val="clear" w:color="auto" w:fill="FFFF00"/>
            <w:noWrap/>
            <w:vAlign w:val="center"/>
            <w:hideMark/>
          </w:tcPr>
          <w:p w14:paraId="46122E29" w14:textId="77777777" w:rsidR="00B1738B" w:rsidRPr="00B1738B" w:rsidRDefault="48EF8FC6" w:rsidP="3328C818">
            <w:pPr>
              <w:pStyle w:val="Table-Text"/>
              <w:jc w:val="center"/>
            </w:pPr>
            <w:r>
              <w:t>1.0</w:t>
            </w:r>
          </w:p>
        </w:tc>
        <w:tc>
          <w:tcPr>
            <w:tcW w:w="657" w:type="pct"/>
            <w:tcBorders>
              <w:top w:val="nil"/>
              <w:left w:val="nil"/>
              <w:bottom w:val="single" w:sz="4" w:space="0" w:color="auto"/>
              <w:right w:val="single" w:sz="8" w:space="0" w:color="auto"/>
            </w:tcBorders>
            <w:shd w:val="clear" w:color="auto" w:fill="FFFF00"/>
            <w:noWrap/>
            <w:vAlign w:val="center"/>
            <w:hideMark/>
          </w:tcPr>
          <w:p w14:paraId="4281C478" w14:textId="77777777" w:rsidR="00B1738B" w:rsidRPr="00B1738B" w:rsidRDefault="48EF8FC6" w:rsidP="3328C818">
            <w:pPr>
              <w:pStyle w:val="Table-Text"/>
              <w:jc w:val="center"/>
            </w:pPr>
            <w:r>
              <w:t>1.5</w:t>
            </w:r>
          </w:p>
        </w:tc>
        <w:tc>
          <w:tcPr>
            <w:tcW w:w="710" w:type="pct"/>
            <w:tcBorders>
              <w:top w:val="nil"/>
              <w:left w:val="nil"/>
              <w:bottom w:val="single" w:sz="4" w:space="0" w:color="auto"/>
              <w:right w:val="single" w:sz="4" w:space="0" w:color="auto"/>
            </w:tcBorders>
            <w:shd w:val="clear" w:color="auto" w:fill="FFFF00"/>
            <w:noWrap/>
            <w:vAlign w:val="center"/>
            <w:hideMark/>
          </w:tcPr>
          <w:p w14:paraId="075B06D0" w14:textId="77777777" w:rsidR="00B1738B" w:rsidRPr="00B1738B" w:rsidRDefault="48EF8FC6" w:rsidP="3328C818">
            <w:pPr>
              <w:pStyle w:val="Table-Text"/>
              <w:jc w:val="center"/>
            </w:pPr>
            <w:r>
              <w:t>1.0</w:t>
            </w:r>
          </w:p>
        </w:tc>
        <w:tc>
          <w:tcPr>
            <w:tcW w:w="712" w:type="pct"/>
            <w:tcBorders>
              <w:top w:val="nil"/>
              <w:left w:val="nil"/>
              <w:bottom w:val="single" w:sz="4" w:space="0" w:color="auto"/>
              <w:right w:val="single" w:sz="8" w:space="0" w:color="auto"/>
            </w:tcBorders>
            <w:shd w:val="clear" w:color="auto" w:fill="FFFF00"/>
            <w:noWrap/>
            <w:vAlign w:val="center"/>
            <w:hideMark/>
          </w:tcPr>
          <w:p w14:paraId="4A211D86" w14:textId="77777777" w:rsidR="00B1738B" w:rsidRPr="00B1738B" w:rsidRDefault="48EF8FC6" w:rsidP="3328C818">
            <w:pPr>
              <w:pStyle w:val="Table-Text"/>
              <w:jc w:val="center"/>
            </w:pPr>
            <w:r>
              <w:t>1.5</w:t>
            </w:r>
          </w:p>
        </w:tc>
      </w:tr>
      <w:tr w:rsidR="00B1738B" w:rsidRPr="00B1738B" w14:paraId="48C5C7AD"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center"/>
            <w:hideMark/>
          </w:tcPr>
          <w:p w14:paraId="21612BAC" w14:textId="77777777" w:rsidR="00B1738B" w:rsidRPr="00B1738B" w:rsidRDefault="00B1738B" w:rsidP="001B0492">
            <w:pPr>
              <w:pStyle w:val="Table-Text"/>
            </w:pPr>
            <w:r w:rsidRPr="00B1738B">
              <w:t>CEPCI</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27D5397B" w14:textId="77777777" w:rsidR="00B1738B" w:rsidRPr="00B1738B" w:rsidRDefault="48EF8FC6" w:rsidP="3328C818">
            <w:pPr>
              <w:pStyle w:val="Table-Text"/>
              <w:jc w:val="center"/>
            </w:pPr>
            <w:r>
              <w:t>607.5</w:t>
            </w:r>
          </w:p>
        </w:tc>
        <w:tc>
          <w:tcPr>
            <w:tcW w:w="657" w:type="pct"/>
            <w:tcBorders>
              <w:top w:val="nil"/>
              <w:left w:val="nil"/>
              <w:bottom w:val="single" w:sz="4" w:space="0" w:color="auto"/>
              <w:right w:val="single" w:sz="8" w:space="0" w:color="auto"/>
            </w:tcBorders>
            <w:shd w:val="clear" w:color="auto" w:fill="auto"/>
            <w:noWrap/>
            <w:vAlign w:val="center"/>
            <w:hideMark/>
          </w:tcPr>
          <w:p w14:paraId="3A0AEEEA" w14:textId="77777777" w:rsidR="00B1738B" w:rsidRPr="00B1738B" w:rsidRDefault="48EF8FC6" w:rsidP="3328C818">
            <w:pPr>
              <w:pStyle w:val="Table-Text"/>
              <w:jc w:val="center"/>
            </w:pPr>
            <w:r>
              <w:t>607.5</w:t>
            </w:r>
          </w:p>
        </w:tc>
        <w:tc>
          <w:tcPr>
            <w:tcW w:w="710" w:type="pct"/>
            <w:tcBorders>
              <w:top w:val="nil"/>
              <w:left w:val="nil"/>
              <w:bottom w:val="single" w:sz="4" w:space="0" w:color="auto"/>
              <w:right w:val="single" w:sz="4" w:space="0" w:color="auto"/>
            </w:tcBorders>
            <w:shd w:val="clear" w:color="auto" w:fill="auto"/>
            <w:noWrap/>
            <w:vAlign w:val="center"/>
            <w:hideMark/>
          </w:tcPr>
          <w:p w14:paraId="507C4892" w14:textId="77777777" w:rsidR="00B1738B" w:rsidRPr="00B1738B" w:rsidRDefault="48EF8FC6" w:rsidP="3328C818">
            <w:pPr>
              <w:pStyle w:val="Table-Text"/>
              <w:jc w:val="center"/>
            </w:pPr>
            <w:r>
              <w:t>607.5</w:t>
            </w:r>
          </w:p>
        </w:tc>
        <w:tc>
          <w:tcPr>
            <w:tcW w:w="712" w:type="pct"/>
            <w:tcBorders>
              <w:top w:val="nil"/>
              <w:left w:val="nil"/>
              <w:bottom w:val="single" w:sz="4" w:space="0" w:color="auto"/>
              <w:right w:val="single" w:sz="8" w:space="0" w:color="auto"/>
            </w:tcBorders>
            <w:shd w:val="clear" w:color="auto" w:fill="auto"/>
            <w:noWrap/>
            <w:vAlign w:val="center"/>
            <w:hideMark/>
          </w:tcPr>
          <w:p w14:paraId="4AF8E068" w14:textId="77777777" w:rsidR="00B1738B" w:rsidRPr="00B1738B" w:rsidRDefault="48EF8FC6" w:rsidP="3328C818">
            <w:pPr>
              <w:pStyle w:val="Table-Text"/>
              <w:jc w:val="center"/>
            </w:pPr>
            <w:r>
              <w:t>607.5</w:t>
            </w:r>
          </w:p>
        </w:tc>
      </w:tr>
      <w:tr w:rsidR="00B1738B" w:rsidRPr="00B1738B" w14:paraId="1AD90566"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668A2624" w14:textId="77777777" w:rsidR="00B1738B" w:rsidRPr="00B1738B" w:rsidRDefault="00B1738B" w:rsidP="001B0492">
            <w:pPr>
              <w:pStyle w:val="Table-Text"/>
            </w:pPr>
            <w:r w:rsidRPr="00B1738B">
              <w:t xml:space="preserve">Capital Cost </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5CE61B4D" w14:textId="77777777" w:rsidR="00B1738B" w:rsidRPr="00B1738B" w:rsidRDefault="48EF8FC6" w:rsidP="3328C818">
            <w:pPr>
              <w:pStyle w:val="Table-Text"/>
              <w:jc w:val="center"/>
            </w:pPr>
            <w:r>
              <w:t xml:space="preserve"> $ 2,521,969 </w:t>
            </w:r>
          </w:p>
        </w:tc>
        <w:tc>
          <w:tcPr>
            <w:tcW w:w="657" w:type="pct"/>
            <w:tcBorders>
              <w:top w:val="nil"/>
              <w:left w:val="nil"/>
              <w:bottom w:val="single" w:sz="4" w:space="0" w:color="auto"/>
              <w:right w:val="single" w:sz="8" w:space="0" w:color="auto"/>
            </w:tcBorders>
            <w:shd w:val="clear" w:color="auto" w:fill="auto"/>
            <w:noWrap/>
            <w:vAlign w:val="center"/>
            <w:hideMark/>
          </w:tcPr>
          <w:p w14:paraId="02B24C37" w14:textId="77777777" w:rsidR="00B1738B" w:rsidRPr="00B1738B" w:rsidRDefault="48EF8FC6" w:rsidP="3328C818">
            <w:pPr>
              <w:pStyle w:val="Table-Text"/>
              <w:jc w:val="center"/>
            </w:pPr>
            <w:r>
              <w:t xml:space="preserve"> $ 3,774,769 </w:t>
            </w:r>
          </w:p>
        </w:tc>
        <w:tc>
          <w:tcPr>
            <w:tcW w:w="710" w:type="pct"/>
            <w:tcBorders>
              <w:top w:val="nil"/>
              <w:left w:val="nil"/>
              <w:bottom w:val="single" w:sz="4" w:space="0" w:color="auto"/>
              <w:right w:val="single" w:sz="4" w:space="0" w:color="auto"/>
            </w:tcBorders>
            <w:shd w:val="clear" w:color="auto" w:fill="auto"/>
            <w:noWrap/>
            <w:vAlign w:val="center"/>
            <w:hideMark/>
          </w:tcPr>
          <w:p w14:paraId="0D229B65" w14:textId="77777777" w:rsidR="00B1738B" w:rsidRPr="00B1738B" w:rsidRDefault="48EF8FC6" w:rsidP="3328C818">
            <w:pPr>
              <w:pStyle w:val="Table-Text"/>
              <w:jc w:val="center"/>
            </w:pPr>
            <w:r>
              <w:t xml:space="preserve"> $   9,956,196 </w:t>
            </w:r>
          </w:p>
        </w:tc>
        <w:tc>
          <w:tcPr>
            <w:tcW w:w="712" w:type="pct"/>
            <w:tcBorders>
              <w:top w:val="nil"/>
              <w:left w:val="nil"/>
              <w:bottom w:val="single" w:sz="4" w:space="0" w:color="auto"/>
              <w:right w:val="single" w:sz="8" w:space="0" w:color="auto"/>
            </w:tcBorders>
            <w:shd w:val="clear" w:color="auto" w:fill="auto"/>
            <w:noWrap/>
            <w:vAlign w:val="center"/>
            <w:hideMark/>
          </w:tcPr>
          <w:p w14:paraId="03B03B21" w14:textId="77777777" w:rsidR="00B1738B" w:rsidRPr="00B1738B" w:rsidRDefault="48EF8FC6" w:rsidP="3328C818">
            <w:pPr>
              <w:pStyle w:val="Table-Text"/>
              <w:jc w:val="center"/>
            </w:pPr>
            <w:r>
              <w:t xml:space="preserve"> $ 14,757,119 </w:t>
            </w:r>
          </w:p>
        </w:tc>
      </w:tr>
      <w:tr w:rsidR="00B1738B" w:rsidRPr="00B1738B" w14:paraId="0FA33B99"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12B0C8EB" w14:textId="77777777" w:rsidR="00B1738B" w:rsidRPr="00B1738B" w:rsidRDefault="00B1738B" w:rsidP="001B0492">
            <w:pPr>
              <w:pStyle w:val="Table-Text"/>
            </w:pPr>
            <w:r w:rsidRPr="00B1738B">
              <w:t>Interest rate</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2318880F" w14:textId="77777777" w:rsidR="00B1738B" w:rsidRPr="00B1738B" w:rsidRDefault="48EF8FC6" w:rsidP="3328C818">
            <w:pPr>
              <w:pStyle w:val="Table-Text"/>
              <w:jc w:val="center"/>
            </w:pPr>
            <w:r>
              <w:t>3.50</w:t>
            </w:r>
          </w:p>
        </w:tc>
        <w:tc>
          <w:tcPr>
            <w:tcW w:w="657" w:type="pct"/>
            <w:tcBorders>
              <w:top w:val="nil"/>
              <w:left w:val="nil"/>
              <w:bottom w:val="single" w:sz="4" w:space="0" w:color="auto"/>
              <w:right w:val="single" w:sz="8" w:space="0" w:color="auto"/>
            </w:tcBorders>
            <w:shd w:val="clear" w:color="auto" w:fill="auto"/>
            <w:noWrap/>
            <w:vAlign w:val="center"/>
            <w:hideMark/>
          </w:tcPr>
          <w:p w14:paraId="7F287320" w14:textId="77777777" w:rsidR="00B1738B" w:rsidRPr="00B1738B" w:rsidRDefault="48EF8FC6" w:rsidP="3328C818">
            <w:pPr>
              <w:pStyle w:val="Table-Text"/>
              <w:jc w:val="center"/>
            </w:pPr>
            <w:r>
              <w:t>3.50</w:t>
            </w:r>
          </w:p>
        </w:tc>
        <w:tc>
          <w:tcPr>
            <w:tcW w:w="710" w:type="pct"/>
            <w:tcBorders>
              <w:top w:val="nil"/>
              <w:left w:val="nil"/>
              <w:bottom w:val="single" w:sz="4" w:space="0" w:color="auto"/>
              <w:right w:val="single" w:sz="4" w:space="0" w:color="auto"/>
            </w:tcBorders>
            <w:shd w:val="clear" w:color="auto" w:fill="auto"/>
            <w:noWrap/>
            <w:vAlign w:val="center"/>
            <w:hideMark/>
          </w:tcPr>
          <w:p w14:paraId="4DD57DFF" w14:textId="77777777" w:rsidR="00B1738B" w:rsidRPr="00B1738B" w:rsidRDefault="48EF8FC6" w:rsidP="3328C818">
            <w:pPr>
              <w:pStyle w:val="Table-Text"/>
              <w:jc w:val="center"/>
            </w:pPr>
            <w:r>
              <w:t>3.50</w:t>
            </w:r>
          </w:p>
        </w:tc>
        <w:tc>
          <w:tcPr>
            <w:tcW w:w="712" w:type="pct"/>
            <w:tcBorders>
              <w:top w:val="nil"/>
              <w:left w:val="nil"/>
              <w:bottom w:val="single" w:sz="4" w:space="0" w:color="auto"/>
              <w:right w:val="single" w:sz="8" w:space="0" w:color="auto"/>
            </w:tcBorders>
            <w:shd w:val="clear" w:color="auto" w:fill="auto"/>
            <w:noWrap/>
            <w:vAlign w:val="center"/>
            <w:hideMark/>
          </w:tcPr>
          <w:p w14:paraId="124F84B8" w14:textId="77777777" w:rsidR="00B1738B" w:rsidRPr="00B1738B" w:rsidRDefault="48EF8FC6" w:rsidP="3328C818">
            <w:pPr>
              <w:pStyle w:val="Table-Text"/>
              <w:jc w:val="center"/>
            </w:pPr>
            <w:r>
              <w:t>3.50</w:t>
            </w:r>
          </w:p>
        </w:tc>
      </w:tr>
      <w:tr w:rsidR="00B1738B" w:rsidRPr="00B1738B" w14:paraId="23211CE2"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04320B44" w14:textId="77777777" w:rsidR="00B1738B" w:rsidRPr="00B1738B" w:rsidRDefault="00B1738B" w:rsidP="001B0492">
            <w:pPr>
              <w:pStyle w:val="Table-Text"/>
            </w:pPr>
            <w:r w:rsidRPr="00B1738B">
              <w:t>Control Equipment Life (</w:t>
            </w:r>
            <w:proofErr w:type="spellStart"/>
            <w:r w:rsidRPr="00B1738B">
              <w:t>yr</w:t>
            </w:r>
            <w:proofErr w:type="spellEnd"/>
            <w:r w:rsidRPr="00B1738B">
              <w:t>)</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0EE6E967" w14:textId="77777777" w:rsidR="00B1738B" w:rsidRPr="00B1738B" w:rsidRDefault="48EF8FC6" w:rsidP="3328C818">
            <w:pPr>
              <w:pStyle w:val="Table-Text"/>
              <w:jc w:val="center"/>
            </w:pPr>
            <w:r>
              <w:t xml:space="preserve">20 </w:t>
            </w:r>
          </w:p>
        </w:tc>
        <w:tc>
          <w:tcPr>
            <w:tcW w:w="657" w:type="pct"/>
            <w:tcBorders>
              <w:top w:val="nil"/>
              <w:left w:val="nil"/>
              <w:bottom w:val="single" w:sz="4" w:space="0" w:color="auto"/>
              <w:right w:val="single" w:sz="8" w:space="0" w:color="auto"/>
            </w:tcBorders>
            <w:shd w:val="clear" w:color="auto" w:fill="auto"/>
            <w:noWrap/>
            <w:vAlign w:val="center"/>
            <w:hideMark/>
          </w:tcPr>
          <w:p w14:paraId="4B94C2A6" w14:textId="77777777" w:rsidR="00B1738B" w:rsidRPr="00B1738B" w:rsidRDefault="48EF8FC6" w:rsidP="3328C818">
            <w:pPr>
              <w:pStyle w:val="Table-Text"/>
              <w:jc w:val="center"/>
            </w:pPr>
            <w:r>
              <w:t xml:space="preserve">20 </w:t>
            </w:r>
          </w:p>
        </w:tc>
        <w:tc>
          <w:tcPr>
            <w:tcW w:w="710" w:type="pct"/>
            <w:tcBorders>
              <w:top w:val="nil"/>
              <w:left w:val="nil"/>
              <w:bottom w:val="single" w:sz="4" w:space="0" w:color="auto"/>
              <w:right w:val="single" w:sz="4" w:space="0" w:color="auto"/>
            </w:tcBorders>
            <w:shd w:val="clear" w:color="auto" w:fill="FFFF00"/>
            <w:noWrap/>
            <w:vAlign w:val="center"/>
            <w:hideMark/>
          </w:tcPr>
          <w:p w14:paraId="24FC36EB" w14:textId="77777777" w:rsidR="00B1738B" w:rsidRPr="00B1738B" w:rsidRDefault="48EF8FC6" w:rsidP="3328C818">
            <w:pPr>
              <w:pStyle w:val="Table-Text"/>
              <w:jc w:val="center"/>
            </w:pPr>
            <w:r>
              <w:t xml:space="preserve">25 </w:t>
            </w:r>
          </w:p>
        </w:tc>
        <w:tc>
          <w:tcPr>
            <w:tcW w:w="712" w:type="pct"/>
            <w:tcBorders>
              <w:top w:val="nil"/>
              <w:left w:val="nil"/>
              <w:bottom w:val="single" w:sz="4" w:space="0" w:color="auto"/>
              <w:right w:val="single" w:sz="8" w:space="0" w:color="auto"/>
            </w:tcBorders>
            <w:shd w:val="clear" w:color="auto" w:fill="FFFF00"/>
            <w:noWrap/>
            <w:vAlign w:val="center"/>
            <w:hideMark/>
          </w:tcPr>
          <w:p w14:paraId="7AD39C53" w14:textId="77777777" w:rsidR="00B1738B" w:rsidRPr="00B1738B" w:rsidRDefault="48EF8FC6" w:rsidP="3328C818">
            <w:pPr>
              <w:pStyle w:val="Table-Text"/>
              <w:jc w:val="center"/>
            </w:pPr>
            <w:r>
              <w:t xml:space="preserve">20 </w:t>
            </w:r>
          </w:p>
        </w:tc>
      </w:tr>
      <w:tr w:rsidR="00B1738B" w:rsidRPr="00B1738B" w14:paraId="2EBD8407"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485DBFFA" w14:textId="77777777" w:rsidR="00B1738B" w:rsidRPr="00B1738B" w:rsidRDefault="00B1738B" w:rsidP="001B0492">
            <w:pPr>
              <w:pStyle w:val="Table-Text"/>
            </w:pPr>
            <w:r w:rsidRPr="00B1738B">
              <w:t>Capital Recovery Cost</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4F9AA44C" w14:textId="77777777" w:rsidR="00B1738B" w:rsidRPr="00B1738B" w:rsidRDefault="48EF8FC6" w:rsidP="3328C818">
            <w:pPr>
              <w:pStyle w:val="Table-Text"/>
              <w:jc w:val="center"/>
            </w:pPr>
            <w:r>
              <w:t xml:space="preserve"> $    177,547 </w:t>
            </w:r>
          </w:p>
        </w:tc>
        <w:tc>
          <w:tcPr>
            <w:tcW w:w="657" w:type="pct"/>
            <w:tcBorders>
              <w:top w:val="nil"/>
              <w:left w:val="nil"/>
              <w:bottom w:val="single" w:sz="4" w:space="0" w:color="auto"/>
              <w:right w:val="single" w:sz="8" w:space="0" w:color="auto"/>
            </w:tcBorders>
            <w:shd w:val="clear" w:color="auto" w:fill="auto"/>
            <w:noWrap/>
            <w:vAlign w:val="center"/>
            <w:hideMark/>
          </w:tcPr>
          <w:p w14:paraId="7A9DE693" w14:textId="77777777" w:rsidR="00B1738B" w:rsidRPr="00B1738B" w:rsidRDefault="48EF8FC6" w:rsidP="3328C818">
            <w:pPr>
              <w:pStyle w:val="Table-Text"/>
              <w:jc w:val="center"/>
            </w:pPr>
            <w:r>
              <w:t xml:space="preserve"> $    265,744 </w:t>
            </w:r>
          </w:p>
        </w:tc>
        <w:tc>
          <w:tcPr>
            <w:tcW w:w="710" w:type="pct"/>
            <w:tcBorders>
              <w:top w:val="nil"/>
              <w:left w:val="nil"/>
              <w:bottom w:val="single" w:sz="4" w:space="0" w:color="auto"/>
              <w:right w:val="single" w:sz="4" w:space="0" w:color="auto"/>
            </w:tcBorders>
            <w:shd w:val="clear" w:color="auto" w:fill="auto"/>
            <w:noWrap/>
            <w:vAlign w:val="center"/>
            <w:hideMark/>
          </w:tcPr>
          <w:p w14:paraId="16A395FB" w14:textId="77777777" w:rsidR="00B1738B" w:rsidRPr="00B1738B" w:rsidRDefault="48EF8FC6" w:rsidP="3328C818">
            <w:pPr>
              <w:pStyle w:val="Table-Text"/>
              <w:jc w:val="center"/>
            </w:pPr>
            <w:r>
              <w:t xml:space="preserve"> $      604,341 </w:t>
            </w:r>
          </w:p>
        </w:tc>
        <w:tc>
          <w:tcPr>
            <w:tcW w:w="712" w:type="pct"/>
            <w:tcBorders>
              <w:top w:val="nil"/>
              <w:left w:val="nil"/>
              <w:bottom w:val="single" w:sz="4" w:space="0" w:color="auto"/>
              <w:right w:val="single" w:sz="8" w:space="0" w:color="auto"/>
            </w:tcBorders>
            <w:shd w:val="clear" w:color="auto" w:fill="auto"/>
            <w:noWrap/>
            <w:vAlign w:val="center"/>
            <w:hideMark/>
          </w:tcPr>
          <w:p w14:paraId="1CBD8C56" w14:textId="77777777" w:rsidR="00B1738B" w:rsidRPr="00B1738B" w:rsidRDefault="48EF8FC6" w:rsidP="3328C818">
            <w:pPr>
              <w:pStyle w:val="Table-Text"/>
              <w:jc w:val="center"/>
            </w:pPr>
            <w:r>
              <w:t xml:space="preserve"> $   1,038,901 </w:t>
            </w:r>
          </w:p>
        </w:tc>
      </w:tr>
      <w:tr w:rsidR="00B1738B" w:rsidRPr="00B1738B" w14:paraId="72DA1FF7"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377ED0A4" w14:textId="77777777" w:rsidR="00B1738B" w:rsidRPr="00B1738B" w:rsidRDefault="00B1738B" w:rsidP="001B0492">
            <w:pPr>
              <w:pStyle w:val="Table-Text"/>
            </w:pPr>
            <w:r w:rsidRPr="00B1738B">
              <w:t>Indirect Cost</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17170417" w14:textId="77777777" w:rsidR="00B1738B" w:rsidRPr="00B1738B" w:rsidRDefault="48EF8FC6" w:rsidP="3328C818">
            <w:pPr>
              <w:pStyle w:val="Table-Text"/>
              <w:jc w:val="center"/>
            </w:pPr>
            <w:r>
              <w:t xml:space="preserve"> $    178,682 </w:t>
            </w:r>
          </w:p>
        </w:tc>
        <w:tc>
          <w:tcPr>
            <w:tcW w:w="657" w:type="pct"/>
            <w:tcBorders>
              <w:top w:val="nil"/>
              <w:left w:val="nil"/>
              <w:bottom w:val="single" w:sz="4" w:space="0" w:color="auto"/>
              <w:right w:val="single" w:sz="8" w:space="0" w:color="auto"/>
            </w:tcBorders>
            <w:shd w:val="clear" w:color="auto" w:fill="auto"/>
            <w:noWrap/>
            <w:vAlign w:val="center"/>
            <w:hideMark/>
          </w:tcPr>
          <w:p w14:paraId="69049808" w14:textId="77777777" w:rsidR="00B1738B" w:rsidRPr="00B1738B" w:rsidRDefault="48EF8FC6" w:rsidP="3328C818">
            <w:pPr>
              <w:pStyle w:val="Table-Text"/>
              <w:jc w:val="center"/>
            </w:pPr>
            <w:r>
              <w:t xml:space="preserve"> $    267,442 </w:t>
            </w:r>
          </w:p>
        </w:tc>
        <w:tc>
          <w:tcPr>
            <w:tcW w:w="710" w:type="pct"/>
            <w:tcBorders>
              <w:top w:val="nil"/>
              <w:left w:val="nil"/>
              <w:bottom w:val="single" w:sz="4" w:space="0" w:color="auto"/>
              <w:right w:val="single" w:sz="4" w:space="0" w:color="auto"/>
            </w:tcBorders>
            <w:shd w:val="clear" w:color="auto" w:fill="auto"/>
            <w:noWrap/>
            <w:vAlign w:val="center"/>
            <w:hideMark/>
          </w:tcPr>
          <w:p w14:paraId="70495527" w14:textId="77777777" w:rsidR="00B1738B" w:rsidRPr="00B1738B" w:rsidRDefault="48EF8FC6" w:rsidP="3328C818">
            <w:pPr>
              <w:pStyle w:val="Table-Text"/>
              <w:jc w:val="center"/>
            </w:pPr>
            <w:r>
              <w:t xml:space="preserve"> $      606,846 </w:t>
            </w:r>
          </w:p>
        </w:tc>
        <w:tc>
          <w:tcPr>
            <w:tcW w:w="712" w:type="pct"/>
            <w:tcBorders>
              <w:top w:val="nil"/>
              <w:left w:val="nil"/>
              <w:bottom w:val="single" w:sz="4" w:space="0" w:color="auto"/>
              <w:right w:val="single" w:sz="8" w:space="0" w:color="auto"/>
            </w:tcBorders>
            <w:shd w:val="clear" w:color="auto" w:fill="auto"/>
            <w:noWrap/>
            <w:vAlign w:val="center"/>
            <w:hideMark/>
          </w:tcPr>
          <w:p w14:paraId="4854A8BC" w14:textId="77777777" w:rsidR="00B1738B" w:rsidRPr="00B1738B" w:rsidRDefault="48EF8FC6" w:rsidP="3328C818">
            <w:pPr>
              <w:pStyle w:val="Table-Text"/>
              <w:jc w:val="center"/>
            </w:pPr>
            <w:r>
              <w:t xml:space="preserve"> $   1,041,695 </w:t>
            </w:r>
          </w:p>
        </w:tc>
      </w:tr>
      <w:tr w:rsidR="00B1738B" w:rsidRPr="00B1738B" w14:paraId="38147E6D"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3509479C" w14:textId="77777777" w:rsidR="00B1738B" w:rsidRPr="00B1738B" w:rsidRDefault="00B1738B" w:rsidP="001B0492">
            <w:pPr>
              <w:pStyle w:val="Table-Text"/>
            </w:pPr>
            <w:r w:rsidRPr="00B1738B">
              <w:t>Total System Capacity Factor</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400CEF55" w14:textId="77777777" w:rsidR="00B1738B" w:rsidRPr="00B1738B" w:rsidRDefault="48EF8FC6" w:rsidP="3328C818">
            <w:pPr>
              <w:pStyle w:val="Table-Text"/>
              <w:jc w:val="center"/>
            </w:pPr>
            <w:r>
              <w:t xml:space="preserve">0.581 </w:t>
            </w:r>
          </w:p>
        </w:tc>
        <w:tc>
          <w:tcPr>
            <w:tcW w:w="657" w:type="pct"/>
            <w:tcBorders>
              <w:top w:val="nil"/>
              <w:left w:val="nil"/>
              <w:bottom w:val="single" w:sz="4" w:space="0" w:color="auto"/>
              <w:right w:val="single" w:sz="8" w:space="0" w:color="auto"/>
            </w:tcBorders>
            <w:shd w:val="clear" w:color="auto" w:fill="auto"/>
            <w:noWrap/>
            <w:vAlign w:val="center"/>
            <w:hideMark/>
          </w:tcPr>
          <w:p w14:paraId="4B466A8B" w14:textId="77777777" w:rsidR="00B1738B" w:rsidRPr="00B1738B" w:rsidRDefault="48EF8FC6" w:rsidP="3328C818">
            <w:pPr>
              <w:pStyle w:val="Table-Text"/>
              <w:jc w:val="center"/>
            </w:pPr>
            <w:r>
              <w:t xml:space="preserve">0.581 </w:t>
            </w:r>
          </w:p>
        </w:tc>
        <w:tc>
          <w:tcPr>
            <w:tcW w:w="710" w:type="pct"/>
            <w:tcBorders>
              <w:top w:val="nil"/>
              <w:left w:val="nil"/>
              <w:bottom w:val="single" w:sz="4" w:space="0" w:color="auto"/>
              <w:right w:val="single" w:sz="4" w:space="0" w:color="auto"/>
            </w:tcBorders>
            <w:shd w:val="clear" w:color="auto" w:fill="auto"/>
            <w:noWrap/>
            <w:vAlign w:val="center"/>
            <w:hideMark/>
          </w:tcPr>
          <w:p w14:paraId="67722817" w14:textId="77777777" w:rsidR="00B1738B" w:rsidRPr="00B1738B" w:rsidRDefault="48EF8FC6" w:rsidP="3328C818">
            <w:pPr>
              <w:pStyle w:val="Table-Text"/>
              <w:jc w:val="center"/>
            </w:pPr>
            <w:r>
              <w:t xml:space="preserve">0.581 </w:t>
            </w:r>
          </w:p>
        </w:tc>
        <w:tc>
          <w:tcPr>
            <w:tcW w:w="712" w:type="pct"/>
            <w:tcBorders>
              <w:top w:val="nil"/>
              <w:left w:val="nil"/>
              <w:bottom w:val="single" w:sz="4" w:space="0" w:color="auto"/>
              <w:right w:val="single" w:sz="8" w:space="0" w:color="auto"/>
            </w:tcBorders>
            <w:shd w:val="clear" w:color="auto" w:fill="auto"/>
            <w:noWrap/>
            <w:vAlign w:val="center"/>
            <w:hideMark/>
          </w:tcPr>
          <w:p w14:paraId="2178F324" w14:textId="77777777" w:rsidR="00B1738B" w:rsidRPr="00B1738B" w:rsidRDefault="48EF8FC6" w:rsidP="3328C818">
            <w:pPr>
              <w:pStyle w:val="Table-Text"/>
              <w:jc w:val="center"/>
            </w:pPr>
            <w:r>
              <w:t xml:space="preserve">0.581 </w:t>
            </w:r>
          </w:p>
        </w:tc>
      </w:tr>
      <w:tr w:rsidR="00B1738B" w:rsidRPr="00B1738B" w14:paraId="159EFCC1"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0542E6FB" w14:textId="77777777" w:rsidR="00B1738B" w:rsidRPr="00B1738B" w:rsidRDefault="00B1738B" w:rsidP="001B0492">
            <w:pPr>
              <w:pStyle w:val="Table-Text"/>
            </w:pPr>
            <w:r w:rsidRPr="00B1738B">
              <w:t>Direct Cost</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72A3D451" w14:textId="77777777" w:rsidR="00B1738B" w:rsidRPr="00B1738B" w:rsidRDefault="48EF8FC6" w:rsidP="3328C818">
            <w:pPr>
              <w:pStyle w:val="Table-Text"/>
              <w:jc w:val="center"/>
            </w:pPr>
            <w:r>
              <w:t xml:space="preserve"> $      62,984 </w:t>
            </w:r>
          </w:p>
        </w:tc>
        <w:tc>
          <w:tcPr>
            <w:tcW w:w="657" w:type="pct"/>
            <w:tcBorders>
              <w:top w:val="nil"/>
              <w:left w:val="nil"/>
              <w:bottom w:val="single" w:sz="4" w:space="0" w:color="auto"/>
              <w:right w:val="single" w:sz="8" w:space="0" w:color="auto"/>
            </w:tcBorders>
            <w:shd w:val="clear" w:color="auto" w:fill="auto"/>
            <w:noWrap/>
            <w:vAlign w:val="center"/>
            <w:hideMark/>
          </w:tcPr>
          <w:p w14:paraId="12151CEB" w14:textId="77777777" w:rsidR="00B1738B" w:rsidRPr="00B1738B" w:rsidRDefault="48EF8FC6" w:rsidP="3328C818">
            <w:pPr>
              <w:pStyle w:val="Table-Text"/>
              <w:jc w:val="center"/>
            </w:pPr>
            <w:r>
              <w:t xml:space="preserve"> $      82,122 </w:t>
            </w:r>
          </w:p>
        </w:tc>
        <w:tc>
          <w:tcPr>
            <w:tcW w:w="710" w:type="pct"/>
            <w:tcBorders>
              <w:top w:val="nil"/>
              <w:left w:val="nil"/>
              <w:bottom w:val="single" w:sz="4" w:space="0" w:color="auto"/>
              <w:right w:val="single" w:sz="4" w:space="0" w:color="auto"/>
            </w:tcBorders>
            <w:shd w:val="clear" w:color="auto" w:fill="auto"/>
            <w:noWrap/>
            <w:vAlign w:val="center"/>
            <w:hideMark/>
          </w:tcPr>
          <w:p w14:paraId="4F030FA7" w14:textId="77777777" w:rsidR="00B1738B" w:rsidRPr="00B1738B" w:rsidRDefault="48EF8FC6" w:rsidP="3328C818">
            <w:pPr>
              <w:pStyle w:val="Table-Text"/>
              <w:jc w:val="center"/>
            </w:pPr>
            <w:r>
              <w:t xml:space="preserve"> $      136,954 </w:t>
            </w:r>
          </w:p>
        </w:tc>
        <w:tc>
          <w:tcPr>
            <w:tcW w:w="712" w:type="pct"/>
            <w:tcBorders>
              <w:top w:val="nil"/>
              <w:left w:val="nil"/>
              <w:bottom w:val="single" w:sz="4" w:space="0" w:color="auto"/>
              <w:right w:val="single" w:sz="8" w:space="0" w:color="auto"/>
            </w:tcBorders>
            <w:shd w:val="clear" w:color="auto" w:fill="auto"/>
            <w:noWrap/>
            <w:vAlign w:val="center"/>
            <w:hideMark/>
          </w:tcPr>
          <w:p w14:paraId="437C60EB" w14:textId="77777777" w:rsidR="00B1738B" w:rsidRPr="00B1738B" w:rsidRDefault="48EF8FC6" w:rsidP="3328C818">
            <w:pPr>
              <w:pStyle w:val="Table-Text"/>
              <w:jc w:val="center"/>
            </w:pPr>
            <w:r>
              <w:t xml:space="preserve"> $      157,727 </w:t>
            </w:r>
          </w:p>
        </w:tc>
      </w:tr>
      <w:tr w:rsidR="00B1738B" w:rsidRPr="00B1738B" w14:paraId="4FDE0E4E"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0F532260" w14:textId="77777777" w:rsidR="00B1738B" w:rsidRPr="00B1738B" w:rsidRDefault="00B1738B" w:rsidP="001B0492">
            <w:pPr>
              <w:pStyle w:val="Table-Text"/>
            </w:pPr>
            <w:r w:rsidRPr="00B1738B">
              <w:t xml:space="preserve">Total Annual Cost </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035A8170" w14:textId="77777777" w:rsidR="00B1738B" w:rsidRPr="00B1738B" w:rsidRDefault="48EF8FC6" w:rsidP="3328C818">
            <w:pPr>
              <w:pStyle w:val="Table-Text"/>
              <w:jc w:val="center"/>
            </w:pPr>
            <w:r>
              <w:t xml:space="preserve"> $    241,666 </w:t>
            </w:r>
          </w:p>
        </w:tc>
        <w:tc>
          <w:tcPr>
            <w:tcW w:w="657" w:type="pct"/>
            <w:tcBorders>
              <w:top w:val="nil"/>
              <w:left w:val="nil"/>
              <w:bottom w:val="single" w:sz="4" w:space="0" w:color="auto"/>
              <w:right w:val="single" w:sz="8" w:space="0" w:color="auto"/>
            </w:tcBorders>
            <w:shd w:val="clear" w:color="auto" w:fill="auto"/>
            <w:noWrap/>
            <w:vAlign w:val="center"/>
            <w:hideMark/>
          </w:tcPr>
          <w:p w14:paraId="422460E2" w14:textId="77777777" w:rsidR="00B1738B" w:rsidRPr="00B1738B" w:rsidRDefault="48EF8FC6" w:rsidP="3328C818">
            <w:pPr>
              <w:pStyle w:val="Table-Text"/>
              <w:jc w:val="center"/>
            </w:pPr>
            <w:r>
              <w:t xml:space="preserve"> $    349,565 </w:t>
            </w:r>
          </w:p>
        </w:tc>
        <w:tc>
          <w:tcPr>
            <w:tcW w:w="710" w:type="pct"/>
            <w:tcBorders>
              <w:top w:val="nil"/>
              <w:left w:val="nil"/>
              <w:bottom w:val="single" w:sz="4" w:space="0" w:color="auto"/>
              <w:right w:val="single" w:sz="4" w:space="0" w:color="auto"/>
            </w:tcBorders>
            <w:shd w:val="clear" w:color="auto" w:fill="auto"/>
            <w:noWrap/>
            <w:vAlign w:val="center"/>
            <w:hideMark/>
          </w:tcPr>
          <w:p w14:paraId="08A5849D" w14:textId="77777777" w:rsidR="00B1738B" w:rsidRPr="00B1738B" w:rsidRDefault="48EF8FC6" w:rsidP="3328C818">
            <w:pPr>
              <w:pStyle w:val="Table-Text"/>
              <w:jc w:val="center"/>
            </w:pPr>
            <w:r>
              <w:t xml:space="preserve"> $      743,801 </w:t>
            </w:r>
          </w:p>
        </w:tc>
        <w:tc>
          <w:tcPr>
            <w:tcW w:w="712" w:type="pct"/>
            <w:tcBorders>
              <w:top w:val="nil"/>
              <w:left w:val="nil"/>
              <w:bottom w:val="single" w:sz="4" w:space="0" w:color="auto"/>
              <w:right w:val="single" w:sz="8" w:space="0" w:color="auto"/>
            </w:tcBorders>
            <w:shd w:val="clear" w:color="auto" w:fill="auto"/>
            <w:noWrap/>
            <w:vAlign w:val="center"/>
            <w:hideMark/>
          </w:tcPr>
          <w:p w14:paraId="50DD2B97" w14:textId="77777777" w:rsidR="00B1738B" w:rsidRPr="00B1738B" w:rsidRDefault="48EF8FC6" w:rsidP="3328C818">
            <w:pPr>
              <w:pStyle w:val="Table-Text"/>
              <w:jc w:val="center"/>
            </w:pPr>
            <w:r>
              <w:t xml:space="preserve"> $   1,199,421 </w:t>
            </w:r>
          </w:p>
        </w:tc>
      </w:tr>
      <w:tr w:rsidR="00B1738B" w:rsidRPr="00B1738B" w14:paraId="0A8EF307"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14D7A6FF" w14:textId="77777777" w:rsidR="00B1738B" w:rsidRPr="00B1738B" w:rsidRDefault="00B1738B" w:rsidP="001B0492">
            <w:pPr>
              <w:pStyle w:val="Table-Text"/>
            </w:pPr>
            <w:r w:rsidRPr="00B1738B">
              <w:t>Uncontrolled NOx Emission Rate (</w:t>
            </w:r>
            <w:proofErr w:type="spellStart"/>
            <w:r w:rsidRPr="00B1738B">
              <w:t>lb</w:t>
            </w:r>
            <w:proofErr w:type="spellEnd"/>
            <w:r w:rsidRPr="00B1738B">
              <w:t>/</w:t>
            </w:r>
            <w:proofErr w:type="spellStart"/>
            <w:r w:rsidRPr="00B1738B">
              <w:t>mmbtu</w:t>
            </w:r>
            <w:proofErr w:type="spellEnd"/>
            <w:r w:rsidRPr="00B1738B">
              <w:t>)</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302E4441" w14:textId="77777777" w:rsidR="00B1738B" w:rsidRPr="00B1738B" w:rsidRDefault="48EF8FC6" w:rsidP="3328C818">
            <w:pPr>
              <w:pStyle w:val="Table-Text"/>
              <w:jc w:val="center"/>
            </w:pPr>
            <w:r>
              <w:t>0.33</w:t>
            </w:r>
          </w:p>
        </w:tc>
        <w:tc>
          <w:tcPr>
            <w:tcW w:w="657" w:type="pct"/>
            <w:tcBorders>
              <w:top w:val="nil"/>
              <w:left w:val="nil"/>
              <w:bottom w:val="single" w:sz="4" w:space="0" w:color="auto"/>
              <w:right w:val="single" w:sz="8" w:space="0" w:color="auto"/>
            </w:tcBorders>
            <w:shd w:val="clear" w:color="auto" w:fill="auto"/>
            <w:noWrap/>
            <w:vAlign w:val="center"/>
            <w:hideMark/>
          </w:tcPr>
          <w:p w14:paraId="79FD2D41" w14:textId="77777777" w:rsidR="00B1738B" w:rsidRPr="00B1738B" w:rsidRDefault="48EF8FC6" w:rsidP="3328C818">
            <w:pPr>
              <w:pStyle w:val="Table-Text"/>
              <w:jc w:val="center"/>
            </w:pPr>
            <w:r>
              <w:t>0.33</w:t>
            </w:r>
          </w:p>
        </w:tc>
        <w:tc>
          <w:tcPr>
            <w:tcW w:w="710" w:type="pct"/>
            <w:tcBorders>
              <w:top w:val="nil"/>
              <w:left w:val="nil"/>
              <w:bottom w:val="single" w:sz="4" w:space="0" w:color="auto"/>
              <w:right w:val="single" w:sz="4" w:space="0" w:color="auto"/>
            </w:tcBorders>
            <w:shd w:val="clear" w:color="auto" w:fill="auto"/>
            <w:noWrap/>
            <w:vAlign w:val="center"/>
            <w:hideMark/>
          </w:tcPr>
          <w:p w14:paraId="00BE06EF" w14:textId="77777777" w:rsidR="00B1738B" w:rsidRPr="00B1738B" w:rsidRDefault="48EF8FC6" w:rsidP="3328C818">
            <w:pPr>
              <w:pStyle w:val="Table-Text"/>
              <w:jc w:val="center"/>
            </w:pPr>
            <w:r>
              <w:t>0.33</w:t>
            </w:r>
          </w:p>
        </w:tc>
        <w:tc>
          <w:tcPr>
            <w:tcW w:w="712" w:type="pct"/>
            <w:tcBorders>
              <w:top w:val="nil"/>
              <w:left w:val="nil"/>
              <w:bottom w:val="single" w:sz="4" w:space="0" w:color="auto"/>
              <w:right w:val="single" w:sz="8" w:space="0" w:color="auto"/>
            </w:tcBorders>
            <w:shd w:val="clear" w:color="auto" w:fill="auto"/>
            <w:noWrap/>
            <w:vAlign w:val="center"/>
            <w:hideMark/>
          </w:tcPr>
          <w:p w14:paraId="151CBD18" w14:textId="77777777" w:rsidR="00B1738B" w:rsidRPr="00B1738B" w:rsidRDefault="48EF8FC6" w:rsidP="3328C818">
            <w:pPr>
              <w:pStyle w:val="Table-Text"/>
              <w:jc w:val="center"/>
            </w:pPr>
            <w:r>
              <w:t>0.33</w:t>
            </w:r>
          </w:p>
        </w:tc>
      </w:tr>
      <w:tr w:rsidR="00B1738B" w:rsidRPr="00B1738B" w14:paraId="0DF183DB"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290E0017" w14:textId="77777777" w:rsidR="00B1738B" w:rsidRPr="00B1738B" w:rsidRDefault="00B1738B" w:rsidP="001B0492">
            <w:pPr>
              <w:pStyle w:val="Table-Text"/>
            </w:pPr>
            <w:r w:rsidRPr="00B1738B">
              <w:t>Maximum Uncontrolled Tons</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19263874" w14:textId="77777777" w:rsidR="00B1738B" w:rsidRPr="00B1738B" w:rsidRDefault="48EF8FC6" w:rsidP="3328C818">
            <w:pPr>
              <w:pStyle w:val="Table-Text"/>
              <w:jc w:val="center"/>
            </w:pPr>
            <w:r>
              <w:t xml:space="preserve">198 </w:t>
            </w:r>
          </w:p>
        </w:tc>
        <w:tc>
          <w:tcPr>
            <w:tcW w:w="657" w:type="pct"/>
            <w:tcBorders>
              <w:top w:val="nil"/>
              <w:left w:val="nil"/>
              <w:bottom w:val="single" w:sz="4" w:space="0" w:color="auto"/>
              <w:right w:val="single" w:sz="8" w:space="0" w:color="auto"/>
            </w:tcBorders>
            <w:shd w:val="clear" w:color="auto" w:fill="auto"/>
            <w:noWrap/>
            <w:vAlign w:val="center"/>
            <w:hideMark/>
          </w:tcPr>
          <w:p w14:paraId="6A507DE9" w14:textId="77777777" w:rsidR="00B1738B" w:rsidRPr="00B1738B" w:rsidRDefault="48EF8FC6" w:rsidP="3328C818">
            <w:pPr>
              <w:pStyle w:val="Table-Text"/>
              <w:jc w:val="center"/>
            </w:pPr>
            <w:r>
              <w:t xml:space="preserve">198 </w:t>
            </w:r>
          </w:p>
        </w:tc>
        <w:tc>
          <w:tcPr>
            <w:tcW w:w="710" w:type="pct"/>
            <w:tcBorders>
              <w:top w:val="nil"/>
              <w:left w:val="nil"/>
              <w:bottom w:val="single" w:sz="4" w:space="0" w:color="auto"/>
              <w:right w:val="single" w:sz="4" w:space="0" w:color="auto"/>
            </w:tcBorders>
            <w:shd w:val="clear" w:color="auto" w:fill="auto"/>
            <w:noWrap/>
            <w:vAlign w:val="center"/>
            <w:hideMark/>
          </w:tcPr>
          <w:p w14:paraId="2CFB4BF2" w14:textId="77777777" w:rsidR="00B1738B" w:rsidRPr="00B1738B" w:rsidRDefault="48EF8FC6" w:rsidP="3328C818">
            <w:pPr>
              <w:pStyle w:val="Table-Text"/>
              <w:jc w:val="center"/>
            </w:pPr>
            <w:r>
              <w:t xml:space="preserve">198 </w:t>
            </w:r>
          </w:p>
        </w:tc>
        <w:tc>
          <w:tcPr>
            <w:tcW w:w="712" w:type="pct"/>
            <w:tcBorders>
              <w:top w:val="nil"/>
              <w:left w:val="nil"/>
              <w:bottom w:val="single" w:sz="4" w:space="0" w:color="auto"/>
              <w:right w:val="single" w:sz="8" w:space="0" w:color="auto"/>
            </w:tcBorders>
            <w:shd w:val="clear" w:color="auto" w:fill="auto"/>
            <w:noWrap/>
            <w:vAlign w:val="center"/>
            <w:hideMark/>
          </w:tcPr>
          <w:p w14:paraId="3F9D3B1C" w14:textId="77777777" w:rsidR="00B1738B" w:rsidRPr="00B1738B" w:rsidRDefault="48EF8FC6" w:rsidP="3328C818">
            <w:pPr>
              <w:pStyle w:val="Table-Text"/>
              <w:jc w:val="center"/>
            </w:pPr>
            <w:r>
              <w:t xml:space="preserve">198 </w:t>
            </w:r>
          </w:p>
        </w:tc>
      </w:tr>
      <w:tr w:rsidR="00B1738B" w:rsidRPr="00B1738B" w14:paraId="447A0DC4"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055C2481" w14:textId="77777777" w:rsidR="00B1738B" w:rsidRPr="00B1738B" w:rsidRDefault="00B1738B" w:rsidP="001B0492">
            <w:pPr>
              <w:pStyle w:val="Table-Text"/>
            </w:pPr>
            <w:r w:rsidRPr="00B1738B">
              <w:t>Uncontrolled Tons</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3AF12854" w14:textId="77777777" w:rsidR="00B1738B" w:rsidRPr="00B1738B" w:rsidRDefault="48EF8FC6" w:rsidP="3328C818">
            <w:pPr>
              <w:pStyle w:val="Table-Text"/>
              <w:jc w:val="center"/>
            </w:pPr>
            <w:r>
              <w:t>115</w:t>
            </w:r>
          </w:p>
        </w:tc>
        <w:tc>
          <w:tcPr>
            <w:tcW w:w="657" w:type="pct"/>
            <w:tcBorders>
              <w:top w:val="nil"/>
              <w:left w:val="nil"/>
              <w:bottom w:val="single" w:sz="4" w:space="0" w:color="auto"/>
              <w:right w:val="single" w:sz="8" w:space="0" w:color="auto"/>
            </w:tcBorders>
            <w:shd w:val="clear" w:color="auto" w:fill="auto"/>
            <w:noWrap/>
            <w:vAlign w:val="center"/>
            <w:hideMark/>
          </w:tcPr>
          <w:p w14:paraId="50A4F296" w14:textId="77777777" w:rsidR="00B1738B" w:rsidRPr="00B1738B" w:rsidRDefault="48EF8FC6" w:rsidP="3328C818">
            <w:pPr>
              <w:pStyle w:val="Table-Text"/>
              <w:jc w:val="center"/>
            </w:pPr>
            <w:r>
              <w:t>115</w:t>
            </w:r>
          </w:p>
        </w:tc>
        <w:tc>
          <w:tcPr>
            <w:tcW w:w="710" w:type="pct"/>
            <w:tcBorders>
              <w:top w:val="nil"/>
              <w:left w:val="nil"/>
              <w:bottom w:val="single" w:sz="4" w:space="0" w:color="auto"/>
              <w:right w:val="single" w:sz="4" w:space="0" w:color="auto"/>
            </w:tcBorders>
            <w:shd w:val="clear" w:color="auto" w:fill="auto"/>
            <w:noWrap/>
            <w:vAlign w:val="center"/>
            <w:hideMark/>
          </w:tcPr>
          <w:p w14:paraId="62FB36B0" w14:textId="77777777" w:rsidR="00B1738B" w:rsidRPr="00B1738B" w:rsidRDefault="48EF8FC6" w:rsidP="3328C818">
            <w:pPr>
              <w:pStyle w:val="Table-Text"/>
              <w:jc w:val="center"/>
            </w:pPr>
            <w:r>
              <w:t>115</w:t>
            </w:r>
          </w:p>
        </w:tc>
        <w:tc>
          <w:tcPr>
            <w:tcW w:w="712" w:type="pct"/>
            <w:tcBorders>
              <w:top w:val="nil"/>
              <w:left w:val="nil"/>
              <w:bottom w:val="single" w:sz="4" w:space="0" w:color="auto"/>
              <w:right w:val="single" w:sz="8" w:space="0" w:color="auto"/>
            </w:tcBorders>
            <w:shd w:val="clear" w:color="auto" w:fill="auto"/>
            <w:noWrap/>
            <w:vAlign w:val="center"/>
            <w:hideMark/>
          </w:tcPr>
          <w:p w14:paraId="5A6DE1BE" w14:textId="77777777" w:rsidR="00B1738B" w:rsidRPr="00B1738B" w:rsidRDefault="48EF8FC6" w:rsidP="3328C818">
            <w:pPr>
              <w:pStyle w:val="Table-Text"/>
              <w:jc w:val="center"/>
            </w:pPr>
            <w:r>
              <w:t>115</w:t>
            </w:r>
          </w:p>
        </w:tc>
      </w:tr>
      <w:tr w:rsidR="00B1738B" w:rsidRPr="00B1738B" w14:paraId="6C2E2080"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196EE695" w14:textId="77777777" w:rsidR="00B1738B" w:rsidRPr="00B1738B" w:rsidRDefault="00B1738B" w:rsidP="001B0492">
            <w:pPr>
              <w:pStyle w:val="Table-Text"/>
            </w:pPr>
            <w:r w:rsidRPr="00B1738B">
              <w:t>NOx Removal Efficiency</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4E909574" w14:textId="77777777" w:rsidR="00B1738B" w:rsidRPr="00B1738B" w:rsidRDefault="48EF8FC6" w:rsidP="3328C818">
            <w:pPr>
              <w:pStyle w:val="Table-Text"/>
              <w:jc w:val="center"/>
            </w:pPr>
            <w:r>
              <w:t>25</w:t>
            </w:r>
          </w:p>
        </w:tc>
        <w:tc>
          <w:tcPr>
            <w:tcW w:w="657" w:type="pct"/>
            <w:tcBorders>
              <w:top w:val="nil"/>
              <w:left w:val="nil"/>
              <w:bottom w:val="single" w:sz="4" w:space="0" w:color="auto"/>
              <w:right w:val="single" w:sz="8" w:space="0" w:color="auto"/>
            </w:tcBorders>
            <w:shd w:val="clear" w:color="auto" w:fill="auto"/>
            <w:noWrap/>
            <w:vAlign w:val="center"/>
            <w:hideMark/>
          </w:tcPr>
          <w:p w14:paraId="1BC26D3E" w14:textId="77777777" w:rsidR="00B1738B" w:rsidRPr="00B1738B" w:rsidRDefault="48EF8FC6" w:rsidP="3328C818">
            <w:pPr>
              <w:pStyle w:val="Table-Text"/>
              <w:jc w:val="center"/>
            </w:pPr>
            <w:r>
              <w:t>24</w:t>
            </w:r>
          </w:p>
        </w:tc>
        <w:tc>
          <w:tcPr>
            <w:tcW w:w="710" w:type="pct"/>
            <w:tcBorders>
              <w:top w:val="nil"/>
              <w:left w:val="nil"/>
              <w:bottom w:val="single" w:sz="4" w:space="0" w:color="auto"/>
              <w:right w:val="single" w:sz="4" w:space="0" w:color="auto"/>
            </w:tcBorders>
            <w:shd w:val="clear" w:color="auto" w:fill="FFFF00"/>
            <w:noWrap/>
            <w:vAlign w:val="center"/>
            <w:hideMark/>
          </w:tcPr>
          <w:p w14:paraId="0CE59ECC" w14:textId="77777777" w:rsidR="00B1738B" w:rsidRPr="00B1738B" w:rsidRDefault="48EF8FC6" w:rsidP="3328C818">
            <w:pPr>
              <w:pStyle w:val="Table-Text"/>
              <w:jc w:val="center"/>
            </w:pPr>
            <w:r>
              <w:t>85</w:t>
            </w:r>
          </w:p>
        </w:tc>
        <w:tc>
          <w:tcPr>
            <w:tcW w:w="712" w:type="pct"/>
            <w:tcBorders>
              <w:top w:val="nil"/>
              <w:left w:val="nil"/>
              <w:bottom w:val="single" w:sz="4" w:space="0" w:color="auto"/>
              <w:right w:val="single" w:sz="8" w:space="0" w:color="auto"/>
            </w:tcBorders>
            <w:shd w:val="clear" w:color="auto" w:fill="FFFF00"/>
            <w:noWrap/>
            <w:vAlign w:val="center"/>
            <w:hideMark/>
          </w:tcPr>
          <w:p w14:paraId="60099F38" w14:textId="77777777" w:rsidR="00B1738B" w:rsidRPr="00B1738B" w:rsidRDefault="48EF8FC6" w:rsidP="3328C818">
            <w:pPr>
              <w:pStyle w:val="Table-Text"/>
              <w:jc w:val="center"/>
            </w:pPr>
            <w:r>
              <w:t>79</w:t>
            </w:r>
          </w:p>
        </w:tc>
      </w:tr>
      <w:tr w:rsidR="00B1738B" w:rsidRPr="00B1738B" w14:paraId="2696F659"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40A1C3B0" w14:textId="77777777" w:rsidR="00B1738B" w:rsidRPr="00B1738B" w:rsidRDefault="00B1738B" w:rsidP="001B0492">
            <w:pPr>
              <w:pStyle w:val="Table-Text"/>
            </w:pPr>
            <w:r w:rsidRPr="00B1738B">
              <w:t>Controlled NOx Emission Rate (</w:t>
            </w:r>
            <w:proofErr w:type="spellStart"/>
            <w:r w:rsidRPr="00B1738B">
              <w:t>lb</w:t>
            </w:r>
            <w:proofErr w:type="spellEnd"/>
            <w:r w:rsidRPr="00B1738B">
              <w:t>/</w:t>
            </w:r>
            <w:proofErr w:type="spellStart"/>
            <w:r w:rsidRPr="00B1738B">
              <w:t>mmbtu</w:t>
            </w:r>
            <w:proofErr w:type="spellEnd"/>
            <w:r w:rsidRPr="00B1738B">
              <w:t>)</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18DD1413" w14:textId="77777777" w:rsidR="00B1738B" w:rsidRPr="00B1738B" w:rsidRDefault="48EF8FC6" w:rsidP="3328C818">
            <w:pPr>
              <w:pStyle w:val="Table-Text"/>
              <w:jc w:val="center"/>
            </w:pPr>
            <w:r>
              <w:t>0.25</w:t>
            </w:r>
          </w:p>
        </w:tc>
        <w:tc>
          <w:tcPr>
            <w:tcW w:w="657" w:type="pct"/>
            <w:tcBorders>
              <w:top w:val="nil"/>
              <w:left w:val="nil"/>
              <w:bottom w:val="single" w:sz="4" w:space="0" w:color="auto"/>
              <w:right w:val="single" w:sz="8" w:space="0" w:color="auto"/>
            </w:tcBorders>
            <w:shd w:val="clear" w:color="auto" w:fill="auto"/>
            <w:noWrap/>
            <w:vAlign w:val="center"/>
            <w:hideMark/>
          </w:tcPr>
          <w:p w14:paraId="7457EE46" w14:textId="77777777" w:rsidR="00B1738B" w:rsidRPr="00B1738B" w:rsidRDefault="48EF8FC6" w:rsidP="3328C818">
            <w:pPr>
              <w:pStyle w:val="Table-Text"/>
              <w:jc w:val="center"/>
            </w:pPr>
            <w:r>
              <w:t>0.25</w:t>
            </w:r>
          </w:p>
        </w:tc>
        <w:tc>
          <w:tcPr>
            <w:tcW w:w="710" w:type="pct"/>
            <w:tcBorders>
              <w:top w:val="nil"/>
              <w:left w:val="nil"/>
              <w:bottom w:val="single" w:sz="4" w:space="0" w:color="auto"/>
              <w:right w:val="single" w:sz="4" w:space="0" w:color="auto"/>
            </w:tcBorders>
            <w:shd w:val="clear" w:color="auto" w:fill="FFFF00"/>
            <w:noWrap/>
            <w:vAlign w:val="center"/>
            <w:hideMark/>
          </w:tcPr>
          <w:p w14:paraId="6C5CD74F" w14:textId="77777777" w:rsidR="00B1738B" w:rsidRPr="00B1738B" w:rsidRDefault="48EF8FC6" w:rsidP="3328C818">
            <w:pPr>
              <w:pStyle w:val="Table-Text"/>
              <w:jc w:val="center"/>
            </w:pPr>
            <w:r>
              <w:t>0.05</w:t>
            </w:r>
          </w:p>
        </w:tc>
        <w:tc>
          <w:tcPr>
            <w:tcW w:w="712" w:type="pct"/>
            <w:tcBorders>
              <w:top w:val="nil"/>
              <w:left w:val="nil"/>
              <w:bottom w:val="single" w:sz="4" w:space="0" w:color="auto"/>
              <w:right w:val="single" w:sz="8" w:space="0" w:color="auto"/>
            </w:tcBorders>
            <w:shd w:val="clear" w:color="auto" w:fill="FFFF00"/>
            <w:noWrap/>
            <w:vAlign w:val="center"/>
            <w:hideMark/>
          </w:tcPr>
          <w:p w14:paraId="40BCD07C" w14:textId="77777777" w:rsidR="00B1738B" w:rsidRPr="00B1738B" w:rsidRDefault="48EF8FC6" w:rsidP="3328C818">
            <w:pPr>
              <w:pStyle w:val="Table-Text"/>
              <w:jc w:val="center"/>
            </w:pPr>
            <w:r>
              <w:t>0.07</w:t>
            </w:r>
          </w:p>
        </w:tc>
      </w:tr>
      <w:tr w:rsidR="00B1738B" w:rsidRPr="00B1738B" w14:paraId="205BCACF"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08756AE2" w14:textId="77777777" w:rsidR="00B1738B" w:rsidRPr="00B1738B" w:rsidRDefault="00B1738B" w:rsidP="001B0492">
            <w:pPr>
              <w:pStyle w:val="Table-Text"/>
            </w:pPr>
            <w:r w:rsidRPr="00B1738B">
              <w:t>Tons removed</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1B921C92" w14:textId="77777777" w:rsidR="00B1738B" w:rsidRPr="00B1738B" w:rsidRDefault="48EF8FC6" w:rsidP="3328C818">
            <w:pPr>
              <w:pStyle w:val="Table-Text"/>
              <w:jc w:val="center"/>
            </w:pPr>
            <w:r>
              <w:t>29</w:t>
            </w:r>
          </w:p>
        </w:tc>
        <w:tc>
          <w:tcPr>
            <w:tcW w:w="657" w:type="pct"/>
            <w:tcBorders>
              <w:top w:val="nil"/>
              <w:left w:val="nil"/>
              <w:bottom w:val="single" w:sz="4" w:space="0" w:color="auto"/>
              <w:right w:val="single" w:sz="8" w:space="0" w:color="auto"/>
            </w:tcBorders>
            <w:shd w:val="clear" w:color="auto" w:fill="auto"/>
            <w:noWrap/>
            <w:vAlign w:val="center"/>
            <w:hideMark/>
          </w:tcPr>
          <w:p w14:paraId="4F5ED6EB" w14:textId="77777777" w:rsidR="00B1738B" w:rsidRPr="00B1738B" w:rsidRDefault="48EF8FC6" w:rsidP="3328C818">
            <w:pPr>
              <w:pStyle w:val="Table-Text"/>
              <w:jc w:val="center"/>
            </w:pPr>
            <w:r>
              <w:t>28</w:t>
            </w:r>
          </w:p>
        </w:tc>
        <w:tc>
          <w:tcPr>
            <w:tcW w:w="710" w:type="pct"/>
            <w:tcBorders>
              <w:top w:val="nil"/>
              <w:left w:val="nil"/>
              <w:bottom w:val="single" w:sz="4" w:space="0" w:color="auto"/>
              <w:right w:val="single" w:sz="4" w:space="0" w:color="auto"/>
            </w:tcBorders>
            <w:shd w:val="clear" w:color="auto" w:fill="FFFF00"/>
            <w:noWrap/>
            <w:vAlign w:val="center"/>
            <w:hideMark/>
          </w:tcPr>
          <w:p w14:paraId="0467D2F6" w14:textId="77777777" w:rsidR="00B1738B" w:rsidRPr="00B1738B" w:rsidRDefault="48EF8FC6" w:rsidP="3328C818">
            <w:pPr>
              <w:pStyle w:val="Table-Text"/>
              <w:jc w:val="center"/>
            </w:pPr>
            <w:r>
              <w:t>98</w:t>
            </w:r>
          </w:p>
        </w:tc>
        <w:tc>
          <w:tcPr>
            <w:tcW w:w="712" w:type="pct"/>
            <w:tcBorders>
              <w:top w:val="nil"/>
              <w:left w:val="nil"/>
              <w:bottom w:val="single" w:sz="4" w:space="0" w:color="auto"/>
              <w:right w:val="single" w:sz="8" w:space="0" w:color="auto"/>
            </w:tcBorders>
            <w:shd w:val="clear" w:color="auto" w:fill="FFFF00"/>
            <w:noWrap/>
            <w:vAlign w:val="center"/>
            <w:hideMark/>
          </w:tcPr>
          <w:p w14:paraId="1E14D5D3" w14:textId="77777777" w:rsidR="00B1738B" w:rsidRPr="00B1738B" w:rsidRDefault="48EF8FC6" w:rsidP="3328C818">
            <w:pPr>
              <w:pStyle w:val="Table-Text"/>
              <w:jc w:val="center"/>
            </w:pPr>
            <w:r>
              <w:t>91</w:t>
            </w:r>
          </w:p>
        </w:tc>
      </w:tr>
      <w:tr w:rsidR="00B1738B" w:rsidRPr="00B1738B" w14:paraId="2360D77B" w14:textId="77777777" w:rsidTr="3328C818">
        <w:trPr>
          <w:trHeight w:hRule="exact" w:val="288"/>
        </w:trPr>
        <w:tc>
          <w:tcPr>
            <w:tcW w:w="2263" w:type="pct"/>
            <w:tcBorders>
              <w:top w:val="nil"/>
              <w:left w:val="single" w:sz="8" w:space="0" w:color="auto"/>
              <w:bottom w:val="single" w:sz="8" w:space="0" w:color="auto"/>
              <w:right w:val="nil"/>
            </w:tcBorders>
            <w:shd w:val="clear" w:color="auto" w:fill="auto"/>
            <w:noWrap/>
            <w:vAlign w:val="bottom"/>
            <w:hideMark/>
          </w:tcPr>
          <w:p w14:paraId="7C8021CA" w14:textId="77777777" w:rsidR="00B1738B" w:rsidRPr="00B1738B" w:rsidRDefault="00B1738B" w:rsidP="001B0492">
            <w:pPr>
              <w:pStyle w:val="Table-Text"/>
            </w:pPr>
            <w:r w:rsidRPr="00B1738B">
              <w:t>Cost-Effectiveness</w:t>
            </w:r>
          </w:p>
        </w:tc>
        <w:tc>
          <w:tcPr>
            <w:tcW w:w="657" w:type="pct"/>
            <w:tcBorders>
              <w:top w:val="nil"/>
              <w:left w:val="single" w:sz="8" w:space="0" w:color="auto"/>
              <w:bottom w:val="single" w:sz="8" w:space="0" w:color="auto"/>
              <w:right w:val="single" w:sz="4" w:space="0" w:color="auto"/>
            </w:tcBorders>
            <w:shd w:val="clear" w:color="auto" w:fill="auto"/>
            <w:noWrap/>
            <w:vAlign w:val="center"/>
            <w:hideMark/>
          </w:tcPr>
          <w:p w14:paraId="5A9D443B" w14:textId="77777777" w:rsidR="00B1738B" w:rsidRPr="00B1738B" w:rsidRDefault="48EF8FC6" w:rsidP="3328C818">
            <w:pPr>
              <w:pStyle w:val="Table-Text"/>
              <w:jc w:val="center"/>
            </w:pPr>
            <w:r>
              <w:t xml:space="preserve"> $        8,405 </w:t>
            </w:r>
          </w:p>
        </w:tc>
        <w:tc>
          <w:tcPr>
            <w:tcW w:w="657" w:type="pct"/>
            <w:tcBorders>
              <w:top w:val="nil"/>
              <w:left w:val="nil"/>
              <w:bottom w:val="single" w:sz="8" w:space="0" w:color="auto"/>
              <w:right w:val="single" w:sz="8" w:space="0" w:color="auto"/>
            </w:tcBorders>
            <w:shd w:val="clear" w:color="auto" w:fill="auto"/>
            <w:noWrap/>
            <w:vAlign w:val="center"/>
            <w:hideMark/>
          </w:tcPr>
          <w:p w14:paraId="5E4F8364" w14:textId="77777777" w:rsidR="00B1738B" w:rsidRPr="00B1738B" w:rsidRDefault="48EF8FC6" w:rsidP="3328C818">
            <w:pPr>
              <w:pStyle w:val="Table-Text"/>
              <w:jc w:val="center"/>
            </w:pPr>
            <w:r>
              <w:t xml:space="preserve"> $      12,537 </w:t>
            </w:r>
          </w:p>
        </w:tc>
        <w:tc>
          <w:tcPr>
            <w:tcW w:w="710" w:type="pct"/>
            <w:tcBorders>
              <w:top w:val="nil"/>
              <w:left w:val="nil"/>
              <w:bottom w:val="single" w:sz="8" w:space="0" w:color="auto"/>
              <w:right w:val="single" w:sz="4" w:space="0" w:color="auto"/>
            </w:tcBorders>
            <w:shd w:val="clear" w:color="auto" w:fill="FFFF00"/>
            <w:noWrap/>
            <w:vAlign w:val="center"/>
            <w:hideMark/>
          </w:tcPr>
          <w:p w14:paraId="2B708C1D" w14:textId="77777777" w:rsidR="00B1738B" w:rsidRPr="00B1738B" w:rsidRDefault="48EF8FC6" w:rsidP="3328C818">
            <w:pPr>
              <w:pStyle w:val="Table-Text"/>
              <w:jc w:val="center"/>
            </w:pPr>
            <w:r>
              <w:t xml:space="preserve"> $           7,622 </w:t>
            </w:r>
          </w:p>
        </w:tc>
        <w:tc>
          <w:tcPr>
            <w:tcW w:w="712" w:type="pct"/>
            <w:tcBorders>
              <w:top w:val="nil"/>
              <w:left w:val="nil"/>
              <w:bottom w:val="single" w:sz="8" w:space="0" w:color="auto"/>
              <w:right w:val="single" w:sz="8" w:space="0" w:color="auto"/>
            </w:tcBorders>
            <w:shd w:val="clear" w:color="auto" w:fill="FFFF00"/>
            <w:noWrap/>
            <w:vAlign w:val="center"/>
            <w:hideMark/>
          </w:tcPr>
          <w:p w14:paraId="17BC06E2" w14:textId="77777777" w:rsidR="00B1738B" w:rsidRPr="00B1738B" w:rsidRDefault="48EF8FC6" w:rsidP="3328C818">
            <w:pPr>
              <w:pStyle w:val="Table-Text"/>
              <w:jc w:val="center"/>
            </w:pPr>
            <w:r>
              <w:t xml:space="preserve"> $        13,236 </w:t>
            </w:r>
          </w:p>
        </w:tc>
      </w:tr>
    </w:tbl>
    <w:p w14:paraId="0FA62583" w14:textId="77777777" w:rsidR="00B1738B" w:rsidRDefault="00B1738B" w:rsidP="00B1738B">
      <w:pPr>
        <w:pStyle w:val="Caption"/>
        <w:contextualSpacing/>
      </w:pPr>
    </w:p>
    <w:p w14:paraId="28410B4A" w14:textId="77777777" w:rsidR="00293E74" w:rsidRDefault="00293E74">
      <w:pPr>
        <w:rPr>
          <w:bCs/>
          <w:i/>
          <w:iCs/>
          <w:color w:val="44546A" w:themeColor="text2"/>
          <w:sz w:val="22"/>
          <w:szCs w:val="18"/>
        </w:rPr>
      </w:pPr>
      <w:r>
        <w:br w:type="page"/>
      </w:r>
    </w:p>
    <w:p w14:paraId="4BEB46B6" w14:textId="1A057739" w:rsidR="00867FDB" w:rsidRDefault="00867FDB" w:rsidP="00B1738B">
      <w:pPr>
        <w:pStyle w:val="Caption"/>
        <w:contextualSpacing/>
      </w:pPr>
      <w:r>
        <w:t xml:space="preserve">Table </w:t>
      </w:r>
      <w:r>
        <w:fldChar w:fldCharType="begin"/>
      </w:r>
      <w:r>
        <w:instrText>SEQ Table \* ARABIC</w:instrText>
      </w:r>
      <w:r>
        <w:fldChar w:fldCharType="separate"/>
      </w:r>
      <w:r>
        <w:rPr>
          <w:noProof/>
        </w:rPr>
        <w:t>5</w:t>
      </w:r>
      <w:r>
        <w:fldChar w:fldCharType="end"/>
      </w:r>
      <w:r>
        <w:t xml:space="preserve">.NPS/MPCA </w:t>
      </w:r>
      <w:r w:rsidRPr="00A9462F">
        <w:t>NO</w:t>
      </w:r>
      <w:r>
        <w:rPr>
          <w:vertAlign w:val="subscript"/>
        </w:rPr>
        <w:t>x</w:t>
      </w:r>
      <w:r>
        <w:t xml:space="preserve"> Control Cost Estimate Comparison for SNCR and SCR at ACSC Boiler 3</w:t>
      </w:r>
    </w:p>
    <w:tbl>
      <w:tblPr>
        <w:tblW w:w="5000" w:type="pct"/>
        <w:tblLook w:val="04A0" w:firstRow="1" w:lastRow="0" w:firstColumn="1" w:lastColumn="0" w:noHBand="0" w:noVBand="1"/>
      </w:tblPr>
      <w:tblGrid>
        <w:gridCol w:w="4228"/>
        <w:gridCol w:w="1227"/>
        <w:gridCol w:w="1229"/>
        <w:gridCol w:w="1328"/>
        <w:gridCol w:w="1328"/>
      </w:tblGrid>
      <w:tr w:rsidR="00B1738B" w:rsidRPr="00B1738B" w14:paraId="2096A5C0" w14:textId="77777777" w:rsidTr="3328C818">
        <w:trPr>
          <w:trHeight w:val="290"/>
        </w:trPr>
        <w:tc>
          <w:tcPr>
            <w:tcW w:w="2263" w:type="pct"/>
            <w:tcBorders>
              <w:top w:val="single" w:sz="8" w:space="0" w:color="auto"/>
              <w:left w:val="single" w:sz="8" w:space="0" w:color="auto"/>
              <w:bottom w:val="single" w:sz="4" w:space="0" w:color="auto"/>
              <w:right w:val="nil"/>
            </w:tcBorders>
            <w:shd w:val="clear" w:color="auto" w:fill="auto"/>
            <w:noWrap/>
            <w:vAlign w:val="bottom"/>
            <w:hideMark/>
          </w:tcPr>
          <w:p w14:paraId="628947DC" w14:textId="77777777" w:rsidR="00B1738B" w:rsidRPr="001B0492" w:rsidRDefault="00B1738B" w:rsidP="001B0492">
            <w:pPr>
              <w:pStyle w:val="Table-Text"/>
              <w:rPr>
                <w:b/>
              </w:rPr>
            </w:pPr>
            <w:r w:rsidRPr="001B0492">
              <w:rPr>
                <w:b/>
              </w:rPr>
              <w:t>ACS CRK Boiler 3</w:t>
            </w:r>
          </w:p>
        </w:tc>
        <w:tc>
          <w:tcPr>
            <w:tcW w:w="1315" w:type="pct"/>
            <w:gridSpan w:val="2"/>
            <w:tcBorders>
              <w:top w:val="single" w:sz="8" w:space="0" w:color="auto"/>
              <w:left w:val="single" w:sz="8" w:space="0" w:color="auto"/>
              <w:bottom w:val="single" w:sz="4" w:space="0" w:color="auto"/>
              <w:right w:val="single" w:sz="8" w:space="0" w:color="000000" w:themeColor="text1"/>
            </w:tcBorders>
            <w:shd w:val="clear" w:color="auto" w:fill="auto"/>
            <w:noWrap/>
            <w:vAlign w:val="center"/>
            <w:hideMark/>
          </w:tcPr>
          <w:p w14:paraId="4796A5D4" w14:textId="77777777" w:rsidR="00B1738B" w:rsidRPr="001B0492" w:rsidRDefault="48EF8FC6" w:rsidP="3328C818">
            <w:pPr>
              <w:pStyle w:val="Table-Text"/>
              <w:jc w:val="center"/>
              <w:rPr>
                <w:b/>
                <w:bCs/>
              </w:rPr>
            </w:pPr>
            <w:r w:rsidRPr="3328C818">
              <w:rPr>
                <w:b/>
                <w:bCs/>
              </w:rPr>
              <w:t>SNCR</w:t>
            </w:r>
          </w:p>
        </w:tc>
        <w:tc>
          <w:tcPr>
            <w:tcW w:w="1422" w:type="pct"/>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796486DC" w14:textId="77777777" w:rsidR="00B1738B" w:rsidRPr="001B0492" w:rsidRDefault="48EF8FC6" w:rsidP="3328C818">
            <w:pPr>
              <w:pStyle w:val="Table-Text"/>
              <w:jc w:val="center"/>
              <w:rPr>
                <w:b/>
                <w:bCs/>
              </w:rPr>
            </w:pPr>
            <w:r w:rsidRPr="3328C818">
              <w:rPr>
                <w:b/>
                <w:bCs/>
              </w:rPr>
              <w:t>SCR</w:t>
            </w:r>
          </w:p>
        </w:tc>
      </w:tr>
      <w:tr w:rsidR="00B1738B" w:rsidRPr="00B1738B" w14:paraId="39880669" w14:textId="77777777" w:rsidTr="3328C818">
        <w:trPr>
          <w:trHeight w:val="300"/>
        </w:trPr>
        <w:tc>
          <w:tcPr>
            <w:tcW w:w="2263" w:type="pct"/>
            <w:tcBorders>
              <w:top w:val="nil"/>
              <w:left w:val="single" w:sz="8" w:space="0" w:color="auto"/>
              <w:bottom w:val="single" w:sz="8" w:space="0" w:color="auto"/>
              <w:right w:val="nil"/>
            </w:tcBorders>
            <w:shd w:val="clear" w:color="auto" w:fill="auto"/>
            <w:noWrap/>
            <w:vAlign w:val="center"/>
            <w:hideMark/>
          </w:tcPr>
          <w:p w14:paraId="4E618C18" w14:textId="77777777" w:rsidR="00B1738B" w:rsidRPr="001B0492" w:rsidRDefault="00B1738B" w:rsidP="001B0492">
            <w:pPr>
              <w:pStyle w:val="Table-Text"/>
              <w:rPr>
                <w:b/>
              </w:rPr>
            </w:pPr>
            <w:r w:rsidRPr="001B0492">
              <w:rPr>
                <w:b/>
              </w:rPr>
              <w:t>Control Technology</w:t>
            </w:r>
          </w:p>
        </w:tc>
        <w:tc>
          <w:tcPr>
            <w:tcW w:w="657" w:type="pct"/>
            <w:tcBorders>
              <w:top w:val="nil"/>
              <w:left w:val="single" w:sz="8" w:space="0" w:color="auto"/>
              <w:bottom w:val="single" w:sz="8" w:space="0" w:color="auto"/>
              <w:right w:val="single" w:sz="4" w:space="0" w:color="auto"/>
            </w:tcBorders>
            <w:shd w:val="clear" w:color="auto" w:fill="auto"/>
            <w:noWrap/>
            <w:vAlign w:val="center"/>
            <w:hideMark/>
          </w:tcPr>
          <w:p w14:paraId="0F484A4A" w14:textId="77777777" w:rsidR="00B1738B" w:rsidRPr="001B0492" w:rsidRDefault="48EF8FC6" w:rsidP="3328C818">
            <w:pPr>
              <w:pStyle w:val="Table-Text"/>
              <w:jc w:val="center"/>
              <w:rPr>
                <w:b/>
                <w:bCs/>
              </w:rPr>
            </w:pPr>
            <w:r w:rsidRPr="3328C818">
              <w:rPr>
                <w:b/>
                <w:bCs/>
              </w:rPr>
              <w:t>ARD</w:t>
            </w:r>
          </w:p>
        </w:tc>
        <w:tc>
          <w:tcPr>
            <w:tcW w:w="657" w:type="pct"/>
            <w:tcBorders>
              <w:top w:val="nil"/>
              <w:left w:val="nil"/>
              <w:bottom w:val="single" w:sz="8" w:space="0" w:color="auto"/>
              <w:right w:val="single" w:sz="8" w:space="0" w:color="auto"/>
            </w:tcBorders>
            <w:shd w:val="clear" w:color="auto" w:fill="auto"/>
            <w:noWrap/>
            <w:vAlign w:val="center"/>
            <w:hideMark/>
          </w:tcPr>
          <w:p w14:paraId="6356BCFE" w14:textId="77777777" w:rsidR="00B1738B" w:rsidRPr="001B0492" w:rsidRDefault="48EF8FC6" w:rsidP="3328C818">
            <w:pPr>
              <w:pStyle w:val="Table-Text"/>
              <w:jc w:val="center"/>
              <w:rPr>
                <w:b/>
                <w:bCs/>
              </w:rPr>
            </w:pPr>
            <w:r w:rsidRPr="3328C818">
              <w:rPr>
                <w:b/>
                <w:bCs/>
              </w:rPr>
              <w:t>MPCA</w:t>
            </w:r>
          </w:p>
        </w:tc>
        <w:tc>
          <w:tcPr>
            <w:tcW w:w="711" w:type="pct"/>
            <w:tcBorders>
              <w:top w:val="nil"/>
              <w:left w:val="nil"/>
              <w:bottom w:val="single" w:sz="8" w:space="0" w:color="auto"/>
              <w:right w:val="single" w:sz="4" w:space="0" w:color="auto"/>
            </w:tcBorders>
            <w:shd w:val="clear" w:color="auto" w:fill="auto"/>
            <w:noWrap/>
            <w:vAlign w:val="center"/>
            <w:hideMark/>
          </w:tcPr>
          <w:p w14:paraId="119D3A63" w14:textId="77777777" w:rsidR="00B1738B" w:rsidRPr="001B0492" w:rsidRDefault="48EF8FC6" w:rsidP="3328C818">
            <w:pPr>
              <w:pStyle w:val="Table-Text"/>
              <w:jc w:val="center"/>
              <w:rPr>
                <w:b/>
                <w:bCs/>
              </w:rPr>
            </w:pPr>
            <w:r w:rsidRPr="3328C818">
              <w:rPr>
                <w:b/>
                <w:bCs/>
              </w:rPr>
              <w:t>ARD</w:t>
            </w:r>
          </w:p>
        </w:tc>
        <w:tc>
          <w:tcPr>
            <w:tcW w:w="711" w:type="pct"/>
            <w:tcBorders>
              <w:top w:val="nil"/>
              <w:left w:val="nil"/>
              <w:bottom w:val="single" w:sz="8" w:space="0" w:color="auto"/>
              <w:right w:val="single" w:sz="8" w:space="0" w:color="auto"/>
            </w:tcBorders>
            <w:shd w:val="clear" w:color="auto" w:fill="auto"/>
            <w:noWrap/>
            <w:vAlign w:val="center"/>
            <w:hideMark/>
          </w:tcPr>
          <w:p w14:paraId="57D5A0D6" w14:textId="77777777" w:rsidR="00B1738B" w:rsidRPr="001B0492" w:rsidRDefault="48EF8FC6" w:rsidP="3328C818">
            <w:pPr>
              <w:pStyle w:val="Table-Text"/>
              <w:jc w:val="center"/>
              <w:rPr>
                <w:b/>
                <w:bCs/>
              </w:rPr>
            </w:pPr>
            <w:r w:rsidRPr="3328C818">
              <w:rPr>
                <w:b/>
                <w:bCs/>
              </w:rPr>
              <w:t>MPCA</w:t>
            </w:r>
          </w:p>
        </w:tc>
      </w:tr>
      <w:tr w:rsidR="00B1738B" w:rsidRPr="00B1738B" w14:paraId="67566F23"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center"/>
            <w:hideMark/>
          </w:tcPr>
          <w:p w14:paraId="326ACDBA" w14:textId="77777777" w:rsidR="00B1738B" w:rsidRPr="00B1738B" w:rsidRDefault="00B1738B" w:rsidP="001B0492">
            <w:pPr>
              <w:pStyle w:val="Table-Text"/>
            </w:pPr>
            <w:r w:rsidRPr="00B1738B">
              <w:t>Capacity (</w:t>
            </w:r>
            <w:proofErr w:type="spellStart"/>
            <w:r w:rsidRPr="00B1738B">
              <w:t>mmBtu</w:t>
            </w:r>
            <w:proofErr w:type="spellEnd"/>
            <w:r w:rsidRPr="00B1738B">
              <w:t>/</w:t>
            </w:r>
            <w:proofErr w:type="spellStart"/>
            <w:r w:rsidRPr="00B1738B">
              <w:t>hr</w:t>
            </w:r>
            <w:proofErr w:type="spellEnd"/>
            <w:r w:rsidRPr="00B1738B">
              <w:t>)</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46631B68" w14:textId="77777777" w:rsidR="00B1738B" w:rsidRPr="00B1738B" w:rsidRDefault="48EF8FC6" w:rsidP="3328C818">
            <w:pPr>
              <w:pStyle w:val="Table-Text"/>
              <w:jc w:val="center"/>
            </w:pPr>
            <w:r>
              <w:t>165</w:t>
            </w:r>
          </w:p>
        </w:tc>
        <w:tc>
          <w:tcPr>
            <w:tcW w:w="657" w:type="pct"/>
            <w:tcBorders>
              <w:top w:val="nil"/>
              <w:left w:val="nil"/>
              <w:bottom w:val="single" w:sz="4" w:space="0" w:color="auto"/>
              <w:right w:val="single" w:sz="8" w:space="0" w:color="auto"/>
            </w:tcBorders>
            <w:shd w:val="clear" w:color="auto" w:fill="auto"/>
            <w:noWrap/>
            <w:vAlign w:val="center"/>
            <w:hideMark/>
          </w:tcPr>
          <w:p w14:paraId="631F3F85" w14:textId="77777777" w:rsidR="00B1738B" w:rsidRPr="00B1738B" w:rsidRDefault="48EF8FC6" w:rsidP="3328C818">
            <w:pPr>
              <w:pStyle w:val="Table-Text"/>
              <w:jc w:val="center"/>
            </w:pPr>
            <w:r>
              <w:t>165</w:t>
            </w:r>
          </w:p>
        </w:tc>
        <w:tc>
          <w:tcPr>
            <w:tcW w:w="711" w:type="pct"/>
            <w:tcBorders>
              <w:top w:val="nil"/>
              <w:left w:val="nil"/>
              <w:bottom w:val="single" w:sz="4" w:space="0" w:color="auto"/>
              <w:right w:val="single" w:sz="4" w:space="0" w:color="auto"/>
            </w:tcBorders>
            <w:shd w:val="clear" w:color="auto" w:fill="auto"/>
            <w:noWrap/>
            <w:vAlign w:val="center"/>
            <w:hideMark/>
          </w:tcPr>
          <w:p w14:paraId="40D4A9E2" w14:textId="77777777" w:rsidR="00B1738B" w:rsidRPr="00B1738B" w:rsidRDefault="48EF8FC6" w:rsidP="3328C818">
            <w:pPr>
              <w:pStyle w:val="Table-Text"/>
              <w:jc w:val="center"/>
            </w:pPr>
            <w:r>
              <w:t>165</w:t>
            </w:r>
          </w:p>
        </w:tc>
        <w:tc>
          <w:tcPr>
            <w:tcW w:w="711" w:type="pct"/>
            <w:tcBorders>
              <w:top w:val="nil"/>
              <w:left w:val="nil"/>
              <w:bottom w:val="single" w:sz="4" w:space="0" w:color="auto"/>
              <w:right w:val="single" w:sz="8" w:space="0" w:color="auto"/>
            </w:tcBorders>
            <w:shd w:val="clear" w:color="auto" w:fill="auto"/>
            <w:noWrap/>
            <w:vAlign w:val="center"/>
            <w:hideMark/>
          </w:tcPr>
          <w:p w14:paraId="39861167" w14:textId="77777777" w:rsidR="00B1738B" w:rsidRPr="00B1738B" w:rsidRDefault="48EF8FC6" w:rsidP="3328C818">
            <w:pPr>
              <w:pStyle w:val="Table-Text"/>
              <w:jc w:val="center"/>
            </w:pPr>
            <w:r>
              <w:t>165</w:t>
            </w:r>
          </w:p>
        </w:tc>
      </w:tr>
      <w:tr w:rsidR="00B1738B" w:rsidRPr="00B1738B" w14:paraId="6589867F"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center"/>
            <w:hideMark/>
          </w:tcPr>
          <w:p w14:paraId="79F27FEE" w14:textId="77777777" w:rsidR="00B1738B" w:rsidRPr="00B1738B" w:rsidRDefault="00B1738B" w:rsidP="001B0492">
            <w:pPr>
              <w:pStyle w:val="Table-Text"/>
            </w:pPr>
            <w:r w:rsidRPr="00B1738B">
              <w:t>Retrofit factor</w:t>
            </w:r>
          </w:p>
        </w:tc>
        <w:tc>
          <w:tcPr>
            <w:tcW w:w="657" w:type="pct"/>
            <w:tcBorders>
              <w:top w:val="nil"/>
              <w:left w:val="single" w:sz="8" w:space="0" w:color="auto"/>
              <w:bottom w:val="single" w:sz="4" w:space="0" w:color="auto"/>
              <w:right w:val="single" w:sz="4" w:space="0" w:color="auto"/>
            </w:tcBorders>
            <w:shd w:val="clear" w:color="auto" w:fill="FFFF00"/>
            <w:noWrap/>
            <w:vAlign w:val="center"/>
            <w:hideMark/>
          </w:tcPr>
          <w:p w14:paraId="6722D514" w14:textId="77777777" w:rsidR="00B1738B" w:rsidRPr="00B1738B" w:rsidRDefault="48EF8FC6" w:rsidP="3328C818">
            <w:pPr>
              <w:pStyle w:val="Table-Text"/>
              <w:jc w:val="center"/>
            </w:pPr>
            <w:r>
              <w:t>1.0</w:t>
            </w:r>
          </w:p>
        </w:tc>
        <w:tc>
          <w:tcPr>
            <w:tcW w:w="657" w:type="pct"/>
            <w:tcBorders>
              <w:top w:val="nil"/>
              <w:left w:val="nil"/>
              <w:bottom w:val="single" w:sz="4" w:space="0" w:color="auto"/>
              <w:right w:val="single" w:sz="8" w:space="0" w:color="auto"/>
            </w:tcBorders>
            <w:shd w:val="clear" w:color="auto" w:fill="FFFF00"/>
            <w:noWrap/>
            <w:vAlign w:val="center"/>
            <w:hideMark/>
          </w:tcPr>
          <w:p w14:paraId="3E5557C7" w14:textId="77777777" w:rsidR="00B1738B" w:rsidRPr="00B1738B" w:rsidRDefault="48EF8FC6" w:rsidP="3328C818">
            <w:pPr>
              <w:pStyle w:val="Table-Text"/>
              <w:jc w:val="center"/>
            </w:pPr>
            <w:r>
              <w:t>1.5</w:t>
            </w:r>
          </w:p>
        </w:tc>
        <w:tc>
          <w:tcPr>
            <w:tcW w:w="711" w:type="pct"/>
            <w:tcBorders>
              <w:top w:val="nil"/>
              <w:left w:val="nil"/>
              <w:bottom w:val="single" w:sz="4" w:space="0" w:color="auto"/>
              <w:right w:val="single" w:sz="4" w:space="0" w:color="auto"/>
            </w:tcBorders>
            <w:shd w:val="clear" w:color="auto" w:fill="FFFF00"/>
            <w:noWrap/>
            <w:vAlign w:val="center"/>
            <w:hideMark/>
          </w:tcPr>
          <w:p w14:paraId="6B153C44" w14:textId="77777777" w:rsidR="00B1738B" w:rsidRPr="00B1738B" w:rsidRDefault="48EF8FC6" w:rsidP="3328C818">
            <w:pPr>
              <w:pStyle w:val="Table-Text"/>
              <w:jc w:val="center"/>
            </w:pPr>
            <w:r>
              <w:t>1.0</w:t>
            </w:r>
          </w:p>
        </w:tc>
        <w:tc>
          <w:tcPr>
            <w:tcW w:w="711" w:type="pct"/>
            <w:tcBorders>
              <w:top w:val="nil"/>
              <w:left w:val="nil"/>
              <w:bottom w:val="single" w:sz="4" w:space="0" w:color="auto"/>
              <w:right w:val="single" w:sz="8" w:space="0" w:color="auto"/>
            </w:tcBorders>
            <w:shd w:val="clear" w:color="auto" w:fill="FFFF00"/>
            <w:noWrap/>
            <w:vAlign w:val="center"/>
            <w:hideMark/>
          </w:tcPr>
          <w:p w14:paraId="28B5E7C7" w14:textId="77777777" w:rsidR="00B1738B" w:rsidRPr="00B1738B" w:rsidRDefault="48EF8FC6" w:rsidP="3328C818">
            <w:pPr>
              <w:pStyle w:val="Table-Text"/>
              <w:jc w:val="center"/>
            </w:pPr>
            <w:r>
              <w:t>1.5</w:t>
            </w:r>
          </w:p>
        </w:tc>
      </w:tr>
      <w:tr w:rsidR="00B1738B" w:rsidRPr="00B1738B" w14:paraId="1E469C0F"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center"/>
            <w:hideMark/>
          </w:tcPr>
          <w:p w14:paraId="67F9A1BB" w14:textId="77777777" w:rsidR="00B1738B" w:rsidRPr="00B1738B" w:rsidRDefault="00B1738B" w:rsidP="001B0492">
            <w:pPr>
              <w:pStyle w:val="Table-Text"/>
            </w:pPr>
            <w:r w:rsidRPr="00B1738B">
              <w:t>CEPCI</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6EBE7CD7" w14:textId="77777777" w:rsidR="00B1738B" w:rsidRPr="00B1738B" w:rsidRDefault="48EF8FC6" w:rsidP="3328C818">
            <w:pPr>
              <w:pStyle w:val="Table-Text"/>
              <w:jc w:val="center"/>
            </w:pPr>
            <w:r>
              <w:t>607.5</w:t>
            </w:r>
          </w:p>
        </w:tc>
        <w:tc>
          <w:tcPr>
            <w:tcW w:w="657" w:type="pct"/>
            <w:tcBorders>
              <w:top w:val="nil"/>
              <w:left w:val="nil"/>
              <w:bottom w:val="single" w:sz="4" w:space="0" w:color="auto"/>
              <w:right w:val="single" w:sz="8" w:space="0" w:color="auto"/>
            </w:tcBorders>
            <w:shd w:val="clear" w:color="auto" w:fill="auto"/>
            <w:noWrap/>
            <w:vAlign w:val="center"/>
            <w:hideMark/>
          </w:tcPr>
          <w:p w14:paraId="1CC83241" w14:textId="77777777" w:rsidR="00B1738B" w:rsidRPr="00B1738B" w:rsidRDefault="48EF8FC6" w:rsidP="3328C818">
            <w:pPr>
              <w:pStyle w:val="Table-Text"/>
              <w:jc w:val="center"/>
            </w:pPr>
            <w:r>
              <w:t>607.5</w:t>
            </w:r>
          </w:p>
        </w:tc>
        <w:tc>
          <w:tcPr>
            <w:tcW w:w="711" w:type="pct"/>
            <w:tcBorders>
              <w:top w:val="nil"/>
              <w:left w:val="nil"/>
              <w:bottom w:val="single" w:sz="4" w:space="0" w:color="auto"/>
              <w:right w:val="single" w:sz="4" w:space="0" w:color="auto"/>
            </w:tcBorders>
            <w:shd w:val="clear" w:color="auto" w:fill="auto"/>
            <w:noWrap/>
            <w:vAlign w:val="center"/>
            <w:hideMark/>
          </w:tcPr>
          <w:p w14:paraId="473C9BB0" w14:textId="77777777" w:rsidR="00B1738B" w:rsidRPr="00B1738B" w:rsidRDefault="48EF8FC6" w:rsidP="3328C818">
            <w:pPr>
              <w:pStyle w:val="Table-Text"/>
              <w:jc w:val="center"/>
            </w:pPr>
            <w:r>
              <w:t>607.5</w:t>
            </w:r>
          </w:p>
        </w:tc>
        <w:tc>
          <w:tcPr>
            <w:tcW w:w="711" w:type="pct"/>
            <w:tcBorders>
              <w:top w:val="nil"/>
              <w:left w:val="nil"/>
              <w:bottom w:val="single" w:sz="4" w:space="0" w:color="auto"/>
              <w:right w:val="single" w:sz="8" w:space="0" w:color="auto"/>
            </w:tcBorders>
            <w:shd w:val="clear" w:color="auto" w:fill="auto"/>
            <w:noWrap/>
            <w:vAlign w:val="center"/>
            <w:hideMark/>
          </w:tcPr>
          <w:p w14:paraId="7B2D91FD" w14:textId="77777777" w:rsidR="00B1738B" w:rsidRPr="00B1738B" w:rsidRDefault="48EF8FC6" w:rsidP="3328C818">
            <w:pPr>
              <w:pStyle w:val="Table-Text"/>
              <w:jc w:val="center"/>
            </w:pPr>
            <w:r>
              <w:t>607.5</w:t>
            </w:r>
          </w:p>
        </w:tc>
      </w:tr>
      <w:tr w:rsidR="00B1738B" w:rsidRPr="00B1738B" w14:paraId="0B969113"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15DDBCC0" w14:textId="77777777" w:rsidR="00B1738B" w:rsidRPr="00B1738B" w:rsidRDefault="00B1738B" w:rsidP="001B0492">
            <w:pPr>
              <w:pStyle w:val="Table-Text"/>
            </w:pPr>
            <w:r w:rsidRPr="00B1738B">
              <w:t xml:space="preserve">Capital Cost </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769EC84B" w14:textId="77777777" w:rsidR="00B1738B" w:rsidRPr="00B1738B" w:rsidRDefault="48EF8FC6" w:rsidP="3328C818">
            <w:pPr>
              <w:pStyle w:val="Table-Text"/>
              <w:jc w:val="center"/>
            </w:pPr>
            <w:r>
              <w:t xml:space="preserve"> $ 2,562,882 </w:t>
            </w:r>
          </w:p>
        </w:tc>
        <w:tc>
          <w:tcPr>
            <w:tcW w:w="657" w:type="pct"/>
            <w:tcBorders>
              <w:top w:val="nil"/>
              <w:left w:val="nil"/>
              <w:bottom w:val="single" w:sz="4" w:space="0" w:color="auto"/>
              <w:right w:val="single" w:sz="8" w:space="0" w:color="auto"/>
            </w:tcBorders>
            <w:shd w:val="clear" w:color="auto" w:fill="auto"/>
            <w:noWrap/>
            <w:vAlign w:val="center"/>
            <w:hideMark/>
          </w:tcPr>
          <w:p w14:paraId="4476EE71" w14:textId="77777777" w:rsidR="00B1738B" w:rsidRPr="00B1738B" w:rsidRDefault="48EF8FC6" w:rsidP="3328C818">
            <w:pPr>
              <w:pStyle w:val="Table-Text"/>
              <w:jc w:val="center"/>
            </w:pPr>
            <w:r>
              <w:t xml:space="preserve"> $ 3,844,323 </w:t>
            </w:r>
          </w:p>
        </w:tc>
        <w:tc>
          <w:tcPr>
            <w:tcW w:w="711" w:type="pct"/>
            <w:tcBorders>
              <w:top w:val="nil"/>
              <w:left w:val="nil"/>
              <w:bottom w:val="single" w:sz="4" w:space="0" w:color="auto"/>
              <w:right w:val="single" w:sz="4" w:space="0" w:color="auto"/>
            </w:tcBorders>
            <w:shd w:val="clear" w:color="auto" w:fill="auto"/>
            <w:noWrap/>
            <w:vAlign w:val="center"/>
            <w:hideMark/>
          </w:tcPr>
          <w:p w14:paraId="21A62F02" w14:textId="77777777" w:rsidR="00B1738B" w:rsidRPr="00B1738B" w:rsidRDefault="48EF8FC6" w:rsidP="3328C818">
            <w:pPr>
              <w:pStyle w:val="Table-Text"/>
              <w:jc w:val="center"/>
            </w:pPr>
            <w:r>
              <w:t xml:space="preserve"> $ 11,246,337 </w:t>
            </w:r>
          </w:p>
        </w:tc>
        <w:tc>
          <w:tcPr>
            <w:tcW w:w="711" w:type="pct"/>
            <w:tcBorders>
              <w:top w:val="nil"/>
              <w:left w:val="nil"/>
              <w:bottom w:val="single" w:sz="4" w:space="0" w:color="auto"/>
              <w:right w:val="single" w:sz="8" w:space="0" w:color="auto"/>
            </w:tcBorders>
            <w:shd w:val="clear" w:color="auto" w:fill="auto"/>
            <w:noWrap/>
            <w:vAlign w:val="center"/>
            <w:hideMark/>
          </w:tcPr>
          <w:p w14:paraId="7F661DEA" w14:textId="77777777" w:rsidR="00B1738B" w:rsidRPr="00B1738B" w:rsidRDefault="48EF8FC6" w:rsidP="3328C818">
            <w:pPr>
              <w:pStyle w:val="Table-Text"/>
              <w:jc w:val="center"/>
            </w:pPr>
            <w:r>
              <w:t xml:space="preserve"> $ 16,766,382 </w:t>
            </w:r>
          </w:p>
        </w:tc>
      </w:tr>
      <w:tr w:rsidR="00B1738B" w:rsidRPr="00B1738B" w14:paraId="7164A7A7"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2A482B25" w14:textId="77777777" w:rsidR="00B1738B" w:rsidRPr="00B1738B" w:rsidRDefault="00B1738B" w:rsidP="001B0492">
            <w:pPr>
              <w:pStyle w:val="Table-Text"/>
            </w:pPr>
            <w:r w:rsidRPr="00B1738B">
              <w:t>Interest rate</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2DABE87C" w14:textId="77777777" w:rsidR="00B1738B" w:rsidRPr="00B1738B" w:rsidRDefault="48EF8FC6" w:rsidP="3328C818">
            <w:pPr>
              <w:pStyle w:val="Table-Text"/>
              <w:jc w:val="center"/>
            </w:pPr>
            <w:r>
              <w:t>3.50</w:t>
            </w:r>
          </w:p>
        </w:tc>
        <w:tc>
          <w:tcPr>
            <w:tcW w:w="657" w:type="pct"/>
            <w:tcBorders>
              <w:top w:val="nil"/>
              <w:left w:val="nil"/>
              <w:bottom w:val="single" w:sz="4" w:space="0" w:color="auto"/>
              <w:right w:val="single" w:sz="8" w:space="0" w:color="auto"/>
            </w:tcBorders>
            <w:shd w:val="clear" w:color="auto" w:fill="auto"/>
            <w:noWrap/>
            <w:vAlign w:val="center"/>
            <w:hideMark/>
          </w:tcPr>
          <w:p w14:paraId="37029FCF" w14:textId="77777777" w:rsidR="00B1738B" w:rsidRPr="00B1738B" w:rsidRDefault="48EF8FC6" w:rsidP="3328C818">
            <w:pPr>
              <w:pStyle w:val="Table-Text"/>
              <w:jc w:val="center"/>
            </w:pPr>
            <w:r>
              <w:t>3.50</w:t>
            </w:r>
          </w:p>
        </w:tc>
        <w:tc>
          <w:tcPr>
            <w:tcW w:w="711" w:type="pct"/>
            <w:tcBorders>
              <w:top w:val="nil"/>
              <w:left w:val="nil"/>
              <w:bottom w:val="single" w:sz="4" w:space="0" w:color="auto"/>
              <w:right w:val="single" w:sz="4" w:space="0" w:color="auto"/>
            </w:tcBorders>
            <w:shd w:val="clear" w:color="auto" w:fill="auto"/>
            <w:noWrap/>
            <w:vAlign w:val="center"/>
            <w:hideMark/>
          </w:tcPr>
          <w:p w14:paraId="7AB99BF7" w14:textId="77777777" w:rsidR="00B1738B" w:rsidRPr="00B1738B" w:rsidRDefault="48EF8FC6" w:rsidP="3328C818">
            <w:pPr>
              <w:pStyle w:val="Table-Text"/>
              <w:jc w:val="center"/>
            </w:pPr>
            <w:r>
              <w:t>3.50</w:t>
            </w:r>
          </w:p>
        </w:tc>
        <w:tc>
          <w:tcPr>
            <w:tcW w:w="711" w:type="pct"/>
            <w:tcBorders>
              <w:top w:val="nil"/>
              <w:left w:val="nil"/>
              <w:bottom w:val="single" w:sz="4" w:space="0" w:color="auto"/>
              <w:right w:val="single" w:sz="8" w:space="0" w:color="auto"/>
            </w:tcBorders>
            <w:shd w:val="clear" w:color="auto" w:fill="auto"/>
            <w:noWrap/>
            <w:vAlign w:val="center"/>
            <w:hideMark/>
          </w:tcPr>
          <w:p w14:paraId="3DA155C8" w14:textId="77777777" w:rsidR="00B1738B" w:rsidRPr="00B1738B" w:rsidRDefault="48EF8FC6" w:rsidP="3328C818">
            <w:pPr>
              <w:pStyle w:val="Table-Text"/>
              <w:jc w:val="center"/>
            </w:pPr>
            <w:r>
              <w:t>3.50</w:t>
            </w:r>
          </w:p>
        </w:tc>
      </w:tr>
      <w:tr w:rsidR="00B1738B" w:rsidRPr="00B1738B" w14:paraId="0EAC273F"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3D80B53E" w14:textId="77777777" w:rsidR="00B1738B" w:rsidRPr="00B1738B" w:rsidRDefault="00B1738B" w:rsidP="001B0492">
            <w:pPr>
              <w:pStyle w:val="Table-Text"/>
            </w:pPr>
            <w:r w:rsidRPr="00B1738B">
              <w:t>Control Equipment Life (</w:t>
            </w:r>
            <w:proofErr w:type="spellStart"/>
            <w:r w:rsidRPr="00B1738B">
              <w:t>yr</w:t>
            </w:r>
            <w:proofErr w:type="spellEnd"/>
            <w:r w:rsidRPr="00B1738B">
              <w:t>)</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0DB5E3DE" w14:textId="77777777" w:rsidR="00B1738B" w:rsidRPr="00B1738B" w:rsidRDefault="48EF8FC6" w:rsidP="3328C818">
            <w:pPr>
              <w:pStyle w:val="Table-Text"/>
              <w:jc w:val="center"/>
            </w:pPr>
            <w:r>
              <w:t xml:space="preserve">20 </w:t>
            </w:r>
          </w:p>
        </w:tc>
        <w:tc>
          <w:tcPr>
            <w:tcW w:w="657" w:type="pct"/>
            <w:tcBorders>
              <w:top w:val="nil"/>
              <w:left w:val="nil"/>
              <w:bottom w:val="single" w:sz="4" w:space="0" w:color="auto"/>
              <w:right w:val="single" w:sz="8" w:space="0" w:color="auto"/>
            </w:tcBorders>
            <w:shd w:val="clear" w:color="auto" w:fill="auto"/>
            <w:noWrap/>
            <w:vAlign w:val="center"/>
            <w:hideMark/>
          </w:tcPr>
          <w:p w14:paraId="15F3750C" w14:textId="77777777" w:rsidR="00B1738B" w:rsidRPr="00B1738B" w:rsidRDefault="48EF8FC6" w:rsidP="3328C818">
            <w:pPr>
              <w:pStyle w:val="Table-Text"/>
              <w:jc w:val="center"/>
            </w:pPr>
            <w:r>
              <w:t xml:space="preserve">20 </w:t>
            </w:r>
          </w:p>
        </w:tc>
        <w:tc>
          <w:tcPr>
            <w:tcW w:w="711" w:type="pct"/>
            <w:tcBorders>
              <w:top w:val="nil"/>
              <w:left w:val="nil"/>
              <w:bottom w:val="single" w:sz="4" w:space="0" w:color="auto"/>
              <w:right w:val="single" w:sz="4" w:space="0" w:color="auto"/>
            </w:tcBorders>
            <w:shd w:val="clear" w:color="auto" w:fill="FFFF00"/>
            <w:noWrap/>
            <w:vAlign w:val="center"/>
            <w:hideMark/>
          </w:tcPr>
          <w:p w14:paraId="37DE0615" w14:textId="77777777" w:rsidR="00B1738B" w:rsidRPr="00B1738B" w:rsidRDefault="48EF8FC6" w:rsidP="3328C818">
            <w:pPr>
              <w:pStyle w:val="Table-Text"/>
              <w:jc w:val="center"/>
            </w:pPr>
            <w:r>
              <w:t xml:space="preserve">25 </w:t>
            </w:r>
          </w:p>
        </w:tc>
        <w:tc>
          <w:tcPr>
            <w:tcW w:w="711" w:type="pct"/>
            <w:tcBorders>
              <w:top w:val="nil"/>
              <w:left w:val="nil"/>
              <w:bottom w:val="single" w:sz="4" w:space="0" w:color="auto"/>
              <w:right w:val="single" w:sz="8" w:space="0" w:color="auto"/>
            </w:tcBorders>
            <w:shd w:val="clear" w:color="auto" w:fill="FFFF00"/>
            <w:noWrap/>
            <w:vAlign w:val="center"/>
            <w:hideMark/>
          </w:tcPr>
          <w:p w14:paraId="5B9C1A5C" w14:textId="77777777" w:rsidR="00B1738B" w:rsidRPr="00B1738B" w:rsidRDefault="48EF8FC6" w:rsidP="3328C818">
            <w:pPr>
              <w:pStyle w:val="Table-Text"/>
              <w:jc w:val="center"/>
            </w:pPr>
            <w:r>
              <w:t xml:space="preserve">20 </w:t>
            </w:r>
          </w:p>
        </w:tc>
      </w:tr>
      <w:tr w:rsidR="00B1738B" w:rsidRPr="00B1738B" w14:paraId="30BD6AF4"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7D6A5DF8" w14:textId="77777777" w:rsidR="00B1738B" w:rsidRPr="00B1738B" w:rsidRDefault="00B1738B" w:rsidP="001B0492">
            <w:pPr>
              <w:pStyle w:val="Table-Text"/>
            </w:pPr>
            <w:r w:rsidRPr="00B1738B">
              <w:t>Capital Recovery Cost</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74A3FB3C" w14:textId="77777777" w:rsidR="00B1738B" w:rsidRPr="00B1738B" w:rsidRDefault="48EF8FC6" w:rsidP="3328C818">
            <w:pPr>
              <w:pStyle w:val="Table-Text"/>
              <w:jc w:val="center"/>
            </w:pPr>
            <w:r>
              <w:t xml:space="preserve"> $    257,415 </w:t>
            </w:r>
          </w:p>
        </w:tc>
        <w:tc>
          <w:tcPr>
            <w:tcW w:w="657" w:type="pct"/>
            <w:tcBorders>
              <w:top w:val="nil"/>
              <w:left w:val="nil"/>
              <w:bottom w:val="single" w:sz="4" w:space="0" w:color="auto"/>
              <w:right w:val="single" w:sz="8" w:space="0" w:color="auto"/>
            </w:tcBorders>
            <w:shd w:val="clear" w:color="auto" w:fill="auto"/>
            <w:noWrap/>
            <w:vAlign w:val="center"/>
            <w:hideMark/>
          </w:tcPr>
          <w:p w14:paraId="51EA2EA6" w14:textId="77777777" w:rsidR="00B1738B" w:rsidRPr="00B1738B" w:rsidRDefault="48EF8FC6" w:rsidP="3328C818">
            <w:pPr>
              <w:pStyle w:val="Table-Text"/>
              <w:jc w:val="center"/>
            </w:pPr>
            <w:r>
              <w:t xml:space="preserve"> $    270,640 </w:t>
            </w:r>
          </w:p>
        </w:tc>
        <w:tc>
          <w:tcPr>
            <w:tcW w:w="711" w:type="pct"/>
            <w:tcBorders>
              <w:top w:val="nil"/>
              <w:left w:val="nil"/>
              <w:bottom w:val="single" w:sz="4" w:space="0" w:color="auto"/>
              <w:right w:val="single" w:sz="4" w:space="0" w:color="auto"/>
            </w:tcBorders>
            <w:shd w:val="clear" w:color="auto" w:fill="auto"/>
            <w:noWrap/>
            <w:vAlign w:val="center"/>
            <w:hideMark/>
          </w:tcPr>
          <w:p w14:paraId="200C67E7" w14:textId="77777777" w:rsidR="00B1738B" w:rsidRPr="00B1738B" w:rsidRDefault="48EF8FC6" w:rsidP="3328C818">
            <w:pPr>
              <w:pStyle w:val="Table-Text"/>
              <w:jc w:val="center"/>
            </w:pPr>
            <w:r>
              <w:t xml:space="preserve"> $      682,653 </w:t>
            </w:r>
          </w:p>
        </w:tc>
        <w:tc>
          <w:tcPr>
            <w:tcW w:w="711" w:type="pct"/>
            <w:tcBorders>
              <w:top w:val="nil"/>
              <w:left w:val="nil"/>
              <w:bottom w:val="single" w:sz="4" w:space="0" w:color="auto"/>
              <w:right w:val="single" w:sz="8" w:space="0" w:color="auto"/>
            </w:tcBorders>
            <w:shd w:val="clear" w:color="auto" w:fill="auto"/>
            <w:noWrap/>
            <w:vAlign w:val="center"/>
            <w:hideMark/>
          </w:tcPr>
          <w:p w14:paraId="16FADB58" w14:textId="77777777" w:rsidR="00B1738B" w:rsidRPr="00B1738B" w:rsidRDefault="48EF8FC6" w:rsidP="3328C818">
            <w:pPr>
              <w:pStyle w:val="Table-Text"/>
              <w:jc w:val="center"/>
            </w:pPr>
            <w:r>
              <w:t xml:space="preserve"> $   1,180,353 </w:t>
            </w:r>
          </w:p>
        </w:tc>
      </w:tr>
      <w:tr w:rsidR="00B1738B" w:rsidRPr="00B1738B" w14:paraId="19745253"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6DBCDE04" w14:textId="77777777" w:rsidR="00B1738B" w:rsidRPr="00B1738B" w:rsidRDefault="00B1738B" w:rsidP="001B0492">
            <w:pPr>
              <w:pStyle w:val="Table-Text"/>
            </w:pPr>
            <w:r w:rsidRPr="00B1738B">
              <w:t>Indirect Cost</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019E3552" w14:textId="77777777" w:rsidR="00B1738B" w:rsidRPr="00B1738B" w:rsidRDefault="48EF8FC6" w:rsidP="3328C818">
            <w:pPr>
              <w:pStyle w:val="Table-Text"/>
              <w:jc w:val="center"/>
            </w:pPr>
            <w:r>
              <w:t xml:space="preserve"> $    258,889 </w:t>
            </w:r>
          </w:p>
        </w:tc>
        <w:tc>
          <w:tcPr>
            <w:tcW w:w="657" w:type="pct"/>
            <w:tcBorders>
              <w:top w:val="nil"/>
              <w:left w:val="nil"/>
              <w:bottom w:val="single" w:sz="4" w:space="0" w:color="auto"/>
              <w:right w:val="single" w:sz="8" w:space="0" w:color="auto"/>
            </w:tcBorders>
            <w:shd w:val="clear" w:color="auto" w:fill="auto"/>
            <w:noWrap/>
            <w:vAlign w:val="center"/>
            <w:hideMark/>
          </w:tcPr>
          <w:p w14:paraId="2D7033A0" w14:textId="77777777" w:rsidR="00B1738B" w:rsidRPr="00B1738B" w:rsidRDefault="48EF8FC6" w:rsidP="3328C818">
            <w:pPr>
              <w:pStyle w:val="Table-Text"/>
              <w:jc w:val="center"/>
            </w:pPr>
            <w:r>
              <w:t xml:space="preserve"> $    272,370 </w:t>
            </w:r>
          </w:p>
        </w:tc>
        <w:tc>
          <w:tcPr>
            <w:tcW w:w="711" w:type="pct"/>
            <w:tcBorders>
              <w:top w:val="nil"/>
              <w:left w:val="nil"/>
              <w:bottom w:val="single" w:sz="4" w:space="0" w:color="auto"/>
              <w:right w:val="single" w:sz="4" w:space="0" w:color="auto"/>
            </w:tcBorders>
            <w:shd w:val="clear" w:color="auto" w:fill="auto"/>
            <w:noWrap/>
            <w:vAlign w:val="center"/>
            <w:hideMark/>
          </w:tcPr>
          <w:p w14:paraId="44795ABE" w14:textId="77777777" w:rsidR="00B1738B" w:rsidRPr="00B1738B" w:rsidRDefault="48EF8FC6" w:rsidP="3328C818">
            <w:pPr>
              <w:pStyle w:val="Table-Text"/>
              <w:jc w:val="center"/>
            </w:pPr>
            <w:r>
              <w:t xml:space="preserve"> $      685,235 </w:t>
            </w:r>
          </w:p>
        </w:tc>
        <w:tc>
          <w:tcPr>
            <w:tcW w:w="711" w:type="pct"/>
            <w:tcBorders>
              <w:top w:val="nil"/>
              <w:left w:val="nil"/>
              <w:bottom w:val="single" w:sz="4" w:space="0" w:color="auto"/>
              <w:right w:val="single" w:sz="8" w:space="0" w:color="auto"/>
            </w:tcBorders>
            <w:shd w:val="clear" w:color="auto" w:fill="auto"/>
            <w:noWrap/>
            <w:vAlign w:val="center"/>
            <w:hideMark/>
          </w:tcPr>
          <w:p w14:paraId="7E9AF34A" w14:textId="77777777" w:rsidR="00B1738B" w:rsidRPr="00B1738B" w:rsidRDefault="48EF8FC6" w:rsidP="3328C818">
            <w:pPr>
              <w:pStyle w:val="Table-Text"/>
              <w:jc w:val="center"/>
            </w:pPr>
            <w:r>
              <w:t xml:space="preserve"> $   1,183,267 </w:t>
            </w:r>
          </w:p>
        </w:tc>
      </w:tr>
      <w:tr w:rsidR="00B1738B" w:rsidRPr="00B1738B" w14:paraId="3322C5F5"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1E86F81F" w14:textId="77777777" w:rsidR="00B1738B" w:rsidRPr="00B1738B" w:rsidRDefault="00B1738B" w:rsidP="001B0492">
            <w:pPr>
              <w:pStyle w:val="Table-Text"/>
            </w:pPr>
            <w:r w:rsidRPr="00B1738B">
              <w:t>Total System Capacity Factor</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3AE9790E" w14:textId="77777777" w:rsidR="00B1738B" w:rsidRPr="00B1738B" w:rsidRDefault="48EF8FC6" w:rsidP="3328C818">
            <w:pPr>
              <w:pStyle w:val="Table-Text"/>
              <w:jc w:val="center"/>
            </w:pPr>
            <w:r>
              <w:t>0.581</w:t>
            </w:r>
          </w:p>
        </w:tc>
        <w:tc>
          <w:tcPr>
            <w:tcW w:w="657" w:type="pct"/>
            <w:tcBorders>
              <w:top w:val="nil"/>
              <w:left w:val="nil"/>
              <w:bottom w:val="single" w:sz="4" w:space="0" w:color="auto"/>
              <w:right w:val="single" w:sz="8" w:space="0" w:color="auto"/>
            </w:tcBorders>
            <w:shd w:val="clear" w:color="auto" w:fill="auto"/>
            <w:noWrap/>
            <w:vAlign w:val="center"/>
            <w:hideMark/>
          </w:tcPr>
          <w:p w14:paraId="29D5E5FA" w14:textId="77777777" w:rsidR="00B1738B" w:rsidRPr="00B1738B" w:rsidRDefault="48EF8FC6" w:rsidP="3328C818">
            <w:pPr>
              <w:pStyle w:val="Table-Text"/>
              <w:jc w:val="center"/>
            </w:pPr>
            <w:r>
              <w:t>0.581</w:t>
            </w:r>
          </w:p>
        </w:tc>
        <w:tc>
          <w:tcPr>
            <w:tcW w:w="711" w:type="pct"/>
            <w:tcBorders>
              <w:top w:val="nil"/>
              <w:left w:val="nil"/>
              <w:bottom w:val="single" w:sz="4" w:space="0" w:color="auto"/>
              <w:right w:val="single" w:sz="4" w:space="0" w:color="auto"/>
            </w:tcBorders>
            <w:shd w:val="clear" w:color="auto" w:fill="auto"/>
            <w:noWrap/>
            <w:vAlign w:val="center"/>
            <w:hideMark/>
          </w:tcPr>
          <w:p w14:paraId="0DE48423" w14:textId="77777777" w:rsidR="00B1738B" w:rsidRPr="00B1738B" w:rsidRDefault="48EF8FC6" w:rsidP="3328C818">
            <w:pPr>
              <w:pStyle w:val="Table-Text"/>
              <w:jc w:val="center"/>
            </w:pPr>
            <w:r>
              <w:t>0.581</w:t>
            </w:r>
          </w:p>
        </w:tc>
        <w:tc>
          <w:tcPr>
            <w:tcW w:w="711" w:type="pct"/>
            <w:tcBorders>
              <w:top w:val="nil"/>
              <w:left w:val="nil"/>
              <w:bottom w:val="single" w:sz="4" w:space="0" w:color="auto"/>
              <w:right w:val="single" w:sz="8" w:space="0" w:color="auto"/>
            </w:tcBorders>
            <w:shd w:val="clear" w:color="auto" w:fill="auto"/>
            <w:noWrap/>
            <w:vAlign w:val="center"/>
            <w:hideMark/>
          </w:tcPr>
          <w:p w14:paraId="12ADDDCD" w14:textId="77777777" w:rsidR="00B1738B" w:rsidRPr="00B1738B" w:rsidRDefault="48EF8FC6" w:rsidP="3328C818">
            <w:pPr>
              <w:pStyle w:val="Table-Text"/>
              <w:jc w:val="center"/>
            </w:pPr>
            <w:r>
              <w:t>0.581</w:t>
            </w:r>
          </w:p>
        </w:tc>
      </w:tr>
      <w:tr w:rsidR="00B1738B" w:rsidRPr="00B1738B" w14:paraId="26E1870A"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58112297" w14:textId="77777777" w:rsidR="00B1738B" w:rsidRPr="00B1738B" w:rsidRDefault="00B1738B" w:rsidP="001B0492">
            <w:pPr>
              <w:pStyle w:val="Table-Text"/>
            </w:pPr>
            <w:r w:rsidRPr="00B1738B">
              <w:t>Direct Cost</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2468EBD9" w14:textId="77777777" w:rsidR="00B1738B" w:rsidRPr="00B1738B" w:rsidRDefault="48EF8FC6" w:rsidP="3328C818">
            <w:pPr>
              <w:pStyle w:val="Table-Text"/>
              <w:jc w:val="center"/>
            </w:pPr>
            <w:r>
              <w:t xml:space="preserve"> $      78,503 </w:t>
            </w:r>
          </w:p>
        </w:tc>
        <w:tc>
          <w:tcPr>
            <w:tcW w:w="657" w:type="pct"/>
            <w:tcBorders>
              <w:top w:val="nil"/>
              <w:left w:val="nil"/>
              <w:bottom w:val="single" w:sz="4" w:space="0" w:color="auto"/>
              <w:right w:val="single" w:sz="8" w:space="0" w:color="auto"/>
            </w:tcBorders>
            <w:shd w:val="clear" w:color="auto" w:fill="auto"/>
            <w:noWrap/>
            <w:vAlign w:val="center"/>
            <w:hideMark/>
          </w:tcPr>
          <w:p w14:paraId="682CBA5F" w14:textId="77777777" w:rsidR="00B1738B" w:rsidRPr="00B1738B" w:rsidRDefault="48EF8FC6" w:rsidP="3328C818">
            <w:pPr>
              <w:pStyle w:val="Table-Text"/>
              <w:jc w:val="center"/>
            </w:pPr>
            <w:r>
              <w:t xml:space="preserve"> $      87,447 </w:t>
            </w:r>
          </w:p>
        </w:tc>
        <w:tc>
          <w:tcPr>
            <w:tcW w:w="711" w:type="pct"/>
            <w:tcBorders>
              <w:top w:val="nil"/>
              <w:left w:val="nil"/>
              <w:bottom w:val="single" w:sz="4" w:space="0" w:color="auto"/>
              <w:right w:val="single" w:sz="4" w:space="0" w:color="auto"/>
            </w:tcBorders>
            <w:shd w:val="clear" w:color="auto" w:fill="auto"/>
            <w:noWrap/>
            <w:vAlign w:val="center"/>
            <w:hideMark/>
          </w:tcPr>
          <w:p w14:paraId="16F6C6D9" w14:textId="77777777" w:rsidR="00B1738B" w:rsidRPr="00B1738B" w:rsidRDefault="48EF8FC6" w:rsidP="3328C818">
            <w:pPr>
              <w:pStyle w:val="Table-Text"/>
              <w:jc w:val="center"/>
            </w:pPr>
            <w:r>
              <w:t xml:space="preserve"> $      149,869 </w:t>
            </w:r>
          </w:p>
        </w:tc>
        <w:tc>
          <w:tcPr>
            <w:tcW w:w="711" w:type="pct"/>
            <w:tcBorders>
              <w:top w:val="nil"/>
              <w:left w:val="nil"/>
              <w:bottom w:val="single" w:sz="4" w:space="0" w:color="auto"/>
              <w:right w:val="single" w:sz="8" w:space="0" w:color="auto"/>
            </w:tcBorders>
            <w:shd w:val="clear" w:color="auto" w:fill="auto"/>
            <w:noWrap/>
            <w:vAlign w:val="center"/>
            <w:hideMark/>
          </w:tcPr>
          <w:p w14:paraId="143741BC" w14:textId="77777777" w:rsidR="00B1738B" w:rsidRPr="00B1738B" w:rsidRDefault="48EF8FC6" w:rsidP="3328C818">
            <w:pPr>
              <w:pStyle w:val="Table-Text"/>
              <w:jc w:val="center"/>
            </w:pPr>
            <w:r>
              <w:t xml:space="preserve"> $      175,778 </w:t>
            </w:r>
          </w:p>
        </w:tc>
      </w:tr>
      <w:tr w:rsidR="00B1738B" w:rsidRPr="00B1738B" w14:paraId="2631ECBE"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350657E3" w14:textId="77777777" w:rsidR="00B1738B" w:rsidRPr="00B1738B" w:rsidRDefault="00B1738B" w:rsidP="001B0492">
            <w:pPr>
              <w:pStyle w:val="Table-Text"/>
            </w:pPr>
            <w:r w:rsidRPr="00B1738B">
              <w:t xml:space="preserve">Total Annual Cost </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4F665D5B" w14:textId="77777777" w:rsidR="00B1738B" w:rsidRPr="00B1738B" w:rsidRDefault="48EF8FC6" w:rsidP="3328C818">
            <w:pPr>
              <w:pStyle w:val="Table-Text"/>
              <w:jc w:val="center"/>
            </w:pPr>
            <w:r>
              <w:t xml:space="preserve"> $    337,392 </w:t>
            </w:r>
          </w:p>
        </w:tc>
        <w:tc>
          <w:tcPr>
            <w:tcW w:w="657" w:type="pct"/>
            <w:tcBorders>
              <w:top w:val="nil"/>
              <w:left w:val="nil"/>
              <w:bottom w:val="single" w:sz="4" w:space="0" w:color="auto"/>
              <w:right w:val="single" w:sz="8" w:space="0" w:color="auto"/>
            </w:tcBorders>
            <w:shd w:val="clear" w:color="auto" w:fill="auto"/>
            <w:noWrap/>
            <w:vAlign w:val="center"/>
            <w:hideMark/>
          </w:tcPr>
          <w:p w14:paraId="25184740" w14:textId="77777777" w:rsidR="00B1738B" w:rsidRPr="00B1738B" w:rsidRDefault="48EF8FC6" w:rsidP="3328C818">
            <w:pPr>
              <w:pStyle w:val="Table-Text"/>
              <w:jc w:val="center"/>
            </w:pPr>
            <w:r>
              <w:t xml:space="preserve"> $    359,817 </w:t>
            </w:r>
          </w:p>
        </w:tc>
        <w:tc>
          <w:tcPr>
            <w:tcW w:w="711" w:type="pct"/>
            <w:tcBorders>
              <w:top w:val="nil"/>
              <w:left w:val="nil"/>
              <w:bottom w:val="single" w:sz="4" w:space="0" w:color="auto"/>
              <w:right w:val="single" w:sz="4" w:space="0" w:color="auto"/>
            </w:tcBorders>
            <w:shd w:val="clear" w:color="auto" w:fill="auto"/>
            <w:noWrap/>
            <w:vAlign w:val="center"/>
            <w:hideMark/>
          </w:tcPr>
          <w:p w14:paraId="2F7217E6" w14:textId="77777777" w:rsidR="00B1738B" w:rsidRPr="00B1738B" w:rsidRDefault="48EF8FC6" w:rsidP="3328C818">
            <w:pPr>
              <w:pStyle w:val="Table-Text"/>
              <w:jc w:val="center"/>
            </w:pPr>
            <w:r>
              <w:t xml:space="preserve"> $      835,105 </w:t>
            </w:r>
          </w:p>
        </w:tc>
        <w:tc>
          <w:tcPr>
            <w:tcW w:w="711" w:type="pct"/>
            <w:tcBorders>
              <w:top w:val="nil"/>
              <w:left w:val="nil"/>
              <w:bottom w:val="single" w:sz="4" w:space="0" w:color="auto"/>
              <w:right w:val="single" w:sz="8" w:space="0" w:color="auto"/>
            </w:tcBorders>
            <w:shd w:val="clear" w:color="auto" w:fill="auto"/>
            <w:noWrap/>
            <w:vAlign w:val="center"/>
            <w:hideMark/>
          </w:tcPr>
          <w:p w14:paraId="470BAE7E" w14:textId="77777777" w:rsidR="00B1738B" w:rsidRPr="00B1738B" w:rsidRDefault="48EF8FC6" w:rsidP="3328C818">
            <w:pPr>
              <w:pStyle w:val="Table-Text"/>
              <w:jc w:val="center"/>
            </w:pPr>
            <w:r>
              <w:t xml:space="preserve"> $   1,359,046 </w:t>
            </w:r>
          </w:p>
        </w:tc>
      </w:tr>
      <w:tr w:rsidR="00B1738B" w:rsidRPr="00B1738B" w14:paraId="5D4F669D"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64540E1C" w14:textId="77777777" w:rsidR="00B1738B" w:rsidRPr="00B1738B" w:rsidRDefault="00B1738B" w:rsidP="001B0492">
            <w:pPr>
              <w:pStyle w:val="Table-Text"/>
            </w:pPr>
            <w:r w:rsidRPr="00B1738B">
              <w:t>Uncontrolled NOx Emission Rate (</w:t>
            </w:r>
            <w:proofErr w:type="spellStart"/>
            <w:r w:rsidRPr="00B1738B">
              <w:t>lb</w:t>
            </w:r>
            <w:proofErr w:type="spellEnd"/>
            <w:r w:rsidRPr="00B1738B">
              <w:t>/</w:t>
            </w:r>
            <w:proofErr w:type="spellStart"/>
            <w:r w:rsidRPr="00B1738B">
              <w:t>mmbtu</w:t>
            </w:r>
            <w:proofErr w:type="spellEnd"/>
            <w:r w:rsidRPr="00B1738B">
              <w:t>)</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07AE4741" w14:textId="77777777" w:rsidR="00B1738B" w:rsidRPr="00B1738B" w:rsidRDefault="48EF8FC6" w:rsidP="3328C818">
            <w:pPr>
              <w:pStyle w:val="Table-Text"/>
              <w:jc w:val="center"/>
            </w:pPr>
            <w:r>
              <w:t>0.32</w:t>
            </w:r>
          </w:p>
        </w:tc>
        <w:tc>
          <w:tcPr>
            <w:tcW w:w="657" w:type="pct"/>
            <w:tcBorders>
              <w:top w:val="nil"/>
              <w:left w:val="nil"/>
              <w:bottom w:val="single" w:sz="4" w:space="0" w:color="auto"/>
              <w:right w:val="single" w:sz="8" w:space="0" w:color="auto"/>
            </w:tcBorders>
            <w:shd w:val="clear" w:color="auto" w:fill="auto"/>
            <w:noWrap/>
            <w:vAlign w:val="center"/>
            <w:hideMark/>
          </w:tcPr>
          <w:p w14:paraId="43F03E7D" w14:textId="77777777" w:rsidR="00B1738B" w:rsidRPr="00B1738B" w:rsidRDefault="48EF8FC6" w:rsidP="3328C818">
            <w:pPr>
              <w:pStyle w:val="Table-Text"/>
              <w:jc w:val="center"/>
            </w:pPr>
            <w:r>
              <w:t>0.32</w:t>
            </w:r>
          </w:p>
        </w:tc>
        <w:tc>
          <w:tcPr>
            <w:tcW w:w="711" w:type="pct"/>
            <w:tcBorders>
              <w:top w:val="nil"/>
              <w:left w:val="nil"/>
              <w:bottom w:val="single" w:sz="4" w:space="0" w:color="auto"/>
              <w:right w:val="single" w:sz="4" w:space="0" w:color="auto"/>
            </w:tcBorders>
            <w:shd w:val="clear" w:color="auto" w:fill="auto"/>
            <w:noWrap/>
            <w:vAlign w:val="center"/>
            <w:hideMark/>
          </w:tcPr>
          <w:p w14:paraId="729A0BE3" w14:textId="77777777" w:rsidR="00B1738B" w:rsidRPr="00B1738B" w:rsidRDefault="48EF8FC6" w:rsidP="3328C818">
            <w:pPr>
              <w:pStyle w:val="Table-Text"/>
              <w:jc w:val="center"/>
            </w:pPr>
            <w:r>
              <w:t>0.32</w:t>
            </w:r>
          </w:p>
        </w:tc>
        <w:tc>
          <w:tcPr>
            <w:tcW w:w="711" w:type="pct"/>
            <w:tcBorders>
              <w:top w:val="nil"/>
              <w:left w:val="nil"/>
              <w:bottom w:val="single" w:sz="4" w:space="0" w:color="auto"/>
              <w:right w:val="single" w:sz="8" w:space="0" w:color="auto"/>
            </w:tcBorders>
            <w:shd w:val="clear" w:color="auto" w:fill="auto"/>
            <w:noWrap/>
            <w:vAlign w:val="center"/>
            <w:hideMark/>
          </w:tcPr>
          <w:p w14:paraId="1AC6F270" w14:textId="77777777" w:rsidR="00B1738B" w:rsidRPr="00B1738B" w:rsidRDefault="48EF8FC6" w:rsidP="3328C818">
            <w:pPr>
              <w:pStyle w:val="Table-Text"/>
              <w:jc w:val="center"/>
            </w:pPr>
            <w:r>
              <w:t>0.32</w:t>
            </w:r>
          </w:p>
        </w:tc>
      </w:tr>
      <w:tr w:rsidR="00B1738B" w:rsidRPr="00B1738B" w14:paraId="39E78325"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4A206A27" w14:textId="77777777" w:rsidR="00B1738B" w:rsidRPr="00B1738B" w:rsidRDefault="00B1738B" w:rsidP="001B0492">
            <w:pPr>
              <w:pStyle w:val="Table-Text"/>
            </w:pPr>
            <w:r w:rsidRPr="00B1738B">
              <w:t>Maximum Uncontrolled Tons</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58954131" w14:textId="77777777" w:rsidR="00B1738B" w:rsidRPr="00B1738B" w:rsidRDefault="48EF8FC6" w:rsidP="3328C818">
            <w:pPr>
              <w:pStyle w:val="Table-Text"/>
              <w:jc w:val="center"/>
            </w:pPr>
            <w:r>
              <w:t>231</w:t>
            </w:r>
          </w:p>
        </w:tc>
        <w:tc>
          <w:tcPr>
            <w:tcW w:w="657" w:type="pct"/>
            <w:tcBorders>
              <w:top w:val="nil"/>
              <w:left w:val="nil"/>
              <w:bottom w:val="single" w:sz="4" w:space="0" w:color="auto"/>
              <w:right w:val="single" w:sz="8" w:space="0" w:color="auto"/>
            </w:tcBorders>
            <w:shd w:val="clear" w:color="auto" w:fill="auto"/>
            <w:noWrap/>
            <w:vAlign w:val="center"/>
            <w:hideMark/>
          </w:tcPr>
          <w:p w14:paraId="70F2EBA2" w14:textId="77777777" w:rsidR="00B1738B" w:rsidRPr="00B1738B" w:rsidRDefault="48EF8FC6" w:rsidP="3328C818">
            <w:pPr>
              <w:pStyle w:val="Table-Text"/>
              <w:jc w:val="center"/>
            </w:pPr>
            <w:r>
              <w:t>231</w:t>
            </w:r>
          </w:p>
        </w:tc>
        <w:tc>
          <w:tcPr>
            <w:tcW w:w="711" w:type="pct"/>
            <w:tcBorders>
              <w:top w:val="nil"/>
              <w:left w:val="nil"/>
              <w:bottom w:val="single" w:sz="4" w:space="0" w:color="auto"/>
              <w:right w:val="single" w:sz="4" w:space="0" w:color="auto"/>
            </w:tcBorders>
            <w:shd w:val="clear" w:color="auto" w:fill="auto"/>
            <w:noWrap/>
            <w:vAlign w:val="center"/>
            <w:hideMark/>
          </w:tcPr>
          <w:p w14:paraId="3246A934" w14:textId="77777777" w:rsidR="00B1738B" w:rsidRPr="00B1738B" w:rsidRDefault="48EF8FC6" w:rsidP="3328C818">
            <w:pPr>
              <w:pStyle w:val="Table-Text"/>
              <w:jc w:val="center"/>
            </w:pPr>
            <w:r>
              <w:t>231</w:t>
            </w:r>
          </w:p>
        </w:tc>
        <w:tc>
          <w:tcPr>
            <w:tcW w:w="711" w:type="pct"/>
            <w:tcBorders>
              <w:top w:val="nil"/>
              <w:left w:val="nil"/>
              <w:bottom w:val="single" w:sz="4" w:space="0" w:color="auto"/>
              <w:right w:val="single" w:sz="8" w:space="0" w:color="auto"/>
            </w:tcBorders>
            <w:shd w:val="clear" w:color="auto" w:fill="auto"/>
            <w:noWrap/>
            <w:vAlign w:val="center"/>
            <w:hideMark/>
          </w:tcPr>
          <w:p w14:paraId="5BD5F366" w14:textId="77777777" w:rsidR="00B1738B" w:rsidRPr="00B1738B" w:rsidRDefault="48EF8FC6" w:rsidP="3328C818">
            <w:pPr>
              <w:pStyle w:val="Table-Text"/>
              <w:jc w:val="center"/>
            </w:pPr>
            <w:r>
              <w:t>231</w:t>
            </w:r>
          </w:p>
        </w:tc>
      </w:tr>
      <w:tr w:rsidR="00B1738B" w:rsidRPr="00B1738B" w14:paraId="47D5ACEF"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019EFC49" w14:textId="77777777" w:rsidR="00B1738B" w:rsidRPr="00B1738B" w:rsidRDefault="00B1738B" w:rsidP="001B0492">
            <w:pPr>
              <w:pStyle w:val="Table-Text"/>
            </w:pPr>
            <w:r w:rsidRPr="00B1738B">
              <w:t>Uncontrolled Tons</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4B4127D4" w14:textId="77777777" w:rsidR="00B1738B" w:rsidRPr="00B1738B" w:rsidRDefault="48EF8FC6" w:rsidP="3328C818">
            <w:pPr>
              <w:pStyle w:val="Table-Text"/>
              <w:jc w:val="center"/>
            </w:pPr>
            <w:r>
              <w:t>134</w:t>
            </w:r>
          </w:p>
        </w:tc>
        <w:tc>
          <w:tcPr>
            <w:tcW w:w="657" w:type="pct"/>
            <w:tcBorders>
              <w:top w:val="nil"/>
              <w:left w:val="nil"/>
              <w:bottom w:val="single" w:sz="4" w:space="0" w:color="auto"/>
              <w:right w:val="single" w:sz="8" w:space="0" w:color="auto"/>
            </w:tcBorders>
            <w:shd w:val="clear" w:color="auto" w:fill="auto"/>
            <w:noWrap/>
            <w:vAlign w:val="center"/>
            <w:hideMark/>
          </w:tcPr>
          <w:p w14:paraId="1DA1C969" w14:textId="77777777" w:rsidR="00B1738B" w:rsidRPr="00B1738B" w:rsidRDefault="48EF8FC6" w:rsidP="3328C818">
            <w:pPr>
              <w:pStyle w:val="Table-Text"/>
              <w:jc w:val="center"/>
            </w:pPr>
            <w:r>
              <w:t>134</w:t>
            </w:r>
          </w:p>
        </w:tc>
        <w:tc>
          <w:tcPr>
            <w:tcW w:w="711" w:type="pct"/>
            <w:tcBorders>
              <w:top w:val="nil"/>
              <w:left w:val="nil"/>
              <w:bottom w:val="single" w:sz="4" w:space="0" w:color="auto"/>
              <w:right w:val="single" w:sz="4" w:space="0" w:color="auto"/>
            </w:tcBorders>
            <w:shd w:val="clear" w:color="auto" w:fill="auto"/>
            <w:noWrap/>
            <w:vAlign w:val="center"/>
            <w:hideMark/>
          </w:tcPr>
          <w:p w14:paraId="62B87478" w14:textId="77777777" w:rsidR="00B1738B" w:rsidRPr="00B1738B" w:rsidRDefault="48EF8FC6" w:rsidP="3328C818">
            <w:pPr>
              <w:pStyle w:val="Table-Text"/>
              <w:jc w:val="center"/>
            </w:pPr>
            <w:r>
              <w:t>134</w:t>
            </w:r>
          </w:p>
        </w:tc>
        <w:tc>
          <w:tcPr>
            <w:tcW w:w="711" w:type="pct"/>
            <w:tcBorders>
              <w:top w:val="nil"/>
              <w:left w:val="nil"/>
              <w:bottom w:val="single" w:sz="4" w:space="0" w:color="auto"/>
              <w:right w:val="single" w:sz="8" w:space="0" w:color="auto"/>
            </w:tcBorders>
            <w:shd w:val="clear" w:color="auto" w:fill="auto"/>
            <w:noWrap/>
            <w:vAlign w:val="center"/>
            <w:hideMark/>
          </w:tcPr>
          <w:p w14:paraId="595909B1" w14:textId="77777777" w:rsidR="00B1738B" w:rsidRPr="00B1738B" w:rsidRDefault="48EF8FC6" w:rsidP="3328C818">
            <w:pPr>
              <w:pStyle w:val="Table-Text"/>
              <w:jc w:val="center"/>
            </w:pPr>
            <w:r>
              <w:t>134</w:t>
            </w:r>
          </w:p>
        </w:tc>
      </w:tr>
      <w:tr w:rsidR="00B1738B" w:rsidRPr="00B1738B" w14:paraId="454BC908"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6B581A4C" w14:textId="77777777" w:rsidR="00B1738B" w:rsidRPr="00B1738B" w:rsidRDefault="00B1738B" w:rsidP="001B0492">
            <w:pPr>
              <w:pStyle w:val="Table-Text"/>
            </w:pPr>
            <w:r w:rsidRPr="00B1738B">
              <w:t>NOx Removal Efficiency</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2DF5CEC5" w14:textId="77777777" w:rsidR="00B1738B" w:rsidRPr="00B1738B" w:rsidRDefault="48EF8FC6" w:rsidP="3328C818">
            <w:pPr>
              <w:pStyle w:val="Table-Text"/>
              <w:jc w:val="center"/>
            </w:pPr>
            <w:r>
              <w:t>10</w:t>
            </w:r>
          </w:p>
        </w:tc>
        <w:tc>
          <w:tcPr>
            <w:tcW w:w="657" w:type="pct"/>
            <w:tcBorders>
              <w:top w:val="nil"/>
              <w:left w:val="nil"/>
              <w:bottom w:val="single" w:sz="4" w:space="0" w:color="auto"/>
              <w:right w:val="single" w:sz="8" w:space="0" w:color="auto"/>
            </w:tcBorders>
            <w:shd w:val="clear" w:color="auto" w:fill="auto"/>
            <w:noWrap/>
            <w:vAlign w:val="center"/>
            <w:hideMark/>
          </w:tcPr>
          <w:p w14:paraId="4A0A2A77" w14:textId="77777777" w:rsidR="00B1738B" w:rsidRPr="00B1738B" w:rsidRDefault="48EF8FC6" w:rsidP="3328C818">
            <w:pPr>
              <w:pStyle w:val="Table-Text"/>
              <w:jc w:val="center"/>
            </w:pPr>
            <w:r>
              <w:t>10</w:t>
            </w:r>
          </w:p>
        </w:tc>
        <w:tc>
          <w:tcPr>
            <w:tcW w:w="711" w:type="pct"/>
            <w:tcBorders>
              <w:top w:val="nil"/>
              <w:left w:val="nil"/>
              <w:bottom w:val="single" w:sz="4" w:space="0" w:color="auto"/>
              <w:right w:val="single" w:sz="4" w:space="0" w:color="auto"/>
            </w:tcBorders>
            <w:shd w:val="clear" w:color="auto" w:fill="FFFF00"/>
            <w:noWrap/>
            <w:vAlign w:val="center"/>
            <w:hideMark/>
          </w:tcPr>
          <w:p w14:paraId="030BFB57" w14:textId="77777777" w:rsidR="00B1738B" w:rsidRPr="00B1738B" w:rsidRDefault="48EF8FC6" w:rsidP="3328C818">
            <w:pPr>
              <w:pStyle w:val="Table-Text"/>
              <w:jc w:val="center"/>
            </w:pPr>
            <w:r>
              <w:t>84</w:t>
            </w:r>
          </w:p>
        </w:tc>
        <w:tc>
          <w:tcPr>
            <w:tcW w:w="711" w:type="pct"/>
            <w:tcBorders>
              <w:top w:val="nil"/>
              <w:left w:val="nil"/>
              <w:bottom w:val="single" w:sz="4" w:space="0" w:color="auto"/>
              <w:right w:val="single" w:sz="8" w:space="0" w:color="auto"/>
            </w:tcBorders>
            <w:shd w:val="clear" w:color="auto" w:fill="FFFF00"/>
            <w:noWrap/>
            <w:vAlign w:val="center"/>
            <w:hideMark/>
          </w:tcPr>
          <w:p w14:paraId="7DB5DF7D" w14:textId="77777777" w:rsidR="00B1738B" w:rsidRPr="00B1738B" w:rsidRDefault="48EF8FC6" w:rsidP="3328C818">
            <w:pPr>
              <w:pStyle w:val="Table-Text"/>
              <w:jc w:val="center"/>
            </w:pPr>
            <w:r>
              <w:t>81</w:t>
            </w:r>
          </w:p>
        </w:tc>
      </w:tr>
      <w:tr w:rsidR="00B1738B" w:rsidRPr="00B1738B" w14:paraId="0DF60A3C"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076C03D0" w14:textId="77777777" w:rsidR="00B1738B" w:rsidRPr="00B1738B" w:rsidRDefault="00B1738B" w:rsidP="001B0492">
            <w:pPr>
              <w:pStyle w:val="Table-Text"/>
            </w:pPr>
            <w:r w:rsidRPr="00B1738B">
              <w:t>Controlled SO2 Emission Rate (</w:t>
            </w:r>
            <w:proofErr w:type="spellStart"/>
            <w:r w:rsidRPr="00B1738B">
              <w:t>lb</w:t>
            </w:r>
            <w:proofErr w:type="spellEnd"/>
            <w:r w:rsidRPr="00B1738B">
              <w:t>/</w:t>
            </w:r>
            <w:proofErr w:type="spellStart"/>
            <w:r w:rsidRPr="00B1738B">
              <w:t>mmbtu</w:t>
            </w:r>
            <w:proofErr w:type="spellEnd"/>
            <w:r w:rsidRPr="00B1738B">
              <w:t>)</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55DAF61D" w14:textId="77777777" w:rsidR="00B1738B" w:rsidRPr="00B1738B" w:rsidRDefault="48EF8FC6" w:rsidP="3328C818">
            <w:pPr>
              <w:pStyle w:val="Table-Text"/>
              <w:jc w:val="center"/>
            </w:pPr>
            <w:r>
              <w:t>0.288</w:t>
            </w:r>
          </w:p>
        </w:tc>
        <w:tc>
          <w:tcPr>
            <w:tcW w:w="657" w:type="pct"/>
            <w:tcBorders>
              <w:top w:val="nil"/>
              <w:left w:val="nil"/>
              <w:bottom w:val="single" w:sz="4" w:space="0" w:color="auto"/>
              <w:right w:val="single" w:sz="8" w:space="0" w:color="auto"/>
            </w:tcBorders>
            <w:shd w:val="clear" w:color="auto" w:fill="auto"/>
            <w:noWrap/>
            <w:vAlign w:val="center"/>
            <w:hideMark/>
          </w:tcPr>
          <w:p w14:paraId="4C208F2D" w14:textId="77777777" w:rsidR="00B1738B" w:rsidRPr="00B1738B" w:rsidRDefault="48EF8FC6" w:rsidP="3328C818">
            <w:pPr>
              <w:pStyle w:val="Table-Text"/>
              <w:jc w:val="center"/>
            </w:pPr>
            <w:r>
              <w:t>0.288</w:t>
            </w:r>
          </w:p>
        </w:tc>
        <w:tc>
          <w:tcPr>
            <w:tcW w:w="711" w:type="pct"/>
            <w:tcBorders>
              <w:top w:val="nil"/>
              <w:left w:val="nil"/>
              <w:bottom w:val="single" w:sz="4" w:space="0" w:color="auto"/>
              <w:right w:val="single" w:sz="4" w:space="0" w:color="auto"/>
            </w:tcBorders>
            <w:shd w:val="clear" w:color="auto" w:fill="FFFF00"/>
            <w:noWrap/>
            <w:vAlign w:val="center"/>
            <w:hideMark/>
          </w:tcPr>
          <w:p w14:paraId="1821869E" w14:textId="77777777" w:rsidR="00B1738B" w:rsidRPr="00B1738B" w:rsidRDefault="48EF8FC6" w:rsidP="3328C818">
            <w:pPr>
              <w:pStyle w:val="Table-Text"/>
              <w:jc w:val="center"/>
            </w:pPr>
            <w:r>
              <w:t>0.05</w:t>
            </w:r>
          </w:p>
        </w:tc>
        <w:tc>
          <w:tcPr>
            <w:tcW w:w="711" w:type="pct"/>
            <w:tcBorders>
              <w:top w:val="nil"/>
              <w:left w:val="nil"/>
              <w:bottom w:val="single" w:sz="4" w:space="0" w:color="auto"/>
              <w:right w:val="single" w:sz="8" w:space="0" w:color="auto"/>
            </w:tcBorders>
            <w:shd w:val="clear" w:color="auto" w:fill="FFFF00"/>
            <w:noWrap/>
            <w:vAlign w:val="center"/>
            <w:hideMark/>
          </w:tcPr>
          <w:p w14:paraId="593629FF" w14:textId="77777777" w:rsidR="00B1738B" w:rsidRPr="00B1738B" w:rsidRDefault="48EF8FC6" w:rsidP="3328C818">
            <w:pPr>
              <w:pStyle w:val="Table-Text"/>
              <w:jc w:val="center"/>
            </w:pPr>
            <w:r>
              <w:t>0.06</w:t>
            </w:r>
          </w:p>
        </w:tc>
      </w:tr>
      <w:tr w:rsidR="00B1738B" w:rsidRPr="00B1738B" w14:paraId="4E210BF2" w14:textId="77777777" w:rsidTr="3328C818">
        <w:trPr>
          <w:trHeight w:hRule="exact" w:val="288"/>
        </w:trPr>
        <w:tc>
          <w:tcPr>
            <w:tcW w:w="2263" w:type="pct"/>
            <w:tcBorders>
              <w:top w:val="nil"/>
              <w:left w:val="single" w:sz="8" w:space="0" w:color="auto"/>
              <w:bottom w:val="single" w:sz="4" w:space="0" w:color="auto"/>
              <w:right w:val="nil"/>
            </w:tcBorders>
            <w:shd w:val="clear" w:color="auto" w:fill="auto"/>
            <w:noWrap/>
            <w:vAlign w:val="bottom"/>
            <w:hideMark/>
          </w:tcPr>
          <w:p w14:paraId="32F3572C" w14:textId="77777777" w:rsidR="00B1738B" w:rsidRPr="00B1738B" w:rsidRDefault="00B1738B" w:rsidP="001B0492">
            <w:pPr>
              <w:pStyle w:val="Table-Text"/>
            </w:pPr>
            <w:r w:rsidRPr="00B1738B">
              <w:t>Tons removed</w:t>
            </w:r>
          </w:p>
        </w:tc>
        <w:tc>
          <w:tcPr>
            <w:tcW w:w="657" w:type="pct"/>
            <w:tcBorders>
              <w:top w:val="nil"/>
              <w:left w:val="single" w:sz="8" w:space="0" w:color="auto"/>
              <w:bottom w:val="single" w:sz="4" w:space="0" w:color="auto"/>
              <w:right w:val="single" w:sz="4" w:space="0" w:color="auto"/>
            </w:tcBorders>
            <w:shd w:val="clear" w:color="auto" w:fill="auto"/>
            <w:noWrap/>
            <w:vAlign w:val="center"/>
            <w:hideMark/>
          </w:tcPr>
          <w:p w14:paraId="3C63EF61" w14:textId="77777777" w:rsidR="00B1738B" w:rsidRPr="00B1738B" w:rsidRDefault="48EF8FC6" w:rsidP="3328C818">
            <w:pPr>
              <w:pStyle w:val="Table-Text"/>
              <w:jc w:val="center"/>
            </w:pPr>
            <w:r>
              <w:t>13</w:t>
            </w:r>
          </w:p>
        </w:tc>
        <w:tc>
          <w:tcPr>
            <w:tcW w:w="657" w:type="pct"/>
            <w:tcBorders>
              <w:top w:val="nil"/>
              <w:left w:val="nil"/>
              <w:bottom w:val="single" w:sz="4" w:space="0" w:color="auto"/>
              <w:right w:val="single" w:sz="8" w:space="0" w:color="auto"/>
            </w:tcBorders>
            <w:shd w:val="clear" w:color="auto" w:fill="auto"/>
            <w:noWrap/>
            <w:vAlign w:val="center"/>
            <w:hideMark/>
          </w:tcPr>
          <w:p w14:paraId="60E31F26" w14:textId="77777777" w:rsidR="00B1738B" w:rsidRPr="00B1738B" w:rsidRDefault="48EF8FC6" w:rsidP="3328C818">
            <w:pPr>
              <w:pStyle w:val="Table-Text"/>
              <w:jc w:val="center"/>
            </w:pPr>
            <w:r>
              <w:t>13</w:t>
            </w:r>
          </w:p>
        </w:tc>
        <w:tc>
          <w:tcPr>
            <w:tcW w:w="711" w:type="pct"/>
            <w:tcBorders>
              <w:top w:val="nil"/>
              <w:left w:val="nil"/>
              <w:bottom w:val="single" w:sz="4" w:space="0" w:color="auto"/>
              <w:right w:val="single" w:sz="4" w:space="0" w:color="auto"/>
            </w:tcBorders>
            <w:shd w:val="clear" w:color="auto" w:fill="FFFF00"/>
            <w:noWrap/>
            <w:vAlign w:val="center"/>
            <w:hideMark/>
          </w:tcPr>
          <w:p w14:paraId="042ED684" w14:textId="77777777" w:rsidR="00B1738B" w:rsidRPr="00B1738B" w:rsidRDefault="48EF8FC6" w:rsidP="3328C818">
            <w:pPr>
              <w:pStyle w:val="Table-Text"/>
              <w:jc w:val="center"/>
            </w:pPr>
            <w:r>
              <w:t>113</w:t>
            </w:r>
          </w:p>
        </w:tc>
        <w:tc>
          <w:tcPr>
            <w:tcW w:w="711" w:type="pct"/>
            <w:tcBorders>
              <w:top w:val="nil"/>
              <w:left w:val="nil"/>
              <w:bottom w:val="single" w:sz="4" w:space="0" w:color="auto"/>
              <w:right w:val="single" w:sz="8" w:space="0" w:color="auto"/>
            </w:tcBorders>
            <w:shd w:val="clear" w:color="auto" w:fill="FFFF00"/>
            <w:noWrap/>
            <w:vAlign w:val="center"/>
            <w:hideMark/>
          </w:tcPr>
          <w:p w14:paraId="13E83409" w14:textId="77777777" w:rsidR="00B1738B" w:rsidRPr="00B1738B" w:rsidRDefault="48EF8FC6" w:rsidP="3328C818">
            <w:pPr>
              <w:pStyle w:val="Table-Text"/>
              <w:jc w:val="center"/>
            </w:pPr>
            <w:r>
              <w:t>109</w:t>
            </w:r>
          </w:p>
        </w:tc>
      </w:tr>
      <w:tr w:rsidR="00B1738B" w:rsidRPr="00B1738B" w14:paraId="5E4D330A" w14:textId="77777777" w:rsidTr="3328C818">
        <w:trPr>
          <w:trHeight w:hRule="exact" w:val="288"/>
        </w:trPr>
        <w:tc>
          <w:tcPr>
            <w:tcW w:w="2263" w:type="pct"/>
            <w:tcBorders>
              <w:top w:val="nil"/>
              <w:left w:val="single" w:sz="8" w:space="0" w:color="auto"/>
              <w:bottom w:val="single" w:sz="8" w:space="0" w:color="auto"/>
              <w:right w:val="nil"/>
            </w:tcBorders>
            <w:shd w:val="clear" w:color="auto" w:fill="auto"/>
            <w:noWrap/>
            <w:vAlign w:val="bottom"/>
            <w:hideMark/>
          </w:tcPr>
          <w:p w14:paraId="64D4121D" w14:textId="77777777" w:rsidR="00B1738B" w:rsidRPr="00B1738B" w:rsidRDefault="00B1738B" w:rsidP="001B0492">
            <w:pPr>
              <w:pStyle w:val="Table-Text"/>
            </w:pPr>
            <w:r w:rsidRPr="00B1738B">
              <w:t>Cost-Effectiveness</w:t>
            </w:r>
          </w:p>
        </w:tc>
        <w:tc>
          <w:tcPr>
            <w:tcW w:w="657" w:type="pct"/>
            <w:tcBorders>
              <w:top w:val="nil"/>
              <w:left w:val="single" w:sz="8" w:space="0" w:color="auto"/>
              <w:bottom w:val="single" w:sz="8" w:space="0" w:color="auto"/>
              <w:right w:val="single" w:sz="4" w:space="0" w:color="auto"/>
            </w:tcBorders>
            <w:shd w:val="clear" w:color="auto" w:fill="auto"/>
            <w:noWrap/>
            <w:vAlign w:val="center"/>
            <w:hideMark/>
          </w:tcPr>
          <w:p w14:paraId="36C7BC26" w14:textId="77777777" w:rsidR="00B1738B" w:rsidRPr="00B1738B" w:rsidRDefault="48EF8FC6" w:rsidP="3328C818">
            <w:pPr>
              <w:pStyle w:val="Table-Text"/>
              <w:jc w:val="center"/>
            </w:pPr>
            <w:r>
              <w:t xml:space="preserve"> $      25,118 </w:t>
            </w:r>
          </w:p>
        </w:tc>
        <w:tc>
          <w:tcPr>
            <w:tcW w:w="657" w:type="pct"/>
            <w:tcBorders>
              <w:top w:val="nil"/>
              <w:left w:val="nil"/>
              <w:bottom w:val="single" w:sz="8" w:space="0" w:color="auto"/>
              <w:right w:val="single" w:sz="8" w:space="0" w:color="auto"/>
            </w:tcBorders>
            <w:shd w:val="clear" w:color="auto" w:fill="auto"/>
            <w:noWrap/>
            <w:vAlign w:val="center"/>
            <w:hideMark/>
          </w:tcPr>
          <w:p w14:paraId="2789E0F0" w14:textId="77777777" w:rsidR="00B1738B" w:rsidRPr="00B1738B" w:rsidRDefault="48EF8FC6" w:rsidP="3328C818">
            <w:pPr>
              <w:pStyle w:val="Table-Text"/>
              <w:jc w:val="center"/>
            </w:pPr>
            <w:r>
              <w:t xml:space="preserve"> $      26,787 </w:t>
            </w:r>
          </w:p>
        </w:tc>
        <w:tc>
          <w:tcPr>
            <w:tcW w:w="711" w:type="pct"/>
            <w:tcBorders>
              <w:top w:val="nil"/>
              <w:left w:val="nil"/>
              <w:bottom w:val="single" w:sz="8" w:space="0" w:color="auto"/>
              <w:right w:val="single" w:sz="4" w:space="0" w:color="auto"/>
            </w:tcBorders>
            <w:shd w:val="clear" w:color="auto" w:fill="FFFF00"/>
            <w:noWrap/>
            <w:vAlign w:val="center"/>
            <w:hideMark/>
          </w:tcPr>
          <w:p w14:paraId="6F871693" w14:textId="77777777" w:rsidR="00B1738B" w:rsidRPr="00B1738B" w:rsidRDefault="48EF8FC6" w:rsidP="3328C818">
            <w:pPr>
              <w:pStyle w:val="Table-Text"/>
              <w:jc w:val="center"/>
            </w:pPr>
            <w:r>
              <w:t xml:space="preserve"> $           7,368 </w:t>
            </w:r>
          </w:p>
        </w:tc>
        <w:tc>
          <w:tcPr>
            <w:tcW w:w="711" w:type="pct"/>
            <w:tcBorders>
              <w:top w:val="nil"/>
              <w:left w:val="nil"/>
              <w:bottom w:val="single" w:sz="8" w:space="0" w:color="auto"/>
              <w:right w:val="single" w:sz="8" w:space="0" w:color="auto"/>
            </w:tcBorders>
            <w:shd w:val="clear" w:color="auto" w:fill="FFFF00"/>
            <w:noWrap/>
            <w:vAlign w:val="center"/>
            <w:hideMark/>
          </w:tcPr>
          <w:p w14:paraId="2C79F8DE" w14:textId="77777777" w:rsidR="00B1738B" w:rsidRPr="00B1738B" w:rsidRDefault="48EF8FC6" w:rsidP="3328C818">
            <w:pPr>
              <w:pStyle w:val="Table-Text"/>
              <w:jc w:val="center"/>
            </w:pPr>
            <w:r>
              <w:t xml:space="preserve"> $        12,453 </w:t>
            </w:r>
          </w:p>
        </w:tc>
      </w:tr>
    </w:tbl>
    <w:p w14:paraId="438362C6" w14:textId="77777777" w:rsidR="00B1738B" w:rsidRDefault="00B1738B" w:rsidP="00B1738B">
      <w:pPr>
        <w:spacing w:line="240" w:lineRule="auto"/>
        <w:contextualSpacing/>
        <w:rPr>
          <w:bCs/>
        </w:rPr>
      </w:pPr>
    </w:p>
    <w:p w14:paraId="79825112" w14:textId="629F7DE8" w:rsidR="0096546C" w:rsidRDefault="00867FDB" w:rsidP="0096546C">
      <w:pPr>
        <w:spacing w:line="240" w:lineRule="auto"/>
        <w:contextualSpacing/>
      </w:pPr>
      <w:r>
        <w:rPr>
          <w:bCs/>
        </w:rPr>
        <w:t xml:space="preserve">As the above tables demonstrate, </w:t>
      </w:r>
      <w:r w:rsidR="0096546C">
        <w:t xml:space="preserve">SCR </w:t>
      </w:r>
      <w:r w:rsidR="0096546C" w:rsidRPr="0021079E">
        <w:t xml:space="preserve">could reduce </w:t>
      </w:r>
      <w:r w:rsidR="0096546C" w:rsidRPr="00A9462F">
        <w:t>NO</w:t>
      </w:r>
      <w:r w:rsidR="0096546C">
        <w:rPr>
          <w:vertAlign w:val="subscript"/>
        </w:rPr>
        <w:t>x</w:t>
      </w:r>
      <w:r w:rsidR="0096546C" w:rsidRPr="0021079E">
        <w:t xml:space="preserve"> emissions from this facility by </w:t>
      </w:r>
      <w:r w:rsidR="0096546C">
        <w:t>over</w:t>
      </w:r>
      <w:r w:rsidR="0096546C" w:rsidRPr="0021079E">
        <w:t xml:space="preserve"> 3</w:t>
      </w:r>
      <w:r w:rsidR="0096546C">
        <w:t>0</w:t>
      </w:r>
      <w:r w:rsidR="0096546C" w:rsidRPr="0021079E">
        <w:t xml:space="preserve">0 tons/year for </w:t>
      </w:r>
      <w:r w:rsidR="0096546C">
        <w:t>$7.400 - $7,600</w:t>
      </w:r>
      <w:r w:rsidR="0096546C" w:rsidRPr="0021079E">
        <w:t>/ton</w:t>
      </w:r>
      <w:r w:rsidR="0096546C">
        <w:t>, which is at or below MPCA’s acceptance threshold and well below the $10,000/ton threshold set by CO, NV, and OR.</w:t>
      </w:r>
    </w:p>
    <w:p w14:paraId="7044A926" w14:textId="08E16F6D" w:rsidR="00867FDB" w:rsidRDefault="00867FDB" w:rsidP="00B1738B">
      <w:pPr>
        <w:pStyle w:val="Heading4"/>
        <w:spacing w:line="240" w:lineRule="auto"/>
        <w:contextualSpacing/>
      </w:pPr>
      <w:r>
        <w:t>Statutory Factor 2: Time Necessary for Compliance</w:t>
      </w:r>
    </w:p>
    <w:p w14:paraId="5CBCDF82" w14:textId="1EF6D239" w:rsidR="00867FDB" w:rsidRDefault="00867FDB" w:rsidP="00B1738B">
      <w:pPr>
        <w:spacing w:line="240" w:lineRule="auto"/>
        <w:contextualSpacing/>
      </w:pPr>
      <w:r>
        <w:t xml:space="preserve">The time necessary for compliance </w:t>
      </w:r>
      <w:r w:rsidRPr="00D717B3">
        <w:t>for SCR is typically four to five years after SIP approval.</w:t>
      </w:r>
    </w:p>
    <w:p w14:paraId="151A0A9C" w14:textId="12E455D1" w:rsidR="00867FDB" w:rsidRDefault="00867FDB" w:rsidP="00B1738B">
      <w:pPr>
        <w:pStyle w:val="Heading4"/>
        <w:spacing w:line="240" w:lineRule="auto"/>
        <w:contextualSpacing/>
      </w:pPr>
      <w:r>
        <w:t>Statutory Factor 3: Energy and Non-Air Quality Environmental Impacts</w:t>
      </w:r>
    </w:p>
    <w:p w14:paraId="32606358" w14:textId="73F98E13" w:rsidR="00867FDB" w:rsidRDefault="00867FDB" w:rsidP="00B1738B">
      <w:pPr>
        <w:spacing w:line="240" w:lineRule="auto"/>
        <w:contextualSpacing/>
      </w:pPr>
      <w:r w:rsidRPr="00DB7AC4">
        <w:t xml:space="preserve">When evaluating statutory factor 3, ACSC raises several potential concerns with respect to </w:t>
      </w:r>
      <w:r>
        <w:t>SNCR and SCR</w:t>
      </w:r>
      <w:r w:rsidRPr="00DB7AC4">
        <w:t xml:space="preserve"> including energy use, </w:t>
      </w:r>
      <w:r>
        <w:t xml:space="preserve">ammonia storage, potential ammonia slip, and potential impacts to mercury controls. </w:t>
      </w:r>
      <w:r w:rsidRPr="00DB7AC4">
        <w:t>NPS review finds that:</w:t>
      </w:r>
    </w:p>
    <w:p w14:paraId="49D68EC0" w14:textId="77777777" w:rsidR="00867FDB" w:rsidRDefault="00867FDB" w:rsidP="00B1738B">
      <w:pPr>
        <w:pStyle w:val="ListParagraph"/>
      </w:pPr>
      <w:r>
        <w:t>The energy impacts mentioned are most properly accounted for when analyzing statutory factor 1, Cost of Compliance.</w:t>
      </w:r>
    </w:p>
    <w:p w14:paraId="472F4805" w14:textId="05627814" w:rsidR="00867FDB" w:rsidRDefault="00867FDB" w:rsidP="00B1738B">
      <w:pPr>
        <w:pStyle w:val="ListParagraph"/>
      </w:pPr>
      <w:r>
        <w:t xml:space="preserve">Ammonia storage and potential slip issues </w:t>
      </w:r>
      <w:r w:rsidRPr="00B46B43">
        <w:t>are not unique to this site and should be addressed by proper operation and maintenance</w:t>
      </w:r>
      <w:r>
        <w:t xml:space="preserve">. </w:t>
      </w:r>
    </w:p>
    <w:p w14:paraId="7BEAD3B6" w14:textId="67B847C5" w:rsidR="00867FDB" w:rsidRDefault="00867FDB" w:rsidP="00B1738B">
      <w:pPr>
        <w:pStyle w:val="ListParagraph"/>
      </w:pPr>
      <w:r>
        <w:t>With respect to potential implications for mercury controls, t</w:t>
      </w:r>
      <w:r w:rsidRPr="00025400">
        <w:t xml:space="preserve">he SNCR ammonia slip issue is not unique to this application. </w:t>
      </w:r>
      <w:r>
        <w:t>SCR</w:t>
      </w:r>
      <w:r w:rsidRPr="00025400">
        <w:t xml:space="preserve"> is known to promote ionization/oxidation of elemental mercury to a form that can be captured by downstream control equipment. It is possible that addition of SCR upstream of the </w:t>
      </w:r>
      <w:r w:rsidRPr="00A9462F">
        <w:t>SO</w:t>
      </w:r>
      <w:r w:rsidRPr="00A9462F">
        <w:rPr>
          <w:vertAlign w:val="subscript"/>
        </w:rPr>
        <w:t>2</w:t>
      </w:r>
      <w:r w:rsidRPr="00025400">
        <w:t xml:space="preserve"> and PM controls could result in reduced mercury emissions and/or PAC consumption/costs.</w:t>
      </w:r>
      <w:r>
        <w:t xml:space="preserve"> </w:t>
      </w:r>
    </w:p>
    <w:p w14:paraId="2315BED7" w14:textId="77777777" w:rsidR="00867FDB" w:rsidRDefault="00867FDB" w:rsidP="00B1738B">
      <w:pPr>
        <w:pStyle w:val="Heading4"/>
        <w:spacing w:line="240" w:lineRule="auto"/>
        <w:contextualSpacing/>
      </w:pPr>
      <w:r w:rsidRPr="00294DA7">
        <w:t>Stat</w:t>
      </w:r>
      <w:r>
        <w:t>utory</w:t>
      </w:r>
      <w:r w:rsidRPr="00294DA7">
        <w:t xml:space="preserve"> Factor 4: Remaining Useful Life</w:t>
      </w:r>
    </w:p>
    <w:p w14:paraId="05BAF7C9" w14:textId="002971A9" w:rsidR="00867FDB" w:rsidRDefault="00867FDB" w:rsidP="00B1738B">
      <w:pPr>
        <w:spacing w:line="240" w:lineRule="auto"/>
        <w:contextualSpacing/>
      </w:pPr>
      <w:r w:rsidRPr="005A6870">
        <w:t>ACS</w:t>
      </w:r>
      <w:r w:rsidR="0048455A">
        <w:t>C</w:t>
      </w:r>
      <w:r w:rsidRPr="005A6870">
        <w:t xml:space="preserve"> notes that the remaining useful life of the </w:t>
      </w:r>
      <w:r>
        <w:t>ACSC</w:t>
      </w:r>
      <w:r w:rsidRPr="005A6870">
        <w:t xml:space="preserve"> boilers is greater than 20 years. Therefore, the remaining useful life has no impact on the annualized estimated control technology costs. In addition, the CCM recommends 30-year life for </w:t>
      </w:r>
      <w:r>
        <w:t>SCR on industrial boilers</w:t>
      </w:r>
      <w:r w:rsidRPr="005A6870">
        <w:t xml:space="preserve"> unless limited by a federally-enforceable condition.</w:t>
      </w:r>
    </w:p>
    <w:p w14:paraId="50F9FE24" w14:textId="21978931" w:rsidR="008E13BD" w:rsidRDefault="008E13BD" w:rsidP="00B1738B">
      <w:pPr>
        <w:spacing w:line="240" w:lineRule="auto"/>
        <w:contextualSpacing/>
      </w:pPr>
    </w:p>
    <w:p w14:paraId="131BA989" w14:textId="3607D639" w:rsidR="008E13BD" w:rsidRPr="008E13BD" w:rsidRDefault="008E13BD" w:rsidP="00B1738B">
      <w:pPr>
        <w:spacing w:line="240" w:lineRule="auto"/>
        <w:contextualSpacing/>
        <w:rPr>
          <w:szCs w:val="24"/>
        </w:rPr>
      </w:pPr>
      <w:r w:rsidRPr="008E13BD">
        <w:rPr>
          <w:szCs w:val="24"/>
        </w:rPr>
        <w:t xml:space="preserve">MPCA </w:t>
      </w:r>
      <w:r w:rsidR="00051908">
        <w:rPr>
          <w:szCs w:val="24"/>
        </w:rPr>
        <w:t xml:space="preserve">concludes that, </w:t>
      </w:r>
      <w:r w:rsidR="003F00E3">
        <w:rPr>
          <w:szCs w:val="24"/>
        </w:rPr>
        <w:t>b</w:t>
      </w:r>
      <w:r w:rsidRPr="00B448C7">
        <w:rPr>
          <w:szCs w:val="24"/>
        </w:rPr>
        <w:t>ased on the additional information provided by the facility, neither NO</w:t>
      </w:r>
      <w:r w:rsidR="003F00E3" w:rsidRPr="00B448C7">
        <w:rPr>
          <w:szCs w:val="24"/>
          <w:vertAlign w:val="subscript"/>
        </w:rPr>
        <w:t>x</w:t>
      </w:r>
      <w:r w:rsidRPr="00B448C7">
        <w:rPr>
          <w:szCs w:val="24"/>
        </w:rPr>
        <w:t xml:space="preserve"> nor SO</w:t>
      </w:r>
      <w:r w:rsidRPr="00B448C7">
        <w:rPr>
          <w:szCs w:val="24"/>
          <w:vertAlign w:val="subscript"/>
        </w:rPr>
        <w:t>2</w:t>
      </w:r>
      <w:r w:rsidRPr="00B448C7">
        <w:rPr>
          <w:szCs w:val="24"/>
        </w:rPr>
        <w:t xml:space="preserve"> controls appear to be cost-effective for either facility in this regional haze implementation period.</w:t>
      </w:r>
    </w:p>
    <w:p w14:paraId="0D379A84" w14:textId="5800DE73" w:rsidR="00867FDB" w:rsidRDefault="00867FDB" w:rsidP="00B1738B">
      <w:pPr>
        <w:pStyle w:val="Heading3"/>
        <w:spacing w:line="240" w:lineRule="auto"/>
        <w:contextualSpacing/>
      </w:pPr>
      <w:bookmarkStart w:id="24" w:name="_Hlk113450822"/>
      <w:r>
        <w:t>NPS Conclusions and Recommendations for American Crystal Sugar – Crookston</w:t>
      </w:r>
    </w:p>
    <w:p w14:paraId="1D4F0722" w14:textId="340D2398" w:rsidR="00867FDB" w:rsidRPr="00FD476A" w:rsidRDefault="00867FDB" w:rsidP="00B1738B">
      <w:pPr>
        <w:spacing w:line="240" w:lineRule="auto"/>
        <w:contextualSpacing/>
      </w:pPr>
      <w:r>
        <w:t xml:space="preserve">NPS review finds that </w:t>
      </w:r>
      <w:r w:rsidRPr="00FD476A">
        <w:t>ACSC and MPCA have overestimated the Cost of Compliance due to:</w:t>
      </w:r>
    </w:p>
    <w:p w14:paraId="28DD361D" w14:textId="45CE7649" w:rsidR="00867FDB" w:rsidRPr="00FD476A" w:rsidRDefault="00867FDB" w:rsidP="00B1738B">
      <w:pPr>
        <w:pStyle w:val="ListParagraph"/>
      </w:pPr>
      <w:r w:rsidRPr="00FD476A">
        <w:t xml:space="preserve">Use of equipment life (20 years) </w:t>
      </w:r>
      <w:r w:rsidR="00567282" w:rsidRPr="00FD476A">
        <w:t xml:space="preserve">that is too short </w:t>
      </w:r>
      <w:r w:rsidRPr="00FD476A">
        <w:t>for some controls.</w:t>
      </w:r>
    </w:p>
    <w:p w14:paraId="2990FB62" w14:textId="77777777" w:rsidR="00867FDB" w:rsidRPr="00FD476A" w:rsidRDefault="00867FDB" w:rsidP="00B1738B">
      <w:pPr>
        <w:pStyle w:val="ListParagraph"/>
      </w:pPr>
      <w:r w:rsidRPr="00FD476A">
        <w:t>Application of unsupported retrofit factors.</w:t>
      </w:r>
    </w:p>
    <w:p w14:paraId="3A08A69C" w14:textId="77777777" w:rsidR="00867FDB" w:rsidRPr="00FD476A" w:rsidRDefault="00867FDB" w:rsidP="00B1738B">
      <w:pPr>
        <w:pStyle w:val="ListParagraph"/>
      </w:pPr>
      <w:r w:rsidRPr="00FD476A">
        <w:t>Underestimation of control efficiencies.</w:t>
      </w:r>
    </w:p>
    <w:p w14:paraId="75A2034F" w14:textId="4C583F0A" w:rsidR="00867FDB" w:rsidRDefault="00867FDB" w:rsidP="00B1738B">
      <w:pPr>
        <w:spacing w:line="240" w:lineRule="auto"/>
        <w:contextualSpacing/>
      </w:pPr>
      <w:r>
        <w:t>With respect to statutory factor one, the Cost of Compliance, after making the adjustments described above NPS analysis finds that:</w:t>
      </w:r>
    </w:p>
    <w:p w14:paraId="78EC7780" w14:textId="3C1F8223" w:rsidR="00867FDB" w:rsidRPr="00FD476A" w:rsidRDefault="00867FDB" w:rsidP="00B448C7">
      <w:pPr>
        <w:pStyle w:val="ListParagraph"/>
        <w:numPr>
          <w:ilvl w:val="0"/>
          <w:numId w:val="50"/>
        </w:numPr>
      </w:pPr>
      <w:r>
        <w:t>The a</w:t>
      </w:r>
      <w:r w:rsidRPr="00FD476A">
        <w:t xml:space="preserve">ddition of DSI (with trona) is cost-effective </w:t>
      </w:r>
      <w:r>
        <w:t xml:space="preserve">for </w:t>
      </w:r>
      <w:r w:rsidRPr="00A9462F">
        <w:t>SO</w:t>
      </w:r>
      <w:r w:rsidRPr="00A9462F">
        <w:rPr>
          <w:vertAlign w:val="subscript"/>
        </w:rPr>
        <w:t>2</w:t>
      </w:r>
      <w:r>
        <w:t xml:space="preserve"> emission reductions </w:t>
      </w:r>
      <w:r w:rsidRPr="00FD476A">
        <w:t>with or without addition of a new baghouse</w:t>
      </w:r>
      <w:r>
        <w:t xml:space="preserve">, and </w:t>
      </w:r>
    </w:p>
    <w:p w14:paraId="22B1589F" w14:textId="4AC80145" w:rsidR="00867FDB" w:rsidRPr="00FD476A" w:rsidRDefault="00867FDB" w:rsidP="00B448C7">
      <w:pPr>
        <w:pStyle w:val="ListParagraph"/>
        <w:numPr>
          <w:ilvl w:val="0"/>
          <w:numId w:val="50"/>
        </w:numPr>
      </w:pPr>
      <w:r>
        <w:t>The a</w:t>
      </w:r>
      <w:r w:rsidRPr="00FD476A">
        <w:t xml:space="preserve">ddition of SCR is </w:t>
      </w:r>
      <w:r>
        <w:t xml:space="preserve">a </w:t>
      </w:r>
      <w:r w:rsidRPr="00FD476A">
        <w:t>cost-effective</w:t>
      </w:r>
      <w:r>
        <w:t xml:space="preserve"> option for reducing </w:t>
      </w:r>
      <w:r w:rsidRPr="00A9462F">
        <w:t>NO</w:t>
      </w:r>
      <w:r>
        <w:rPr>
          <w:vertAlign w:val="subscript"/>
        </w:rPr>
        <w:t>x</w:t>
      </w:r>
      <w:r>
        <w:t xml:space="preserve"> emissions from this facility</w:t>
      </w:r>
      <w:r w:rsidRPr="00FD476A">
        <w:t>.</w:t>
      </w:r>
    </w:p>
    <w:p w14:paraId="3977BA84" w14:textId="681307D5" w:rsidR="00867FDB" w:rsidRDefault="00867FDB" w:rsidP="00B1738B">
      <w:pPr>
        <w:spacing w:line="240" w:lineRule="auto"/>
        <w:contextualSpacing/>
      </w:pPr>
      <w:r>
        <w:t xml:space="preserve">The NPS recommends that </w:t>
      </w:r>
      <w:r w:rsidRPr="00FD476A">
        <w:t xml:space="preserve">MPCA evaluate </w:t>
      </w:r>
      <w:r>
        <w:t xml:space="preserve">statutory factor two, </w:t>
      </w:r>
      <w:r w:rsidRPr="0001320D">
        <w:rPr>
          <w:i/>
          <w:iCs/>
        </w:rPr>
        <w:t>Time Necessary for Compliance</w:t>
      </w:r>
      <w:r>
        <w:t>,</w:t>
      </w:r>
      <w:r w:rsidRPr="00FD476A">
        <w:t xml:space="preserve"> for addition of DSI and SCR for all three boilers</w:t>
      </w:r>
      <w:r>
        <w:t xml:space="preserve">. Review of statutory factors three and four finds </w:t>
      </w:r>
      <w:r w:rsidRPr="00FD476A">
        <w:t xml:space="preserve">no unusual </w:t>
      </w:r>
      <w:r w:rsidRPr="003801D4">
        <w:rPr>
          <w:i/>
          <w:iCs/>
        </w:rPr>
        <w:t>Energy and Non-Air Quality Environmental Impacts</w:t>
      </w:r>
      <w:r w:rsidRPr="00FD476A">
        <w:t xml:space="preserve"> related to DSI or SCR</w:t>
      </w:r>
      <w:r>
        <w:t xml:space="preserve"> and </w:t>
      </w:r>
      <w:r w:rsidRPr="003801D4">
        <w:rPr>
          <w:i/>
          <w:iCs/>
        </w:rPr>
        <w:t>Remaining Useful Life</w:t>
      </w:r>
      <w:r w:rsidRPr="00FD476A">
        <w:t xml:space="preserve"> is not an issue.</w:t>
      </w:r>
    </w:p>
    <w:p w14:paraId="3D2072E9" w14:textId="77777777" w:rsidR="00A771AC" w:rsidRPr="00FD476A" w:rsidRDefault="00A771AC" w:rsidP="00B1738B">
      <w:pPr>
        <w:spacing w:line="240" w:lineRule="auto"/>
        <w:contextualSpacing/>
      </w:pPr>
    </w:p>
    <w:p w14:paraId="126C723F" w14:textId="77777777" w:rsidR="0096546C" w:rsidRDefault="00867FDB" w:rsidP="00A771AC">
      <w:pPr>
        <w:spacing w:line="240" w:lineRule="auto"/>
        <w:contextualSpacing/>
      </w:pPr>
      <w:r>
        <w:t xml:space="preserve">In conclusion, based on the four factors, the NPS recommends that </w:t>
      </w:r>
      <w:r w:rsidRPr="00FD476A">
        <w:t xml:space="preserve">MPCA require </w:t>
      </w:r>
      <w:r>
        <w:t xml:space="preserve">the </w:t>
      </w:r>
      <w:r w:rsidRPr="00FD476A">
        <w:t xml:space="preserve">addition of DSI with trona and a new baghouse as well as SCR to </w:t>
      </w:r>
      <w:r w:rsidR="00DE0A90">
        <w:t>both</w:t>
      </w:r>
      <w:r w:rsidRPr="00FD476A">
        <w:t xml:space="preserve"> boilers</w:t>
      </w:r>
      <w:r>
        <w:t xml:space="preserve"> analyzed at </w:t>
      </w:r>
      <w:r w:rsidR="0096546C">
        <w:t>ACSC--CRK</w:t>
      </w:r>
      <w:r w:rsidRPr="00FD476A">
        <w:t>.</w:t>
      </w:r>
      <w:r w:rsidR="00A771AC">
        <w:t xml:space="preserve"> </w:t>
      </w:r>
    </w:p>
    <w:p w14:paraId="5051BD04" w14:textId="77777777" w:rsidR="0096546C" w:rsidRDefault="00A771AC" w:rsidP="0096546C">
      <w:pPr>
        <w:pStyle w:val="ListParagraph"/>
        <w:numPr>
          <w:ilvl w:val="0"/>
          <w:numId w:val="47"/>
        </w:numPr>
      </w:pPr>
      <w:r w:rsidRPr="0021079E">
        <w:t xml:space="preserve">The addition of DSI </w:t>
      </w:r>
      <w:r>
        <w:t xml:space="preserve">with milled trona and replacement of the existing ESPs with fabric filtration </w:t>
      </w:r>
      <w:r w:rsidRPr="0021079E">
        <w:t xml:space="preserve">on all three boilers could reduce </w:t>
      </w:r>
      <w:r w:rsidRPr="00A9462F">
        <w:t>SO</w:t>
      </w:r>
      <w:r w:rsidRPr="0096546C">
        <w:rPr>
          <w:vertAlign w:val="subscript"/>
        </w:rPr>
        <w:t>2</w:t>
      </w:r>
      <w:r w:rsidRPr="0021079E">
        <w:t xml:space="preserve"> emissions from this facility by </w:t>
      </w:r>
      <w:r>
        <w:t>about</w:t>
      </w:r>
      <w:r w:rsidRPr="0021079E">
        <w:t xml:space="preserve"> 600 tons/year for less than $5,000/ton</w:t>
      </w:r>
      <w:r>
        <w:t xml:space="preserve">. If the ESPs are retained (which MPCA did not evaluate), about 300 tons of </w:t>
      </w:r>
      <w:r w:rsidRPr="0096546C">
        <w:t>SO</w:t>
      </w:r>
      <w:r w:rsidRPr="0096546C">
        <w:rPr>
          <w:vertAlign w:val="subscript"/>
        </w:rPr>
        <w:t>2</w:t>
      </w:r>
      <w:r>
        <w:t xml:space="preserve"> could be removed annually for $6,000/ton. The cost-effectiveness of both of these DSI options is less than half the MPCA estimates and well below the MPCA cost-effectiveness threshold.</w:t>
      </w:r>
      <w:r w:rsidR="00A4294E">
        <w:t xml:space="preserve"> </w:t>
      </w:r>
    </w:p>
    <w:p w14:paraId="41FB51BD" w14:textId="17BE76B8" w:rsidR="00A771AC" w:rsidRDefault="005202A6" w:rsidP="0096546C">
      <w:pPr>
        <w:pStyle w:val="ListParagraph"/>
        <w:numPr>
          <w:ilvl w:val="0"/>
          <w:numId w:val="47"/>
        </w:numPr>
      </w:pPr>
      <w:r>
        <w:t>NPS</w:t>
      </w:r>
      <w:r w:rsidR="00A771AC">
        <w:t xml:space="preserve"> estimate</w:t>
      </w:r>
      <w:r>
        <w:t>s</w:t>
      </w:r>
      <w:r w:rsidR="00A771AC">
        <w:t xml:space="preserve"> that, based upon CCM guidance, SCR </w:t>
      </w:r>
      <w:r w:rsidR="00A771AC" w:rsidRPr="0021079E">
        <w:t xml:space="preserve">could reduce </w:t>
      </w:r>
      <w:r w:rsidR="00A771AC" w:rsidRPr="00A9462F">
        <w:t>NO</w:t>
      </w:r>
      <w:r w:rsidR="00A771AC" w:rsidRPr="0096546C">
        <w:rPr>
          <w:vertAlign w:val="subscript"/>
        </w:rPr>
        <w:t>x</w:t>
      </w:r>
      <w:r w:rsidR="00A771AC" w:rsidRPr="0021079E">
        <w:t xml:space="preserve"> emissions from this facility by </w:t>
      </w:r>
      <w:r w:rsidR="00A771AC">
        <w:t>over</w:t>
      </w:r>
      <w:r w:rsidR="00A771AC" w:rsidRPr="0021079E">
        <w:t xml:space="preserve"> 3</w:t>
      </w:r>
      <w:r w:rsidR="00A771AC">
        <w:t>0</w:t>
      </w:r>
      <w:r w:rsidR="00A771AC" w:rsidRPr="0021079E">
        <w:t xml:space="preserve">0 tons/year for </w:t>
      </w:r>
      <w:r w:rsidR="00A771AC">
        <w:t>$7.400 - $7,600</w:t>
      </w:r>
      <w:r w:rsidR="00A771AC" w:rsidRPr="0021079E">
        <w:t>/ton.</w:t>
      </w:r>
      <w:r w:rsidR="00A771AC">
        <w:t xml:space="preserve"> </w:t>
      </w:r>
    </w:p>
    <w:p w14:paraId="5B3B9203" w14:textId="65DA94D4" w:rsidR="00A771AC" w:rsidRDefault="00A771AC" w:rsidP="00A771AC">
      <w:pPr>
        <w:spacing w:line="240" w:lineRule="auto"/>
        <w:contextualSpacing/>
      </w:pPr>
      <w:r w:rsidRPr="0021079E">
        <w:t xml:space="preserve">The NPS recommends that MPCA require the addition of DSI </w:t>
      </w:r>
      <w:r>
        <w:t xml:space="preserve">with milled trona </w:t>
      </w:r>
      <w:r w:rsidRPr="0021079E">
        <w:t>and a new baghouse as well as SCR on Boilers 1, 2, and 3 at American Crystal Sugar – Crookston. By requiring implementation of identified controls MPCA will be reducing haze</w:t>
      </w:r>
      <w:r w:rsidR="0096546C">
        <w:t>-</w:t>
      </w:r>
      <w:r w:rsidRPr="0021079E">
        <w:t>causing emissions and advancing incremental improvement of visibility at Voyageurs and Isle Royale National Parks as well as other Class I areas in the region.</w:t>
      </w:r>
    </w:p>
    <w:bookmarkEnd w:id="24"/>
    <w:p w14:paraId="0C86754F" w14:textId="77777777" w:rsidR="00867FDB" w:rsidRPr="00FD476A" w:rsidRDefault="00867FDB" w:rsidP="00B1738B">
      <w:pPr>
        <w:spacing w:line="240" w:lineRule="auto"/>
        <w:contextualSpacing/>
      </w:pPr>
    </w:p>
    <w:p w14:paraId="6C70F2DB" w14:textId="102BBF6F" w:rsidR="00867FDB" w:rsidRDefault="00867FDB">
      <w:pPr>
        <w:pStyle w:val="Heading2"/>
      </w:pPr>
      <w:bookmarkStart w:id="25" w:name="_Toc115775429"/>
      <w:r w:rsidRPr="002D3687">
        <w:t>American Crystal Sugar</w:t>
      </w:r>
      <w:r>
        <w:t>–</w:t>
      </w:r>
      <w:r w:rsidRPr="002D3687">
        <w:t>East Grand Forks</w:t>
      </w:r>
      <w:r w:rsidR="003A57F2">
        <w:rPr>
          <w:rStyle w:val="FootnoteReference"/>
        </w:rPr>
        <w:footnoteReference w:id="8"/>
      </w:r>
      <w:bookmarkEnd w:id="25"/>
    </w:p>
    <w:p w14:paraId="1307D316" w14:textId="34874627" w:rsidR="00867FDB" w:rsidRDefault="00867FDB" w:rsidP="00B1738B">
      <w:pPr>
        <w:pStyle w:val="Heading3"/>
        <w:spacing w:line="240" w:lineRule="auto"/>
        <w:contextualSpacing/>
      </w:pPr>
      <w:r>
        <w:t xml:space="preserve">Summary of NPS Recommendations for </w:t>
      </w:r>
      <w:r w:rsidRPr="00577778">
        <w:t>American Crystal Sugar</w:t>
      </w:r>
      <w:r>
        <w:t>–</w:t>
      </w:r>
      <w:r w:rsidRPr="00577778">
        <w:t>East Grand Forks</w:t>
      </w:r>
    </w:p>
    <w:p w14:paraId="64F6F026" w14:textId="53C97F96" w:rsidR="00867FDB" w:rsidRDefault="00867FDB" w:rsidP="00B1738B">
      <w:pPr>
        <w:spacing w:line="240" w:lineRule="auto"/>
        <w:contextualSpacing/>
      </w:pPr>
      <w:r w:rsidRPr="00393F7D">
        <w:t xml:space="preserve">NPS review of the four-factor analysis conducted for </w:t>
      </w:r>
      <w:r w:rsidRPr="00507C5B">
        <w:t xml:space="preserve">American Crystal Sugar – </w:t>
      </w:r>
      <w:r>
        <w:t>East Grand Forks</w:t>
      </w:r>
      <w:r w:rsidRPr="00507C5B">
        <w:t xml:space="preserve"> facility </w:t>
      </w:r>
      <w:r>
        <w:t>(</w:t>
      </w:r>
      <w:r w:rsidR="006615E8">
        <w:t>ACSC--</w:t>
      </w:r>
      <w:r w:rsidRPr="007F266E">
        <w:t>EGF</w:t>
      </w:r>
      <w:r>
        <w:t>)</w:t>
      </w:r>
      <w:r w:rsidRPr="007F266E">
        <w:t xml:space="preserve"> </w:t>
      </w:r>
      <w:r w:rsidRPr="00393F7D">
        <w:t xml:space="preserve">finds that there are technically feasible and cost-effective opportunities available to further control </w:t>
      </w:r>
      <w:r w:rsidRPr="00A9462F">
        <w:t>SO</w:t>
      </w:r>
      <w:r w:rsidRPr="00A9462F">
        <w:rPr>
          <w:vertAlign w:val="subscript"/>
        </w:rPr>
        <w:t>2</w:t>
      </w:r>
      <w:r w:rsidRPr="00393F7D">
        <w:t xml:space="preserve"> and </w:t>
      </w:r>
      <w:r w:rsidRPr="00A9462F">
        <w:t>NO</w:t>
      </w:r>
      <w:r>
        <w:rPr>
          <w:vertAlign w:val="subscript"/>
        </w:rPr>
        <w:t>x</w:t>
      </w:r>
      <w:r w:rsidRPr="00393F7D">
        <w:t xml:space="preserve"> emissions from </w:t>
      </w:r>
      <w:r>
        <w:t>Boilers</w:t>
      </w:r>
      <w:r w:rsidRPr="00393F7D">
        <w:t xml:space="preserve"> 1 and 2. In fact,</w:t>
      </w:r>
      <w:r>
        <w:t xml:space="preserve"> NPS analyses show that</w:t>
      </w:r>
      <w:r w:rsidRPr="00393F7D">
        <w:t xml:space="preserve"> the cost of control is more economical than estimated </w:t>
      </w:r>
      <w:r>
        <w:t xml:space="preserve">by MPCA </w:t>
      </w:r>
      <w:r w:rsidRPr="00393F7D">
        <w:t>when analyses are adjusted in accordance with the EPA Control</w:t>
      </w:r>
      <w:r>
        <w:t xml:space="preserve"> Cost</w:t>
      </w:r>
      <w:r w:rsidRPr="00393F7D">
        <w:t xml:space="preserve"> Manual</w:t>
      </w:r>
      <w:r w:rsidR="006615E8">
        <w:t xml:space="preserve"> (CCM)</w:t>
      </w:r>
      <w:r w:rsidRPr="00393F7D">
        <w:t>.</w:t>
      </w:r>
    </w:p>
    <w:p w14:paraId="056393A6" w14:textId="77777777" w:rsidR="003F33CB" w:rsidRDefault="003F33CB" w:rsidP="00B1738B">
      <w:pPr>
        <w:spacing w:line="240" w:lineRule="auto"/>
        <w:contextualSpacing/>
      </w:pPr>
    </w:p>
    <w:p w14:paraId="256F763A" w14:textId="5B15C34A" w:rsidR="003F33CB" w:rsidRDefault="003F33CB" w:rsidP="003F33CB">
      <w:pPr>
        <w:spacing w:line="240" w:lineRule="auto"/>
        <w:contextualSpacing/>
      </w:pPr>
      <w:r w:rsidRPr="0021079E">
        <w:t xml:space="preserve">The addition of </w:t>
      </w:r>
      <w:r w:rsidR="00873046">
        <w:t>Dry Sorbent Injection (</w:t>
      </w:r>
      <w:r w:rsidRPr="0021079E">
        <w:t>DSI</w:t>
      </w:r>
      <w:r w:rsidR="00873046">
        <w:t>)</w:t>
      </w:r>
      <w:r w:rsidRPr="0021079E">
        <w:t xml:space="preserve"> </w:t>
      </w:r>
      <w:r>
        <w:t xml:space="preserve">with milled trona and replacement of the existing Electrostatic Precipitators (ESPs) with fabric filtration </w:t>
      </w:r>
      <w:r w:rsidRPr="0021079E">
        <w:t xml:space="preserve">on </w:t>
      </w:r>
      <w:r>
        <w:t>both</w:t>
      </w:r>
      <w:r w:rsidRPr="0021079E">
        <w:t xml:space="preserve"> boilers could reduce </w:t>
      </w:r>
      <w:r w:rsidRPr="00A9462F">
        <w:t>SO</w:t>
      </w:r>
      <w:r w:rsidRPr="00A9462F">
        <w:rPr>
          <w:vertAlign w:val="subscript"/>
        </w:rPr>
        <w:t>2</w:t>
      </w:r>
      <w:r w:rsidRPr="0021079E">
        <w:t xml:space="preserve"> emissions from this facility by </w:t>
      </w:r>
      <w:r>
        <w:t>over</w:t>
      </w:r>
      <w:r w:rsidRPr="0021079E">
        <w:t xml:space="preserve"> </w:t>
      </w:r>
      <w:r>
        <w:t>7</w:t>
      </w:r>
      <w:r w:rsidRPr="0021079E">
        <w:t xml:space="preserve">00 tons/year for </w:t>
      </w:r>
      <w:r>
        <w:t>about</w:t>
      </w:r>
      <w:r w:rsidRPr="0021079E">
        <w:t xml:space="preserve"> $</w:t>
      </w:r>
      <w:r>
        <w:t>4</w:t>
      </w:r>
      <w:r w:rsidRPr="0021079E">
        <w:t>,</w:t>
      </w:r>
      <w:r w:rsidR="00873046">
        <w:t>1</w:t>
      </w:r>
      <w:r w:rsidRPr="0021079E">
        <w:t>00/ton</w:t>
      </w:r>
      <w:r>
        <w:t xml:space="preserve">. If the ESPs are retained (which MPCA did not evaluate), about 360 tons of </w:t>
      </w:r>
      <w:r w:rsidRPr="008E2822">
        <w:rPr>
          <w:rFonts w:cs="Times New Roman"/>
          <w:szCs w:val="24"/>
        </w:rPr>
        <w:t>SO</w:t>
      </w:r>
      <w:r w:rsidRPr="008E2822">
        <w:rPr>
          <w:rFonts w:cs="Times New Roman"/>
          <w:szCs w:val="24"/>
          <w:vertAlign w:val="subscript"/>
        </w:rPr>
        <w:t>2</w:t>
      </w:r>
      <w:r>
        <w:t xml:space="preserve"> could be removed annually for $5,600/ton. The cost-effectiveness of both of these DSI options is less than half the MPCA estimates and well below the MPCA </w:t>
      </w:r>
      <w:r w:rsidR="00873046">
        <w:t xml:space="preserve">$7,600/ton </w:t>
      </w:r>
      <w:r>
        <w:t>cost-effectiveness threshold.</w:t>
      </w:r>
    </w:p>
    <w:p w14:paraId="20AC420C" w14:textId="77777777" w:rsidR="00873046" w:rsidRDefault="00873046" w:rsidP="003F33CB">
      <w:pPr>
        <w:spacing w:line="240" w:lineRule="auto"/>
        <w:contextualSpacing/>
      </w:pPr>
    </w:p>
    <w:p w14:paraId="6D2FA05D" w14:textId="2FFBD89C" w:rsidR="00750527" w:rsidRDefault="00750527" w:rsidP="00750527">
      <w:pPr>
        <w:spacing w:line="240" w:lineRule="auto"/>
        <w:contextualSpacing/>
      </w:pPr>
      <w:bookmarkStart w:id="26" w:name="_Hlk114064475"/>
      <w:r>
        <w:t xml:space="preserve">Although MPCA did not discuss Selective Catalytic Reduction </w:t>
      </w:r>
      <w:r w:rsidR="00873046">
        <w:t xml:space="preserve">(SCR) </w:t>
      </w:r>
      <w:r>
        <w:t>in its final draft,</w:t>
      </w:r>
      <w:r w:rsidRPr="0021079E">
        <w:t xml:space="preserve"> </w:t>
      </w:r>
      <w:r>
        <w:t xml:space="preserve">it included evaluations of SCR </w:t>
      </w:r>
      <w:r w:rsidRPr="0021079E">
        <w:t>on all three boilers</w:t>
      </w:r>
      <w:r w:rsidR="009D19FA">
        <w:t xml:space="preserve"> in its Appendix E</w:t>
      </w:r>
      <w:r>
        <w:t xml:space="preserve">. </w:t>
      </w:r>
      <w:bookmarkEnd w:id="26"/>
      <w:r>
        <w:t xml:space="preserve">However, MPCA applied a 1.5 retrofit factor with none of the required documentation. MPCA also assumed a minimal 20-year SCR life and underestimated SCR control efficiency at </w:t>
      </w:r>
      <w:r w:rsidR="00873046">
        <w:t>80</w:t>
      </w:r>
      <w:r>
        <w:t>%. As a result, MPCA estimated SCR’s cost-effectiveness of $</w:t>
      </w:r>
      <w:r w:rsidR="00873046">
        <w:t>8,9</w:t>
      </w:r>
      <w:r>
        <w:t xml:space="preserve">00/ton for both boilers. Instead, </w:t>
      </w:r>
      <w:r w:rsidR="005202A6">
        <w:t>NPS</w:t>
      </w:r>
      <w:r>
        <w:t xml:space="preserve"> estimate</w:t>
      </w:r>
      <w:r w:rsidR="005202A6">
        <w:t>s</w:t>
      </w:r>
      <w:r>
        <w:t xml:space="preserve"> that, based upon CCM guidance, SCR </w:t>
      </w:r>
      <w:r w:rsidRPr="0021079E">
        <w:t xml:space="preserve">could reduce </w:t>
      </w:r>
      <w:r w:rsidRPr="00A9462F">
        <w:t>NO</w:t>
      </w:r>
      <w:r>
        <w:rPr>
          <w:vertAlign w:val="subscript"/>
        </w:rPr>
        <w:t>x</w:t>
      </w:r>
      <w:r w:rsidRPr="0021079E">
        <w:t xml:space="preserve"> emissions from this facility by </w:t>
      </w:r>
      <w:r>
        <w:t>290</w:t>
      </w:r>
      <w:r w:rsidRPr="0021079E">
        <w:t xml:space="preserve"> tons/year for </w:t>
      </w:r>
      <w:r>
        <w:t>$5,100</w:t>
      </w:r>
      <w:r w:rsidRPr="0021079E">
        <w:t>/ton.</w:t>
      </w:r>
      <w:r>
        <w:t xml:space="preserve"> </w:t>
      </w:r>
    </w:p>
    <w:p w14:paraId="28887898" w14:textId="77777777" w:rsidR="003F33CB" w:rsidRPr="00FD476A" w:rsidRDefault="003F33CB" w:rsidP="00B1738B">
      <w:pPr>
        <w:spacing w:line="240" w:lineRule="auto"/>
        <w:contextualSpacing/>
      </w:pPr>
    </w:p>
    <w:p w14:paraId="5C79ECB2" w14:textId="44D59A1A" w:rsidR="003F33CB" w:rsidRPr="00393F7D" w:rsidRDefault="00867FDB" w:rsidP="00B1738B">
      <w:pPr>
        <w:spacing w:line="240" w:lineRule="auto"/>
        <w:contextualSpacing/>
      </w:pPr>
      <w:r>
        <w:t xml:space="preserve">The NPS recommends that </w:t>
      </w:r>
      <w:r w:rsidRPr="00FD476A">
        <w:t xml:space="preserve">MPCA require </w:t>
      </w:r>
      <w:r>
        <w:t xml:space="preserve">the </w:t>
      </w:r>
      <w:r w:rsidRPr="00FD476A">
        <w:t xml:space="preserve">addition of DSI with trona and a new baghouse as well as SCR </w:t>
      </w:r>
      <w:r>
        <w:t>on</w:t>
      </w:r>
      <w:r w:rsidRPr="00FD476A">
        <w:t xml:space="preserve"> </w:t>
      </w:r>
      <w:r>
        <w:t>both</w:t>
      </w:r>
      <w:r w:rsidRPr="00FD476A">
        <w:t xml:space="preserve"> boilers</w:t>
      </w:r>
      <w:r>
        <w:t xml:space="preserve"> analyzed at </w:t>
      </w:r>
      <w:r w:rsidR="00873046">
        <w:t>ACSC--EGF</w:t>
      </w:r>
      <w:r w:rsidRPr="00FD476A">
        <w:t>.</w:t>
      </w:r>
      <w:r>
        <w:t xml:space="preserve"> </w:t>
      </w:r>
      <w:r w:rsidRPr="00AC7B95">
        <w:t xml:space="preserve">By requiring implementation of identified controls </w:t>
      </w:r>
      <w:r>
        <w:t>MPCA</w:t>
      </w:r>
      <w:r w:rsidRPr="00AC7B95">
        <w:t xml:space="preserve"> will be reducing haze</w:t>
      </w:r>
      <w:r w:rsidR="00873046">
        <w:t>-</w:t>
      </w:r>
      <w:r w:rsidRPr="00AC7B95">
        <w:t xml:space="preserve">causing emissions and advancing incremental improvement of visibility at </w:t>
      </w:r>
      <w:r>
        <w:t>Voyageurs and Isle Royale</w:t>
      </w:r>
      <w:r w:rsidRPr="00AC7B95">
        <w:t xml:space="preserve"> National Parks as well as other Class I areas in the region</w:t>
      </w:r>
      <w:r>
        <w:t>.</w:t>
      </w:r>
      <w:r w:rsidR="003F33CB">
        <w:t xml:space="preserve"> </w:t>
      </w:r>
    </w:p>
    <w:p w14:paraId="173539CE" w14:textId="0CD10B45" w:rsidR="00867FDB" w:rsidRDefault="00867FDB" w:rsidP="00B1738B">
      <w:pPr>
        <w:pStyle w:val="Heading3"/>
        <w:spacing w:line="240" w:lineRule="auto"/>
        <w:contextualSpacing/>
      </w:pPr>
      <w:r>
        <w:t>Facility Characteristics</w:t>
      </w:r>
    </w:p>
    <w:p w14:paraId="0043D2BC" w14:textId="64A8342B" w:rsidR="00867FDB" w:rsidRPr="007F266E" w:rsidRDefault="00873046" w:rsidP="00B1738B">
      <w:pPr>
        <w:spacing w:line="240" w:lineRule="auto"/>
        <w:contextualSpacing/>
      </w:pPr>
      <w:r>
        <w:t>ACSC--</w:t>
      </w:r>
      <w:r w:rsidR="00867FDB" w:rsidRPr="007F266E">
        <w:t>EGF operates two Babcock and Wilcox coal-fired stoker boilers equipped with modern over-fire air (OFA) control systems. The boilers are also equipped with high-efficiency ESPs to control particulate matter (PM) emissions. The maximum rated heat input of each boiler is 356 million British thermal units per hour (</w:t>
      </w:r>
      <w:proofErr w:type="spellStart"/>
      <w:r w:rsidR="00867FDB" w:rsidRPr="007F266E">
        <w:t>mmBtu</w:t>
      </w:r>
      <w:proofErr w:type="spellEnd"/>
      <w:r w:rsidR="00867FDB" w:rsidRPr="007F266E">
        <w:t>/</w:t>
      </w:r>
      <w:proofErr w:type="spellStart"/>
      <w:r w:rsidR="00867FDB" w:rsidRPr="007F266E">
        <w:t>hr</w:t>
      </w:r>
      <w:proofErr w:type="spellEnd"/>
      <w:r w:rsidR="00867FDB" w:rsidRPr="007F266E">
        <w:t>). The boilers combust low sulfur subbituminous coal from the Powder River Basin</w:t>
      </w:r>
      <w:r>
        <w:rPr>
          <w:rStyle w:val="FootnoteReference"/>
        </w:rPr>
        <w:footnoteReference w:id="9"/>
      </w:r>
      <w:r w:rsidR="00867FDB" w:rsidRPr="007F266E">
        <w:t>. The facility is located about 315 km southwest of Voyageurs National Park, a Class I area administered by the NPS.</w:t>
      </w:r>
      <w:r>
        <w:t xml:space="preserve"> </w:t>
      </w:r>
      <w:r w:rsidR="00867FDB" w:rsidRPr="007F266E">
        <w:t xml:space="preserve">The 2017 National Emissions Inventory (NEI) shows plantwide emissions of 676 tons of </w:t>
      </w:r>
      <w:r w:rsidR="00867FDB" w:rsidRPr="00A9462F">
        <w:t>NO</w:t>
      </w:r>
      <w:r w:rsidR="00867FDB">
        <w:rPr>
          <w:vertAlign w:val="subscript"/>
        </w:rPr>
        <w:t>x</w:t>
      </w:r>
      <w:r w:rsidR="00867FDB" w:rsidRPr="007F266E">
        <w:t xml:space="preserve"> and 1,301 tons of </w:t>
      </w:r>
      <w:r w:rsidR="00867FDB" w:rsidRPr="00A9462F">
        <w:t>SO</w:t>
      </w:r>
      <w:r w:rsidR="00867FDB" w:rsidRPr="00A9462F">
        <w:rPr>
          <w:vertAlign w:val="subscript"/>
        </w:rPr>
        <w:t>2</w:t>
      </w:r>
      <w:r w:rsidR="00867FDB" w:rsidRPr="007F266E">
        <w:t>.</w:t>
      </w:r>
    </w:p>
    <w:p w14:paraId="5ADEB76D" w14:textId="4C6ABCD5" w:rsidR="00867FDB" w:rsidRDefault="00867FDB" w:rsidP="00B1738B">
      <w:pPr>
        <w:pStyle w:val="Heading3"/>
        <w:spacing w:line="240" w:lineRule="auto"/>
        <w:contextualSpacing/>
      </w:pPr>
      <w:r w:rsidRPr="00A9462F">
        <w:t>SO</w:t>
      </w:r>
      <w:r w:rsidRPr="00A9462F">
        <w:rPr>
          <w:vertAlign w:val="subscript"/>
        </w:rPr>
        <w:t>2</w:t>
      </w:r>
      <w:r>
        <w:t xml:space="preserve"> Four-factor Analysis</w:t>
      </w:r>
    </w:p>
    <w:p w14:paraId="2D2FADA9" w14:textId="77777777" w:rsidR="00867FDB" w:rsidRDefault="00867FDB" w:rsidP="00B1738B">
      <w:pPr>
        <w:pStyle w:val="Heading4"/>
        <w:spacing w:line="240" w:lineRule="auto"/>
        <w:contextualSpacing/>
      </w:pPr>
      <w:r>
        <w:t>Control Selection &amp; Efficiency</w:t>
      </w:r>
    </w:p>
    <w:p w14:paraId="7645A577" w14:textId="39A30A7B" w:rsidR="00867FDB" w:rsidRDefault="00867FDB" w:rsidP="00B1738B">
      <w:pPr>
        <w:spacing w:line="240" w:lineRule="auto"/>
        <w:contextualSpacing/>
      </w:pPr>
      <w:r>
        <w:t xml:space="preserve">The NPS supports </w:t>
      </w:r>
      <w:r w:rsidR="00873046">
        <w:t>ACSC</w:t>
      </w:r>
      <w:r>
        <w:t>’s selection of DSI, Spray Dry Absorption (SDA) or Circulating Dry Scrubber (CDS) in the category Dry FGD, and Wet Flue Gas Desulfurization (Wet FGD) for evaluation.</w:t>
      </w:r>
      <w:r w:rsidR="009C442B">
        <w:t xml:space="preserve"> </w:t>
      </w:r>
      <w:r w:rsidR="00CF1022">
        <w:t>(</w:t>
      </w:r>
      <w:r w:rsidR="009C442B">
        <w:t>MPCA did not evaluate Wet FGD.</w:t>
      </w:r>
      <w:r w:rsidR="00CF1022">
        <w:t>)</w:t>
      </w:r>
    </w:p>
    <w:p w14:paraId="5C748B30" w14:textId="77777777" w:rsidR="00864FBA" w:rsidRDefault="00864FBA" w:rsidP="00B1738B">
      <w:pPr>
        <w:spacing w:line="240" w:lineRule="auto"/>
        <w:contextualSpacing/>
      </w:pPr>
    </w:p>
    <w:p w14:paraId="3B02CD8D" w14:textId="4CC69583" w:rsidR="00867FDB" w:rsidRPr="005C4B49" w:rsidRDefault="647749C5" w:rsidP="00B1738B">
      <w:pPr>
        <w:spacing w:line="240" w:lineRule="auto"/>
        <w:contextualSpacing/>
      </w:pPr>
      <w:r>
        <w:t>In the initial (2021) four factor analysis submittal for EGF</w:t>
      </w:r>
      <w:r w:rsidR="58CD69BC">
        <w:t>,</w:t>
      </w:r>
      <w:r>
        <w:t xml:space="preserve"> the consulting firm HDR showed that the cost-effectiveness of DSI to reduce SO</w:t>
      </w:r>
      <w:r w:rsidRPr="3328C818">
        <w:rPr>
          <w:vertAlign w:val="subscript"/>
        </w:rPr>
        <w:t>2</w:t>
      </w:r>
      <w:r>
        <w:t xml:space="preserve"> emissions was below $5,000/ton. This is quite cost-effective in spite of several factors that lead to overestimation of costs in the initial analysis. However, on February 1, 2022, HDR submitted an “Updated Dry Sorbent Injection Costs for American Crystal Sugar Company Four Factor Analysis” to MPCA revising those findings. HDR expressed concern that the ESPs at EGF, which have historically provided around 99.1% control of PM, might not be able to handle the additional loading presented by DSI and still maintain compliance with mercury and PM limits. According to HDR:</w:t>
      </w:r>
    </w:p>
    <w:p w14:paraId="75946B98" w14:textId="4AB64BD3" w:rsidR="00867FDB" w:rsidRPr="005C4B49" w:rsidRDefault="00867FDB" w:rsidP="00B1738B">
      <w:pPr>
        <w:spacing w:line="240" w:lineRule="auto"/>
        <w:ind w:left="720"/>
        <w:contextualSpacing/>
        <w:rPr>
          <w:i/>
          <w:iCs/>
        </w:rPr>
      </w:pPr>
      <w:r w:rsidRPr="005C4B49">
        <w:rPr>
          <w:i/>
          <w:iCs/>
        </w:rPr>
        <w:t xml:space="preserve">Therefore, the FFA was updated to enhance the PM control by adding a fabric filter baghouse. The addition of a baghouse will allow higher sorbent injection rates while maintaining compliance with the applicable PM emission limits. Further, the additional system residence time, higher sorbent injection rates, and associated sorbent filter cake in the baghouse, will allow an increased control efficiency of 70% for </w:t>
      </w:r>
      <w:r w:rsidRPr="00A9462F">
        <w:t>SO</w:t>
      </w:r>
      <w:r w:rsidRPr="00A9462F">
        <w:rPr>
          <w:vertAlign w:val="subscript"/>
        </w:rPr>
        <w:t>2</w:t>
      </w:r>
      <w:r w:rsidRPr="005C4B49">
        <w:rPr>
          <w:i/>
          <w:iCs/>
        </w:rPr>
        <w:t>.</w:t>
      </w:r>
    </w:p>
    <w:p w14:paraId="4A505133" w14:textId="77777777" w:rsidR="00A23578" w:rsidRDefault="00A23578" w:rsidP="00B1738B">
      <w:pPr>
        <w:spacing w:line="240" w:lineRule="auto"/>
        <w:contextualSpacing/>
        <w:rPr>
          <w:bCs/>
        </w:rPr>
      </w:pPr>
    </w:p>
    <w:p w14:paraId="59F08A19" w14:textId="0FDBF49D" w:rsidR="00867FDB" w:rsidRDefault="009A2CCA" w:rsidP="00B1738B">
      <w:pPr>
        <w:spacing w:line="240" w:lineRule="auto"/>
        <w:contextualSpacing/>
      </w:pPr>
      <w:r>
        <w:rPr>
          <w:bCs/>
        </w:rPr>
        <w:t xml:space="preserve">ACSC provided </w:t>
      </w:r>
      <w:r w:rsidR="00CF1022">
        <w:rPr>
          <w:bCs/>
        </w:rPr>
        <w:t>little</w:t>
      </w:r>
      <w:r>
        <w:rPr>
          <w:bCs/>
        </w:rPr>
        <w:t xml:space="preserve"> evidence to support its speculation that addition of DSI followed by the existing ESPs would result in non-compliance with particulate or mercury emission limits. On the contrary, </w:t>
      </w:r>
      <w:r w:rsidRPr="007B78CB">
        <w:rPr>
          <w:bCs/>
        </w:rPr>
        <w:t>NPS</w:t>
      </w:r>
      <w:r w:rsidRPr="00341B01">
        <w:rPr>
          <w:bCs/>
        </w:rPr>
        <w:t xml:space="preserve"> </w:t>
      </w:r>
      <w:r>
        <w:rPr>
          <w:bCs/>
        </w:rPr>
        <w:t xml:space="preserve">review </w:t>
      </w:r>
      <w:r w:rsidR="00867FDB" w:rsidRPr="005C4B49">
        <w:rPr>
          <w:bCs/>
        </w:rPr>
        <w:t xml:space="preserve">finds substantial evidence to refute the HDR finding that DSI cannot be added without replacing the ESPs with baghouses. The S&amp;L DSI documentation states, </w:t>
      </w:r>
      <w:r w:rsidR="00867FDB" w:rsidRPr="005C4B49">
        <w:rPr>
          <w:i/>
          <w:iCs/>
        </w:rPr>
        <w:t xml:space="preserve">“Trona, when captured in an ESP, typically removes 40 to 50% of </w:t>
      </w:r>
      <w:r w:rsidR="00867FDB" w:rsidRPr="00A9462F">
        <w:t>SO</w:t>
      </w:r>
      <w:r w:rsidR="00867FDB" w:rsidRPr="00A9462F">
        <w:rPr>
          <w:vertAlign w:val="subscript"/>
        </w:rPr>
        <w:t>2</w:t>
      </w:r>
      <w:r w:rsidR="00867FDB" w:rsidRPr="005C4B49">
        <w:rPr>
          <w:i/>
          <w:iCs/>
        </w:rPr>
        <w:t xml:space="preserve"> without an increase in particulate emissions…”</w:t>
      </w:r>
      <w:r w:rsidR="00867FDB" w:rsidRPr="005C4B49">
        <w:rPr>
          <w:vertAlign w:val="superscript"/>
        </w:rPr>
        <w:footnoteReference w:id="10"/>
      </w:r>
      <w:r w:rsidR="00867FDB" w:rsidRPr="005C4B49">
        <w:t xml:space="preserve"> The IPM DSI models include both ESPs and baghouses. The S&amp;L DSI IPM model assumes that DSI with milled trona, for example, can achieve 70% removal when followed by an electrostatic precipitator (ESP) and 90% when followed by a baghouse (BGH). Also, NPS review of EPA’s Clean Air Markets Data (CAMD) indicates that DSI can achieve 0.10 </w:t>
      </w:r>
      <w:proofErr w:type="spellStart"/>
      <w:r w:rsidR="00867FDB" w:rsidRPr="005C4B49">
        <w:t>lb</w:t>
      </w:r>
      <w:proofErr w:type="spellEnd"/>
      <w:r w:rsidR="00867FDB" w:rsidRPr="005C4B49">
        <w:t>/</w:t>
      </w:r>
      <w:proofErr w:type="spellStart"/>
      <w:r w:rsidR="00867FDB" w:rsidRPr="005C4B49">
        <w:t>mmbtu</w:t>
      </w:r>
      <w:proofErr w:type="spellEnd"/>
      <w:r w:rsidR="00867FDB" w:rsidRPr="005C4B49">
        <w:t xml:space="preserve"> when followed by an ESP</w:t>
      </w:r>
      <w:r>
        <w:rPr>
          <w:rStyle w:val="FootnoteReference"/>
        </w:rPr>
        <w:footnoteReference w:id="11"/>
      </w:r>
      <w:r w:rsidR="00867FDB" w:rsidRPr="005C4B49">
        <w:t xml:space="preserve"> and 0.08 </w:t>
      </w:r>
      <w:proofErr w:type="spellStart"/>
      <w:r w:rsidR="00867FDB" w:rsidRPr="005C4B49">
        <w:t>lb</w:t>
      </w:r>
      <w:proofErr w:type="spellEnd"/>
      <w:r w:rsidR="00867FDB" w:rsidRPr="005C4B49">
        <w:t>/</w:t>
      </w:r>
      <w:proofErr w:type="spellStart"/>
      <w:r w:rsidR="00867FDB" w:rsidRPr="005C4B49">
        <w:t>mmBtu</w:t>
      </w:r>
      <w:proofErr w:type="spellEnd"/>
      <w:r w:rsidR="00867FDB" w:rsidRPr="005C4B49">
        <w:t xml:space="preserve"> when followed by a baghouse</w:t>
      </w:r>
      <w:r>
        <w:rPr>
          <w:rStyle w:val="FootnoteReference"/>
        </w:rPr>
        <w:footnoteReference w:id="12"/>
      </w:r>
      <w:r w:rsidR="00867FDB" w:rsidRPr="005C4B49">
        <w:t xml:space="preserve">. Furthermore, </w:t>
      </w:r>
      <w:r>
        <w:t>CAMD</w:t>
      </w:r>
      <w:r w:rsidR="00867FDB" w:rsidRPr="005C4B49">
        <w:t xml:space="preserve"> data for 2021 include several coal-fired Electric Generating Units (EGUs) with DSI and ESPs.</w:t>
      </w:r>
      <w:r w:rsidR="00867FDB">
        <w:t xml:space="preserve"> (See Table 1 above).</w:t>
      </w:r>
    </w:p>
    <w:p w14:paraId="2659EFCF" w14:textId="77777777" w:rsidR="00D65868" w:rsidRDefault="00D65868">
      <w:pPr>
        <w:rPr>
          <w:rFonts w:asciiTheme="majorHAnsi" w:eastAsiaTheme="majorEastAsia" w:hAnsiTheme="majorHAnsi" w:cstheme="majorBidi"/>
          <w:i/>
          <w:iCs/>
          <w:color w:val="2F5496" w:themeColor="accent1" w:themeShade="BF"/>
        </w:rPr>
      </w:pPr>
      <w:r>
        <w:br w:type="page"/>
      </w:r>
    </w:p>
    <w:p w14:paraId="35814BC8" w14:textId="19672DEF" w:rsidR="0048455A" w:rsidRDefault="0048455A" w:rsidP="0048455A">
      <w:pPr>
        <w:pStyle w:val="Heading4"/>
        <w:spacing w:line="240" w:lineRule="auto"/>
        <w:contextualSpacing/>
      </w:pPr>
      <w:r>
        <w:t>Statutory Factor 1: Cost of Compliance</w:t>
      </w:r>
    </w:p>
    <w:p w14:paraId="0E9EF806" w14:textId="77777777" w:rsidR="00A23578" w:rsidRDefault="00A23578" w:rsidP="00B1738B">
      <w:pPr>
        <w:spacing w:line="240" w:lineRule="auto"/>
        <w:contextualSpacing/>
        <w:rPr>
          <w:bCs/>
        </w:rPr>
      </w:pPr>
    </w:p>
    <w:p w14:paraId="5260B48A" w14:textId="0647E168" w:rsidR="00867FDB" w:rsidRPr="00BE57A6" w:rsidRDefault="00867FDB" w:rsidP="00B1738B">
      <w:pPr>
        <w:spacing w:line="240" w:lineRule="auto"/>
        <w:contextualSpacing/>
        <w:rPr>
          <w:bCs/>
        </w:rPr>
      </w:pPr>
      <w:r w:rsidRPr="00BE57A6">
        <w:rPr>
          <w:bCs/>
        </w:rPr>
        <w:t>In its 2022 submittal, HDR states:</w:t>
      </w:r>
    </w:p>
    <w:p w14:paraId="62FAE6E0" w14:textId="77777777" w:rsidR="00867FDB" w:rsidRPr="00BE57A6" w:rsidRDefault="00867FDB" w:rsidP="00B1738B">
      <w:pPr>
        <w:spacing w:line="240" w:lineRule="auto"/>
        <w:ind w:left="720"/>
        <w:contextualSpacing/>
        <w:rPr>
          <w:i/>
          <w:iCs/>
        </w:rPr>
      </w:pPr>
      <w:r w:rsidRPr="00BE57A6">
        <w:rPr>
          <w:i/>
          <w:iCs/>
        </w:rPr>
        <w:t>American Crystal Sugar Company (ACSCC) obtained site-specific vendor quotes for Dry Sorbent Injection (DSI) equipment in order to verify estimated capital equipment and annual operating costs included in the original Four Factor Analysis (FFA) for the ACSCC East Grand Forks (EGF) and Crookston (CRK) facilities.</w:t>
      </w:r>
    </w:p>
    <w:p w14:paraId="2D2FE656" w14:textId="77777777" w:rsidR="00DA7793" w:rsidRDefault="00DA7793" w:rsidP="00DA7793">
      <w:pPr>
        <w:spacing w:line="240" w:lineRule="auto"/>
        <w:contextualSpacing/>
        <w:rPr>
          <w:bCs/>
        </w:rPr>
      </w:pPr>
    </w:p>
    <w:p w14:paraId="26939D56" w14:textId="0807C57C" w:rsidR="00DA7793" w:rsidRDefault="00DA7793" w:rsidP="00DA7793">
      <w:pPr>
        <w:spacing w:line="240" w:lineRule="auto"/>
        <w:contextualSpacing/>
        <w:rPr>
          <w:bCs/>
        </w:rPr>
      </w:pPr>
      <w:r>
        <w:rPr>
          <w:bCs/>
        </w:rPr>
        <w:t xml:space="preserve">However, it did not provide the vendor information supporting its costs for DSI (and a new baghouse) and NPS cannot evaluate the use of that information. </w:t>
      </w:r>
    </w:p>
    <w:p w14:paraId="554A9978" w14:textId="77777777" w:rsidR="00A23578" w:rsidRDefault="00A23578" w:rsidP="00B1738B">
      <w:pPr>
        <w:spacing w:line="240" w:lineRule="auto"/>
        <w:contextualSpacing/>
      </w:pPr>
    </w:p>
    <w:p w14:paraId="6C2B640A" w14:textId="77777777" w:rsidR="009A2CCA" w:rsidRPr="00751BAD" w:rsidRDefault="009A2CCA" w:rsidP="009A2CCA">
      <w:pPr>
        <w:spacing w:line="240" w:lineRule="auto"/>
        <w:contextualSpacing/>
      </w:pPr>
      <w:r>
        <w:rPr>
          <w:bCs/>
        </w:rPr>
        <w:t xml:space="preserve">In the revised analysis, </w:t>
      </w:r>
      <w:r w:rsidRPr="00751BAD">
        <w:rPr>
          <w:bCs/>
        </w:rPr>
        <w:t>HDR’s cost-effectiveness of DSI increased to above $10,000/ton. Many of the costs in ACSC’s Tables 4 &amp; 5 and HDR’s Table 2 are overestimated</w:t>
      </w:r>
      <w:r>
        <w:rPr>
          <w:bCs/>
        </w:rPr>
        <w:t xml:space="preserve"> and </w:t>
      </w:r>
      <w:r>
        <w:t>NPS</w:t>
      </w:r>
      <w:r w:rsidRPr="00751BAD">
        <w:t xml:space="preserve"> review of the HDR submittal </w:t>
      </w:r>
      <w:r>
        <w:t>identifies</w:t>
      </w:r>
      <w:r w:rsidRPr="00751BAD">
        <w:t xml:space="preserve"> these issues:</w:t>
      </w:r>
    </w:p>
    <w:p w14:paraId="57A9CEAA" w14:textId="77777777" w:rsidR="009A2CCA" w:rsidRDefault="009A2CCA" w:rsidP="009A2CCA">
      <w:pPr>
        <w:pStyle w:val="ListParagraph"/>
      </w:pPr>
      <w:r w:rsidRPr="00751BAD">
        <w:t xml:space="preserve">ACSC used a 20-year life for DSI; the CCM recommends 30 years for </w:t>
      </w:r>
      <w:r w:rsidRPr="00A9462F">
        <w:t>SO</w:t>
      </w:r>
      <w:r w:rsidRPr="00A9462F">
        <w:rPr>
          <w:vertAlign w:val="subscript"/>
        </w:rPr>
        <w:t>2</w:t>
      </w:r>
      <w:r w:rsidRPr="00751BAD">
        <w:t xml:space="preserve"> scrubbers.</w:t>
      </w:r>
    </w:p>
    <w:p w14:paraId="286A337D" w14:textId="552B1D83" w:rsidR="009A2CCA" w:rsidRDefault="009A2CCA" w:rsidP="009A2CCA">
      <w:pPr>
        <w:pStyle w:val="ListParagraph"/>
      </w:pPr>
      <w:r w:rsidRPr="00B65AE3">
        <w:t>ACSC</w:t>
      </w:r>
      <w:r>
        <w:t>’s</w:t>
      </w:r>
      <w:r w:rsidRPr="00B65AE3">
        <w:t xml:space="preserve"> </w:t>
      </w:r>
      <w:r>
        <w:t>four-factor analyses assume</w:t>
      </w:r>
      <w:r w:rsidRPr="00B65AE3">
        <w:t xml:space="preserve"> that DSI </w:t>
      </w:r>
      <w:r>
        <w:t xml:space="preserve">with milled trona and a baghouse </w:t>
      </w:r>
      <w:r w:rsidRPr="00B65AE3">
        <w:t xml:space="preserve">can achieve </w:t>
      </w:r>
      <w:r w:rsidR="0048455A">
        <w:t>70%</w:t>
      </w:r>
      <w:r w:rsidRPr="00B65AE3">
        <w:t xml:space="preserve"> control</w:t>
      </w:r>
      <w:r>
        <w:t xml:space="preserve"> versus 90% control in the S&amp;L IPM model.</w:t>
      </w:r>
    </w:p>
    <w:p w14:paraId="0D461330" w14:textId="35115117" w:rsidR="009A2CCA" w:rsidRPr="00751BAD" w:rsidRDefault="009A2CCA" w:rsidP="009A2CCA">
      <w:pPr>
        <w:pStyle w:val="ListParagraph"/>
      </w:pPr>
      <w:r w:rsidRPr="00751BAD">
        <w:t>HDR proposes to “Extend three stacks to 200 ft.”</w:t>
      </w:r>
      <w:r>
        <w:t xml:space="preserve"> </w:t>
      </w:r>
      <w:r w:rsidRPr="007C48DE">
        <w:rPr>
          <w:bCs/>
        </w:rPr>
        <w:t xml:space="preserve">It is unclear why it would be necessary to extend </w:t>
      </w:r>
      <w:r>
        <w:rPr>
          <w:bCs/>
        </w:rPr>
        <w:t>two</w:t>
      </w:r>
      <w:r w:rsidRPr="007C48DE">
        <w:rPr>
          <w:bCs/>
        </w:rPr>
        <w:t xml:space="preserve"> stacks to 200ft as HDR proposes. This likely represents an unjustified expense. </w:t>
      </w:r>
    </w:p>
    <w:p w14:paraId="0955BA27" w14:textId="5FE092BD" w:rsidR="00CF1022" w:rsidRDefault="009A2CCA" w:rsidP="00CF1022">
      <w:pPr>
        <w:rPr>
          <w:bCs/>
        </w:rPr>
      </w:pPr>
      <w:r w:rsidRPr="00CF1022">
        <w:rPr>
          <w:bCs/>
        </w:rPr>
        <w:t xml:space="preserve">MPCA appears to have used much of the HDR cost estimates without addressing </w:t>
      </w:r>
      <w:r w:rsidR="00CF1022">
        <w:rPr>
          <w:bCs/>
        </w:rPr>
        <w:t xml:space="preserve">all of </w:t>
      </w:r>
      <w:r w:rsidRPr="00CF1022">
        <w:rPr>
          <w:bCs/>
        </w:rPr>
        <w:t xml:space="preserve">these issues. </w:t>
      </w:r>
    </w:p>
    <w:p w14:paraId="7FB50691" w14:textId="017A99B0" w:rsidR="00DA7793" w:rsidRDefault="08BD15A6" w:rsidP="00DA7793">
      <w:pPr>
        <w:pStyle w:val="Default"/>
      </w:pPr>
      <w:r>
        <w:t xml:space="preserve">The NPS also questions the cost of a new fabric filter baghouse. HDR refers to a “Capital equipment cost provided by vendor and scaled for capacity” but does not provide the actual vendor quote. </w:t>
      </w:r>
    </w:p>
    <w:p w14:paraId="184BE051" w14:textId="5A40B6E3" w:rsidR="009A2CCA" w:rsidRPr="00CF1022" w:rsidRDefault="009A2CCA" w:rsidP="00CF1022">
      <w:pPr>
        <w:rPr>
          <w:bCs/>
        </w:rPr>
      </w:pPr>
      <w:r w:rsidRPr="00CF1022">
        <w:rPr>
          <w:bCs/>
        </w:rPr>
        <w:t>Instead, NPS analyses applied the current EPA CCM workbooks for wet and dry scrubbers, ESPs, and baghouses, as well as the current S&amp;L model for DSI with milled trona and:</w:t>
      </w:r>
    </w:p>
    <w:p w14:paraId="1630F61F" w14:textId="77777777" w:rsidR="009A2CCA" w:rsidRDefault="009A2CCA" w:rsidP="009A2CCA">
      <w:pPr>
        <w:pStyle w:val="ListParagraph"/>
      </w:pPr>
      <w:r w:rsidRPr="00751BAD">
        <w:t xml:space="preserve">the existing ESP at </w:t>
      </w:r>
      <w:r>
        <w:t>4</w:t>
      </w:r>
      <w:r w:rsidRPr="00751BAD">
        <w:t>0% control</w:t>
      </w:r>
    </w:p>
    <w:p w14:paraId="78FF82F5" w14:textId="4502C449" w:rsidR="009A2CCA" w:rsidRDefault="009A2CCA" w:rsidP="009A2CCA">
      <w:pPr>
        <w:pStyle w:val="ListParagraph"/>
      </w:pPr>
      <w:r w:rsidRPr="00751BAD">
        <w:t xml:space="preserve">a baghouse at 80% </w:t>
      </w:r>
      <w:r w:rsidRPr="00A9462F">
        <w:t>SO</w:t>
      </w:r>
      <w:r w:rsidRPr="009A2CCA">
        <w:rPr>
          <w:vertAlign w:val="subscript"/>
        </w:rPr>
        <w:t>2</w:t>
      </w:r>
      <w:r w:rsidRPr="00751BAD">
        <w:t xml:space="preserve"> control </w:t>
      </w:r>
    </w:p>
    <w:p w14:paraId="0D50CA54" w14:textId="6F10F7CE" w:rsidR="00867FDB" w:rsidRDefault="00867FDB" w:rsidP="009A2CCA">
      <w:pPr>
        <w:spacing w:line="240" w:lineRule="auto"/>
        <w:contextualSpacing/>
      </w:pPr>
      <w:r w:rsidRPr="00BE57A6">
        <w:rPr>
          <w:bCs/>
        </w:rPr>
        <w:t xml:space="preserve">NPS analyses applied a retrofit factor = 1.0 assuming that the new baghouses could be installed within the footprint of, or inside the shells of, the ESPs. </w:t>
      </w:r>
      <w:r w:rsidRPr="00BE57A6">
        <w:t xml:space="preserve">NPS assumed equipment lives of 30 years for </w:t>
      </w:r>
      <w:r w:rsidR="00A23578">
        <w:t>DSI</w:t>
      </w:r>
      <w:r w:rsidRPr="00BE57A6">
        <w:t xml:space="preserve"> and 20 years for a new baghouse.</w:t>
      </w:r>
    </w:p>
    <w:p w14:paraId="36F63A77" w14:textId="77777777" w:rsidR="00A23578" w:rsidRPr="00BE57A6" w:rsidRDefault="00A23578" w:rsidP="00B1738B">
      <w:pPr>
        <w:spacing w:line="240" w:lineRule="auto"/>
        <w:contextualSpacing/>
      </w:pPr>
    </w:p>
    <w:p w14:paraId="6F6EAE9C" w14:textId="40C0D1C6" w:rsidR="00867FDB" w:rsidRDefault="00867FDB" w:rsidP="00B1738B">
      <w:pPr>
        <w:spacing w:line="240" w:lineRule="auto"/>
        <w:contextualSpacing/>
      </w:pPr>
      <w:r w:rsidRPr="00BE57A6">
        <w:t>The NPS analysis used the CCM to estimate ESP operating cost savings (see ESP workbook). ESP purchased equipment costs were scaled up from the CCM example using the six-tenths power rule based upon gas flow provided by ACSC. Other costs were scaled up based upon a straight gas flow ratio. The CEPCI 20</w:t>
      </w:r>
      <w:r w:rsidR="00A23578">
        <w:t>19</w:t>
      </w:r>
      <w:r w:rsidRPr="00BE57A6">
        <w:t>/1987 ratio was applied to estimate total capital investment. The NPS included ACSC’s $200,000 for demolition of the ESPs and estimate that saved ESP operating costs would be about $</w:t>
      </w:r>
      <w:r w:rsidR="00A735D1">
        <w:t>623</w:t>
      </w:r>
      <w:r w:rsidRPr="00BE57A6">
        <w:t>,000/yr.</w:t>
      </w:r>
    </w:p>
    <w:p w14:paraId="32B97355" w14:textId="77777777" w:rsidR="00A23578" w:rsidRPr="00BE57A6" w:rsidRDefault="00A23578" w:rsidP="00B1738B">
      <w:pPr>
        <w:spacing w:line="240" w:lineRule="auto"/>
        <w:contextualSpacing/>
      </w:pPr>
    </w:p>
    <w:p w14:paraId="6984A43E" w14:textId="17D4FC18" w:rsidR="00867FDB" w:rsidRDefault="00867FDB" w:rsidP="00B1738B">
      <w:pPr>
        <w:spacing w:line="240" w:lineRule="auto"/>
        <w:contextualSpacing/>
        <w:rPr>
          <w:bCs/>
          <w:i/>
          <w:iCs/>
          <w:color w:val="44546A" w:themeColor="text2"/>
          <w:sz w:val="22"/>
          <w:szCs w:val="18"/>
        </w:rPr>
      </w:pPr>
      <w:r w:rsidRPr="00BE57A6">
        <w:t>The NPS analysis used the CCM to estimate baghouse costs (see baghouse workbook). Some baghouse purchased equipment costs were scaled up from the CCM example using the six-tenths power rule based upon gas flow provided by ACSC. Other equipment costs were scaled up based upon a straight gas flow ratio. The CEPCI 20</w:t>
      </w:r>
      <w:r w:rsidR="00A23578">
        <w:t>19</w:t>
      </w:r>
      <w:r w:rsidRPr="00BE57A6">
        <w:t xml:space="preserve">/1998 ratio to estimate total capital investment. </w:t>
      </w:r>
    </w:p>
    <w:p w14:paraId="3DC89528" w14:textId="5A8F5B40" w:rsidR="00867FDB" w:rsidRDefault="00867FDB" w:rsidP="00B1738B">
      <w:pPr>
        <w:pStyle w:val="Caption"/>
        <w:contextualSpacing/>
      </w:pPr>
      <w:r>
        <w:t xml:space="preserve">Table </w:t>
      </w:r>
      <w:r>
        <w:fldChar w:fldCharType="begin"/>
      </w:r>
      <w:r>
        <w:instrText>SEQ Table \* ARABIC</w:instrText>
      </w:r>
      <w:r>
        <w:fldChar w:fldCharType="separate"/>
      </w:r>
      <w:r>
        <w:rPr>
          <w:noProof/>
        </w:rPr>
        <w:t>6</w:t>
      </w:r>
      <w:r>
        <w:fldChar w:fldCharType="end"/>
      </w:r>
      <w:r w:rsidRPr="00BE57A6">
        <w:t xml:space="preserve">. NPS </w:t>
      </w:r>
      <w:r w:rsidRPr="00A9462F">
        <w:t>SO</w:t>
      </w:r>
      <w:r w:rsidRPr="00A9462F">
        <w:rPr>
          <w:vertAlign w:val="subscript"/>
        </w:rPr>
        <w:t>2</w:t>
      </w:r>
      <w:r w:rsidRPr="00BE57A6">
        <w:t xml:space="preserve"> Control Cost Estimates for DSI at </w:t>
      </w:r>
      <w:r>
        <w:t>EGF</w:t>
      </w:r>
      <w:r w:rsidRPr="00BE57A6">
        <w:t xml:space="preserve"> </w:t>
      </w:r>
    </w:p>
    <w:tbl>
      <w:tblPr>
        <w:tblW w:w="5000" w:type="pct"/>
        <w:tblLook w:val="04A0" w:firstRow="1" w:lastRow="0" w:firstColumn="1" w:lastColumn="0" w:noHBand="0" w:noVBand="1"/>
      </w:tblPr>
      <w:tblGrid>
        <w:gridCol w:w="3929"/>
        <w:gridCol w:w="1431"/>
        <w:gridCol w:w="1476"/>
        <w:gridCol w:w="1252"/>
        <w:gridCol w:w="1252"/>
      </w:tblGrid>
      <w:tr w:rsidR="00A23578" w:rsidRPr="00A23578" w14:paraId="1A4A71BE" w14:textId="77777777" w:rsidTr="3328C818">
        <w:trPr>
          <w:trHeight w:val="300"/>
        </w:trPr>
        <w:tc>
          <w:tcPr>
            <w:tcW w:w="2104" w:type="pct"/>
            <w:tcBorders>
              <w:top w:val="single" w:sz="8" w:space="0" w:color="auto"/>
              <w:left w:val="single" w:sz="8" w:space="0" w:color="auto"/>
              <w:bottom w:val="single" w:sz="4" w:space="0" w:color="auto"/>
              <w:right w:val="nil"/>
            </w:tcBorders>
            <w:shd w:val="clear" w:color="auto" w:fill="auto"/>
            <w:noWrap/>
            <w:vAlign w:val="bottom"/>
            <w:hideMark/>
          </w:tcPr>
          <w:p w14:paraId="72B9CEF7" w14:textId="77777777" w:rsidR="00A23578" w:rsidRPr="00A23578" w:rsidRDefault="00A23578" w:rsidP="001B0492">
            <w:pPr>
              <w:pStyle w:val="Table-Text"/>
              <w:rPr>
                <w:rFonts w:eastAsia="Times New Roman" w:cs="Times New Roman"/>
                <w:color w:val="000000"/>
              </w:rPr>
            </w:pPr>
            <w:r w:rsidRPr="001B0492">
              <w:rPr>
                <w:b/>
              </w:rPr>
              <w:t>ACS EGF Boilers 1 &amp; 2</w:t>
            </w:r>
          </w:p>
        </w:tc>
        <w:tc>
          <w:tcPr>
            <w:tcW w:w="766" w:type="pct"/>
            <w:vMerge w:val="restart"/>
            <w:tcBorders>
              <w:top w:val="single" w:sz="8" w:space="0" w:color="auto"/>
              <w:left w:val="single" w:sz="8" w:space="0" w:color="auto"/>
              <w:bottom w:val="single" w:sz="8" w:space="0" w:color="000000" w:themeColor="text1"/>
              <w:right w:val="single" w:sz="4" w:space="0" w:color="auto"/>
            </w:tcBorders>
            <w:shd w:val="clear" w:color="auto" w:fill="auto"/>
            <w:vAlign w:val="center"/>
            <w:hideMark/>
          </w:tcPr>
          <w:p w14:paraId="5942948A" w14:textId="77777777" w:rsidR="00A23578" w:rsidRPr="00A23578" w:rsidRDefault="2213B180" w:rsidP="3328C818">
            <w:pPr>
              <w:pStyle w:val="Table-Text"/>
              <w:jc w:val="center"/>
              <w:rPr>
                <w:rFonts w:eastAsia="Times New Roman" w:cs="Times New Roman"/>
                <w:color w:val="000000"/>
              </w:rPr>
            </w:pPr>
            <w:r w:rsidRPr="3328C818">
              <w:rPr>
                <w:b/>
                <w:bCs/>
              </w:rPr>
              <w:t>DSI w Milled Trona w Existing ESP</w:t>
            </w:r>
          </w:p>
        </w:tc>
        <w:tc>
          <w:tcPr>
            <w:tcW w:w="2130" w:type="pct"/>
            <w:gridSpan w:val="3"/>
            <w:tcBorders>
              <w:top w:val="single" w:sz="8" w:space="0" w:color="auto"/>
              <w:left w:val="nil"/>
              <w:bottom w:val="single" w:sz="8" w:space="0" w:color="auto"/>
              <w:right w:val="single" w:sz="8" w:space="0" w:color="000000" w:themeColor="text1"/>
            </w:tcBorders>
            <w:shd w:val="clear" w:color="auto" w:fill="auto"/>
            <w:noWrap/>
            <w:vAlign w:val="center"/>
            <w:hideMark/>
          </w:tcPr>
          <w:p w14:paraId="6A4954E3" w14:textId="77777777" w:rsidR="00A23578" w:rsidRPr="00A23578" w:rsidRDefault="2213B180" w:rsidP="3328C818">
            <w:pPr>
              <w:pStyle w:val="Table-Text"/>
              <w:jc w:val="center"/>
              <w:rPr>
                <w:rFonts w:eastAsia="Times New Roman" w:cs="Times New Roman"/>
                <w:color w:val="000000"/>
              </w:rPr>
            </w:pPr>
            <w:r w:rsidRPr="3328C818">
              <w:rPr>
                <w:b/>
                <w:bCs/>
              </w:rPr>
              <w:t>Combined DSI w Milled Trona</w:t>
            </w:r>
          </w:p>
        </w:tc>
      </w:tr>
      <w:tr w:rsidR="00A23578" w:rsidRPr="00A23578" w14:paraId="0896165F" w14:textId="77777777" w:rsidTr="3328C818">
        <w:trPr>
          <w:trHeight w:val="930"/>
        </w:trPr>
        <w:tc>
          <w:tcPr>
            <w:tcW w:w="2104" w:type="pct"/>
            <w:tcBorders>
              <w:top w:val="nil"/>
              <w:left w:val="single" w:sz="8" w:space="0" w:color="auto"/>
              <w:bottom w:val="single" w:sz="8" w:space="0" w:color="auto"/>
              <w:right w:val="nil"/>
            </w:tcBorders>
            <w:shd w:val="clear" w:color="auto" w:fill="auto"/>
            <w:noWrap/>
            <w:vAlign w:val="center"/>
            <w:hideMark/>
          </w:tcPr>
          <w:p w14:paraId="34FA415E" w14:textId="77777777" w:rsidR="00A23578" w:rsidRPr="00A23578" w:rsidRDefault="00A23578" w:rsidP="001B0492">
            <w:pPr>
              <w:pStyle w:val="Table-Text"/>
              <w:rPr>
                <w:rFonts w:eastAsia="Times New Roman" w:cs="Times New Roman"/>
                <w:color w:val="000000"/>
              </w:rPr>
            </w:pPr>
            <w:r w:rsidRPr="001B0492">
              <w:rPr>
                <w:b/>
              </w:rPr>
              <w:t>Control Technology</w:t>
            </w:r>
          </w:p>
        </w:tc>
        <w:tc>
          <w:tcPr>
            <w:tcW w:w="766" w:type="pct"/>
            <w:vMerge/>
            <w:vAlign w:val="center"/>
            <w:hideMark/>
          </w:tcPr>
          <w:p w14:paraId="4C20A0E5" w14:textId="77777777" w:rsidR="00A23578" w:rsidRPr="001B0492" w:rsidRDefault="00A23578" w:rsidP="001B0492">
            <w:pPr>
              <w:pStyle w:val="Table-Text"/>
              <w:rPr>
                <w:b/>
              </w:rPr>
            </w:pPr>
          </w:p>
        </w:tc>
        <w:tc>
          <w:tcPr>
            <w:tcW w:w="790" w:type="pct"/>
            <w:tcBorders>
              <w:top w:val="nil"/>
              <w:left w:val="single" w:sz="8" w:space="0" w:color="auto"/>
              <w:bottom w:val="single" w:sz="8" w:space="0" w:color="auto"/>
              <w:right w:val="single" w:sz="4" w:space="0" w:color="auto"/>
            </w:tcBorders>
            <w:shd w:val="clear" w:color="auto" w:fill="auto"/>
            <w:vAlign w:val="center"/>
            <w:hideMark/>
          </w:tcPr>
          <w:p w14:paraId="1AC9408B" w14:textId="77777777" w:rsidR="00A23578" w:rsidRPr="00A23578" w:rsidRDefault="2213B180" w:rsidP="3328C818">
            <w:pPr>
              <w:pStyle w:val="Table-Text"/>
              <w:jc w:val="center"/>
              <w:rPr>
                <w:rFonts w:eastAsia="Times New Roman" w:cs="Times New Roman"/>
                <w:color w:val="000000"/>
              </w:rPr>
            </w:pPr>
            <w:r w:rsidRPr="3328C818">
              <w:rPr>
                <w:b/>
                <w:bCs/>
              </w:rPr>
              <w:t>Combined DSI w BGH</w:t>
            </w:r>
          </w:p>
        </w:tc>
        <w:tc>
          <w:tcPr>
            <w:tcW w:w="670" w:type="pct"/>
            <w:tcBorders>
              <w:top w:val="nil"/>
              <w:left w:val="nil"/>
              <w:bottom w:val="single" w:sz="8" w:space="0" w:color="auto"/>
              <w:right w:val="single" w:sz="4" w:space="0" w:color="auto"/>
            </w:tcBorders>
            <w:shd w:val="clear" w:color="auto" w:fill="auto"/>
            <w:vAlign w:val="center"/>
            <w:hideMark/>
          </w:tcPr>
          <w:p w14:paraId="35BDD5AF" w14:textId="77777777" w:rsidR="00A23578" w:rsidRPr="00A23578" w:rsidRDefault="2213B180" w:rsidP="3328C818">
            <w:pPr>
              <w:pStyle w:val="Table-Text"/>
              <w:jc w:val="center"/>
              <w:rPr>
                <w:rFonts w:eastAsia="Times New Roman" w:cs="Times New Roman"/>
                <w:color w:val="000000"/>
              </w:rPr>
            </w:pPr>
            <w:r w:rsidRPr="3328C818">
              <w:rPr>
                <w:b/>
                <w:bCs/>
              </w:rPr>
              <w:t>Combined New Baghouse</w:t>
            </w:r>
          </w:p>
        </w:tc>
        <w:tc>
          <w:tcPr>
            <w:tcW w:w="670" w:type="pct"/>
            <w:tcBorders>
              <w:top w:val="nil"/>
              <w:left w:val="nil"/>
              <w:bottom w:val="single" w:sz="8" w:space="0" w:color="auto"/>
              <w:right w:val="single" w:sz="8" w:space="0" w:color="auto"/>
            </w:tcBorders>
            <w:shd w:val="clear" w:color="auto" w:fill="auto"/>
            <w:noWrap/>
            <w:vAlign w:val="center"/>
            <w:hideMark/>
          </w:tcPr>
          <w:p w14:paraId="4EBB7576" w14:textId="77777777" w:rsidR="00A23578" w:rsidRPr="00A23578" w:rsidRDefault="2213B180" w:rsidP="3328C818">
            <w:pPr>
              <w:pStyle w:val="Table-Text"/>
              <w:jc w:val="center"/>
              <w:rPr>
                <w:rFonts w:eastAsia="Times New Roman" w:cs="Times New Roman"/>
                <w:color w:val="000000"/>
              </w:rPr>
            </w:pPr>
            <w:r w:rsidRPr="3328C818">
              <w:rPr>
                <w:b/>
                <w:bCs/>
              </w:rPr>
              <w:t>Totals</w:t>
            </w:r>
          </w:p>
        </w:tc>
      </w:tr>
      <w:tr w:rsidR="00A23578" w:rsidRPr="00A23578" w14:paraId="3F4B8BB0" w14:textId="77777777" w:rsidTr="3328C818">
        <w:trPr>
          <w:trHeight w:hRule="exact" w:val="288"/>
        </w:trPr>
        <w:tc>
          <w:tcPr>
            <w:tcW w:w="2104" w:type="pct"/>
            <w:tcBorders>
              <w:top w:val="nil"/>
              <w:left w:val="single" w:sz="8" w:space="0" w:color="auto"/>
              <w:bottom w:val="single" w:sz="4" w:space="0" w:color="auto"/>
              <w:right w:val="nil"/>
            </w:tcBorders>
            <w:shd w:val="clear" w:color="auto" w:fill="auto"/>
            <w:noWrap/>
            <w:vAlign w:val="center"/>
            <w:hideMark/>
          </w:tcPr>
          <w:p w14:paraId="00E50093" w14:textId="77777777" w:rsidR="00A23578" w:rsidRPr="00A23578" w:rsidRDefault="00A23578" w:rsidP="001B0492">
            <w:pPr>
              <w:pStyle w:val="Table-Text"/>
              <w:rPr>
                <w:rFonts w:eastAsia="Times New Roman" w:cs="Times New Roman"/>
                <w:color w:val="000000"/>
              </w:rPr>
            </w:pPr>
            <w:r w:rsidRPr="00A23578">
              <w:t>Capacity (MW)</w:t>
            </w:r>
          </w:p>
        </w:tc>
        <w:tc>
          <w:tcPr>
            <w:tcW w:w="766" w:type="pct"/>
            <w:tcBorders>
              <w:top w:val="nil"/>
              <w:left w:val="single" w:sz="8" w:space="0" w:color="auto"/>
              <w:bottom w:val="single" w:sz="4" w:space="0" w:color="auto"/>
              <w:right w:val="nil"/>
            </w:tcBorders>
            <w:shd w:val="clear" w:color="auto" w:fill="auto"/>
            <w:noWrap/>
            <w:vAlign w:val="center"/>
            <w:hideMark/>
          </w:tcPr>
          <w:p w14:paraId="6240C667" w14:textId="77777777" w:rsidR="00A23578" w:rsidRPr="00A23578" w:rsidRDefault="2213B180" w:rsidP="3328C818">
            <w:pPr>
              <w:pStyle w:val="Table-Text"/>
              <w:jc w:val="center"/>
              <w:rPr>
                <w:rFonts w:eastAsia="Times New Roman" w:cs="Times New Roman"/>
                <w:color w:val="000000"/>
              </w:rPr>
            </w:pPr>
            <w:r>
              <w:t>71.2</w:t>
            </w: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6A084770" w14:textId="77777777" w:rsidR="00A23578" w:rsidRPr="00A23578" w:rsidRDefault="2213B180" w:rsidP="3328C818">
            <w:pPr>
              <w:pStyle w:val="Table-Text"/>
              <w:jc w:val="center"/>
              <w:rPr>
                <w:rFonts w:eastAsia="Times New Roman" w:cs="Times New Roman"/>
                <w:color w:val="000000"/>
              </w:rPr>
            </w:pPr>
            <w:r>
              <w:t>71.2</w:t>
            </w:r>
          </w:p>
        </w:tc>
        <w:tc>
          <w:tcPr>
            <w:tcW w:w="670" w:type="pct"/>
            <w:tcBorders>
              <w:top w:val="nil"/>
              <w:left w:val="nil"/>
              <w:bottom w:val="single" w:sz="4" w:space="0" w:color="auto"/>
              <w:right w:val="single" w:sz="4" w:space="0" w:color="auto"/>
            </w:tcBorders>
            <w:shd w:val="clear" w:color="auto" w:fill="auto"/>
            <w:noWrap/>
            <w:vAlign w:val="center"/>
            <w:hideMark/>
          </w:tcPr>
          <w:p w14:paraId="5AA994B6" w14:textId="77777777" w:rsidR="00A23578" w:rsidRPr="00A23578" w:rsidRDefault="2213B180" w:rsidP="3328C818">
            <w:pPr>
              <w:pStyle w:val="Table-Text"/>
              <w:jc w:val="center"/>
              <w:rPr>
                <w:rFonts w:eastAsia="Times New Roman" w:cs="Times New Roman"/>
                <w:color w:val="000000"/>
              </w:rPr>
            </w:pPr>
            <w:r>
              <w:t> </w:t>
            </w:r>
          </w:p>
        </w:tc>
        <w:tc>
          <w:tcPr>
            <w:tcW w:w="670" w:type="pct"/>
            <w:tcBorders>
              <w:top w:val="nil"/>
              <w:left w:val="nil"/>
              <w:bottom w:val="single" w:sz="4" w:space="0" w:color="auto"/>
              <w:right w:val="single" w:sz="8" w:space="0" w:color="auto"/>
            </w:tcBorders>
            <w:shd w:val="clear" w:color="auto" w:fill="auto"/>
            <w:noWrap/>
            <w:vAlign w:val="center"/>
            <w:hideMark/>
          </w:tcPr>
          <w:p w14:paraId="36BB0214" w14:textId="77777777" w:rsidR="00A23578" w:rsidRPr="00A23578" w:rsidRDefault="2213B180" w:rsidP="3328C818">
            <w:pPr>
              <w:pStyle w:val="Table-Text"/>
              <w:jc w:val="center"/>
              <w:rPr>
                <w:rFonts w:eastAsia="Times New Roman" w:cs="Times New Roman"/>
                <w:color w:val="000000"/>
              </w:rPr>
            </w:pPr>
            <w:r>
              <w:t> </w:t>
            </w:r>
          </w:p>
        </w:tc>
      </w:tr>
      <w:tr w:rsidR="00A23578" w:rsidRPr="00A23578" w14:paraId="3A450470" w14:textId="77777777" w:rsidTr="3328C818">
        <w:trPr>
          <w:trHeight w:hRule="exact" w:val="288"/>
        </w:trPr>
        <w:tc>
          <w:tcPr>
            <w:tcW w:w="2104" w:type="pct"/>
            <w:tcBorders>
              <w:top w:val="nil"/>
              <w:left w:val="single" w:sz="8" w:space="0" w:color="auto"/>
              <w:bottom w:val="single" w:sz="4" w:space="0" w:color="auto"/>
              <w:right w:val="nil"/>
            </w:tcBorders>
            <w:shd w:val="clear" w:color="auto" w:fill="auto"/>
            <w:noWrap/>
            <w:vAlign w:val="center"/>
            <w:hideMark/>
          </w:tcPr>
          <w:p w14:paraId="503AB148" w14:textId="77777777" w:rsidR="00A23578" w:rsidRPr="00A23578" w:rsidRDefault="00A23578" w:rsidP="001B0492">
            <w:pPr>
              <w:pStyle w:val="Table-Text"/>
              <w:rPr>
                <w:rFonts w:eastAsia="Times New Roman" w:cs="Times New Roman"/>
                <w:color w:val="000000"/>
              </w:rPr>
            </w:pPr>
            <w:r w:rsidRPr="00A23578">
              <w:t>Retrofit factor</w:t>
            </w:r>
          </w:p>
        </w:tc>
        <w:tc>
          <w:tcPr>
            <w:tcW w:w="766" w:type="pct"/>
            <w:tcBorders>
              <w:top w:val="nil"/>
              <w:left w:val="single" w:sz="8" w:space="0" w:color="auto"/>
              <w:bottom w:val="single" w:sz="4" w:space="0" w:color="auto"/>
              <w:right w:val="nil"/>
            </w:tcBorders>
            <w:shd w:val="clear" w:color="auto" w:fill="auto"/>
            <w:noWrap/>
            <w:vAlign w:val="center"/>
            <w:hideMark/>
          </w:tcPr>
          <w:p w14:paraId="5A522F0D" w14:textId="77777777" w:rsidR="00A23578" w:rsidRPr="00A23578" w:rsidRDefault="2213B180" w:rsidP="3328C818">
            <w:pPr>
              <w:pStyle w:val="Table-Text"/>
              <w:jc w:val="center"/>
              <w:rPr>
                <w:rFonts w:eastAsia="Times New Roman" w:cs="Times New Roman"/>
                <w:color w:val="000000"/>
              </w:rPr>
            </w:pPr>
            <w:r>
              <w:t>1</w:t>
            </w: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1DE3FB4A" w14:textId="77777777" w:rsidR="00A23578" w:rsidRPr="00A23578" w:rsidRDefault="2213B180" w:rsidP="3328C818">
            <w:pPr>
              <w:pStyle w:val="Table-Text"/>
              <w:jc w:val="center"/>
              <w:rPr>
                <w:rFonts w:eastAsia="Times New Roman" w:cs="Times New Roman"/>
                <w:color w:val="000000"/>
              </w:rPr>
            </w:pPr>
            <w:r>
              <w:t>1</w:t>
            </w:r>
          </w:p>
        </w:tc>
        <w:tc>
          <w:tcPr>
            <w:tcW w:w="670" w:type="pct"/>
            <w:tcBorders>
              <w:top w:val="nil"/>
              <w:left w:val="nil"/>
              <w:bottom w:val="single" w:sz="4" w:space="0" w:color="auto"/>
              <w:right w:val="single" w:sz="4" w:space="0" w:color="auto"/>
            </w:tcBorders>
            <w:shd w:val="clear" w:color="auto" w:fill="auto"/>
            <w:noWrap/>
            <w:vAlign w:val="center"/>
            <w:hideMark/>
          </w:tcPr>
          <w:p w14:paraId="4E2BF922" w14:textId="77777777" w:rsidR="00A23578" w:rsidRPr="00A23578" w:rsidRDefault="2213B180" w:rsidP="3328C818">
            <w:pPr>
              <w:pStyle w:val="Table-Text"/>
              <w:jc w:val="center"/>
              <w:rPr>
                <w:rFonts w:eastAsia="Times New Roman" w:cs="Times New Roman"/>
                <w:color w:val="000000"/>
              </w:rPr>
            </w:pPr>
            <w:r>
              <w:t>1</w:t>
            </w:r>
          </w:p>
        </w:tc>
        <w:tc>
          <w:tcPr>
            <w:tcW w:w="670" w:type="pct"/>
            <w:tcBorders>
              <w:top w:val="nil"/>
              <w:left w:val="nil"/>
              <w:bottom w:val="single" w:sz="4" w:space="0" w:color="auto"/>
              <w:right w:val="single" w:sz="8" w:space="0" w:color="auto"/>
            </w:tcBorders>
            <w:shd w:val="clear" w:color="auto" w:fill="auto"/>
            <w:noWrap/>
            <w:vAlign w:val="center"/>
            <w:hideMark/>
          </w:tcPr>
          <w:p w14:paraId="0801707C" w14:textId="77777777" w:rsidR="00A23578" w:rsidRPr="00A23578" w:rsidRDefault="2213B180" w:rsidP="3328C818">
            <w:pPr>
              <w:pStyle w:val="Table-Text"/>
              <w:jc w:val="center"/>
              <w:rPr>
                <w:rFonts w:eastAsia="Times New Roman" w:cs="Times New Roman"/>
                <w:color w:val="000000"/>
              </w:rPr>
            </w:pPr>
            <w:r>
              <w:t> </w:t>
            </w:r>
          </w:p>
        </w:tc>
      </w:tr>
      <w:tr w:rsidR="00A23578" w:rsidRPr="00A23578" w14:paraId="4209310B" w14:textId="77777777" w:rsidTr="3328C818">
        <w:trPr>
          <w:trHeight w:hRule="exact" w:val="288"/>
        </w:trPr>
        <w:tc>
          <w:tcPr>
            <w:tcW w:w="2104" w:type="pct"/>
            <w:tcBorders>
              <w:top w:val="nil"/>
              <w:left w:val="single" w:sz="8" w:space="0" w:color="auto"/>
              <w:bottom w:val="single" w:sz="4" w:space="0" w:color="auto"/>
              <w:right w:val="nil"/>
            </w:tcBorders>
            <w:shd w:val="clear" w:color="auto" w:fill="auto"/>
            <w:noWrap/>
            <w:vAlign w:val="center"/>
            <w:hideMark/>
          </w:tcPr>
          <w:p w14:paraId="04C809CB" w14:textId="77777777" w:rsidR="00A23578" w:rsidRPr="00A23578" w:rsidRDefault="00A23578" w:rsidP="001B0492">
            <w:pPr>
              <w:pStyle w:val="Table-Text"/>
              <w:rPr>
                <w:rFonts w:eastAsia="Times New Roman" w:cs="Times New Roman"/>
                <w:color w:val="000000"/>
              </w:rPr>
            </w:pPr>
            <w:r w:rsidRPr="00A23578">
              <w:t>CEPCI</w:t>
            </w:r>
          </w:p>
        </w:tc>
        <w:tc>
          <w:tcPr>
            <w:tcW w:w="766" w:type="pct"/>
            <w:tcBorders>
              <w:top w:val="nil"/>
              <w:left w:val="single" w:sz="8" w:space="0" w:color="auto"/>
              <w:bottom w:val="single" w:sz="4" w:space="0" w:color="auto"/>
              <w:right w:val="nil"/>
            </w:tcBorders>
            <w:shd w:val="clear" w:color="auto" w:fill="auto"/>
            <w:noWrap/>
            <w:vAlign w:val="center"/>
            <w:hideMark/>
          </w:tcPr>
          <w:p w14:paraId="06869676" w14:textId="77777777" w:rsidR="00A23578" w:rsidRPr="00A23578" w:rsidRDefault="2213B180" w:rsidP="3328C818">
            <w:pPr>
              <w:pStyle w:val="Table-Text"/>
              <w:jc w:val="center"/>
              <w:rPr>
                <w:rFonts w:eastAsia="Times New Roman" w:cs="Times New Roman"/>
                <w:color w:val="000000"/>
              </w:rPr>
            </w:pPr>
            <w:r>
              <w:t>607.5</w:t>
            </w: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7446E1C4" w14:textId="77777777" w:rsidR="00A23578" w:rsidRPr="00A23578" w:rsidRDefault="2213B180" w:rsidP="3328C818">
            <w:pPr>
              <w:pStyle w:val="Table-Text"/>
              <w:jc w:val="center"/>
              <w:rPr>
                <w:rFonts w:eastAsia="Times New Roman" w:cs="Times New Roman"/>
                <w:color w:val="000000"/>
              </w:rPr>
            </w:pPr>
            <w:r>
              <w:t>607.5</w:t>
            </w:r>
          </w:p>
        </w:tc>
        <w:tc>
          <w:tcPr>
            <w:tcW w:w="670" w:type="pct"/>
            <w:tcBorders>
              <w:top w:val="nil"/>
              <w:left w:val="nil"/>
              <w:bottom w:val="single" w:sz="4" w:space="0" w:color="auto"/>
              <w:right w:val="single" w:sz="4" w:space="0" w:color="auto"/>
            </w:tcBorders>
            <w:shd w:val="clear" w:color="auto" w:fill="auto"/>
            <w:noWrap/>
            <w:vAlign w:val="center"/>
            <w:hideMark/>
          </w:tcPr>
          <w:p w14:paraId="5E4FFF2F" w14:textId="77777777" w:rsidR="00A23578" w:rsidRPr="00A23578" w:rsidRDefault="2213B180" w:rsidP="3328C818">
            <w:pPr>
              <w:pStyle w:val="Table-Text"/>
              <w:jc w:val="center"/>
              <w:rPr>
                <w:rFonts w:eastAsia="Times New Roman" w:cs="Times New Roman"/>
                <w:color w:val="000000"/>
              </w:rPr>
            </w:pPr>
            <w:r>
              <w:t>607.5</w:t>
            </w:r>
          </w:p>
        </w:tc>
        <w:tc>
          <w:tcPr>
            <w:tcW w:w="670" w:type="pct"/>
            <w:tcBorders>
              <w:top w:val="nil"/>
              <w:left w:val="nil"/>
              <w:bottom w:val="single" w:sz="4" w:space="0" w:color="auto"/>
              <w:right w:val="single" w:sz="8" w:space="0" w:color="auto"/>
            </w:tcBorders>
            <w:shd w:val="clear" w:color="auto" w:fill="auto"/>
            <w:noWrap/>
            <w:vAlign w:val="center"/>
            <w:hideMark/>
          </w:tcPr>
          <w:p w14:paraId="3DFD85F7" w14:textId="77777777" w:rsidR="00A23578" w:rsidRPr="00A23578" w:rsidRDefault="2213B180" w:rsidP="3328C818">
            <w:pPr>
              <w:pStyle w:val="Table-Text"/>
              <w:jc w:val="center"/>
              <w:rPr>
                <w:rFonts w:eastAsia="Times New Roman" w:cs="Times New Roman"/>
                <w:color w:val="000000"/>
              </w:rPr>
            </w:pPr>
            <w:r>
              <w:t> </w:t>
            </w:r>
          </w:p>
        </w:tc>
      </w:tr>
      <w:tr w:rsidR="00A23578" w:rsidRPr="00A23578" w14:paraId="5BE3DA5D" w14:textId="77777777" w:rsidTr="3328C818">
        <w:trPr>
          <w:trHeight w:hRule="exact" w:val="288"/>
        </w:trPr>
        <w:tc>
          <w:tcPr>
            <w:tcW w:w="2104" w:type="pct"/>
            <w:tcBorders>
              <w:top w:val="nil"/>
              <w:left w:val="single" w:sz="8" w:space="0" w:color="auto"/>
              <w:bottom w:val="single" w:sz="4" w:space="0" w:color="auto"/>
              <w:right w:val="nil"/>
            </w:tcBorders>
            <w:shd w:val="clear" w:color="auto" w:fill="auto"/>
            <w:noWrap/>
            <w:vAlign w:val="bottom"/>
            <w:hideMark/>
          </w:tcPr>
          <w:p w14:paraId="75AB4471" w14:textId="77777777" w:rsidR="00A23578" w:rsidRPr="00A23578" w:rsidRDefault="00A23578" w:rsidP="001B0492">
            <w:pPr>
              <w:pStyle w:val="Table-Text"/>
              <w:rPr>
                <w:rFonts w:eastAsia="Times New Roman" w:cs="Times New Roman"/>
                <w:color w:val="000000"/>
              </w:rPr>
            </w:pPr>
            <w:r w:rsidRPr="00A23578">
              <w:t xml:space="preserve">Capital Cost </w:t>
            </w:r>
          </w:p>
        </w:tc>
        <w:tc>
          <w:tcPr>
            <w:tcW w:w="766" w:type="pct"/>
            <w:tcBorders>
              <w:top w:val="nil"/>
              <w:left w:val="single" w:sz="8" w:space="0" w:color="auto"/>
              <w:bottom w:val="single" w:sz="4" w:space="0" w:color="auto"/>
              <w:right w:val="nil"/>
            </w:tcBorders>
            <w:shd w:val="clear" w:color="auto" w:fill="auto"/>
            <w:noWrap/>
            <w:vAlign w:val="center"/>
            <w:hideMark/>
          </w:tcPr>
          <w:p w14:paraId="73E98B4A" w14:textId="77777777" w:rsidR="00A23578" w:rsidRPr="00A23578" w:rsidRDefault="2213B180" w:rsidP="3328C818">
            <w:pPr>
              <w:pStyle w:val="Table-Text"/>
              <w:jc w:val="center"/>
              <w:rPr>
                <w:rFonts w:eastAsia="Times New Roman" w:cs="Times New Roman"/>
                <w:color w:val="000000"/>
              </w:rPr>
            </w:pPr>
            <w:r>
              <w:t xml:space="preserve"> $       8,709,081 </w:t>
            </w: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619194CF" w14:textId="77777777" w:rsidR="00A23578" w:rsidRPr="00A23578" w:rsidRDefault="2213B180" w:rsidP="3328C818">
            <w:pPr>
              <w:pStyle w:val="Table-Text"/>
              <w:jc w:val="center"/>
              <w:rPr>
                <w:rFonts w:eastAsia="Times New Roman" w:cs="Times New Roman"/>
                <w:color w:val="000000"/>
              </w:rPr>
            </w:pPr>
            <w:r>
              <w:t xml:space="preserve"> $      10,324,319 </w:t>
            </w:r>
          </w:p>
        </w:tc>
        <w:tc>
          <w:tcPr>
            <w:tcW w:w="670" w:type="pct"/>
            <w:tcBorders>
              <w:top w:val="nil"/>
              <w:left w:val="nil"/>
              <w:bottom w:val="single" w:sz="4" w:space="0" w:color="auto"/>
              <w:right w:val="single" w:sz="4" w:space="0" w:color="auto"/>
            </w:tcBorders>
            <w:shd w:val="clear" w:color="auto" w:fill="auto"/>
            <w:noWrap/>
            <w:vAlign w:val="center"/>
            <w:hideMark/>
          </w:tcPr>
          <w:p w14:paraId="2906BE04" w14:textId="77777777" w:rsidR="00A23578" w:rsidRPr="00A23578" w:rsidRDefault="2213B180" w:rsidP="3328C818">
            <w:pPr>
              <w:pStyle w:val="Table-Text"/>
              <w:jc w:val="center"/>
              <w:rPr>
                <w:rFonts w:eastAsia="Times New Roman" w:cs="Times New Roman"/>
                <w:color w:val="000000"/>
              </w:rPr>
            </w:pPr>
            <w:r>
              <w:t xml:space="preserve"> $    2,084,998 </w:t>
            </w:r>
          </w:p>
        </w:tc>
        <w:tc>
          <w:tcPr>
            <w:tcW w:w="670" w:type="pct"/>
            <w:tcBorders>
              <w:top w:val="nil"/>
              <w:left w:val="nil"/>
              <w:bottom w:val="single" w:sz="4" w:space="0" w:color="auto"/>
              <w:right w:val="single" w:sz="8" w:space="0" w:color="auto"/>
            </w:tcBorders>
            <w:shd w:val="clear" w:color="auto" w:fill="auto"/>
            <w:noWrap/>
            <w:vAlign w:val="center"/>
            <w:hideMark/>
          </w:tcPr>
          <w:p w14:paraId="02B459C0" w14:textId="77777777" w:rsidR="00A23578" w:rsidRPr="00A23578" w:rsidRDefault="2213B180" w:rsidP="3328C818">
            <w:pPr>
              <w:pStyle w:val="Table-Text"/>
              <w:jc w:val="center"/>
              <w:rPr>
                <w:rFonts w:eastAsia="Times New Roman" w:cs="Times New Roman"/>
                <w:color w:val="000000"/>
              </w:rPr>
            </w:pPr>
            <w:r>
              <w:t xml:space="preserve"> $ 12,409,317 </w:t>
            </w:r>
          </w:p>
        </w:tc>
      </w:tr>
      <w:tr w:rsidR="00A23578" w:rsidRPr="00A23578" w14:paraId="6D1DF82F" w14:textId="77777777" w:rsidTr="3328C818">
        <w:trPr>
          <w:trHeight w:hRule="exact" w:val="288"/>
        </w:trPr>
        <w:tc>
          <w:tcPr>
            <w:tcW w:w="2104" w:type="pct"/>
            <w:tcBorders>
              <w:top w:val="nil"/>
              <w:left w:val="single" w:sz="8" w:space="0" w:color="auto"/>
              <w:bottom w:val="single" w:sz="4" w:space="0" w:color="auto"/>
              <w:right w:val="nil"/>
            </w:tcBorders>
            <w:shd w:val="clear" w:color="auto" w:fill="auto"/>
            <w:noWrap/>
            <w:vAlign w:val="bottom"/>
            <w:hideMark/>
          </w:tcPr>
          <w:p w14:paraId="4F3D03CB" w14:textId="77777777" w:rsidR="00A23578" w:rsidRPr="00A23578" w:rsidRDefault="00A23578" w:rsidP="001B0492">
            <w:pPr>
              <w:pStyle w:val="Table-Text"/>
              <w:rPr>
                <w:rFonts w:eastAsia="Times New Roman" w:cs="Times New Roman"/>
                <w:color w:val="000000"/>
              </w:rPr>
            </w:pPr>
            <w:r w:rsidRPr="00A23578">
              <w:t xml:space="preserve">Interest rate </w:t>
            </w:r>
            <w:r w:rsidRPr="00A23578">
              <w:rPr>
                <w:rFonts w:eastAsia="Times New Roman" w:cs="Times New Roman"/>
                <w:color w:val="000000"/>
              </w:rPr>
              <w:t>(%)</w:t>
            </w:r>
          </w:p>
        </w:tc>
        <w:tc>
          <w:tcPr>
            <w:tcW w:w="766" w:type="pct"/>
            <w:tcBorders>
              <w:top w:val="nil"/>
              <w:left w:val="single" w:sz="8" w:space="0" w:color="auto"/>
              <w:bottom w:val="single" w:sz="4" w:space="0" w:color="auto"/>
              <w:right w:val="nil"/>
            </w:tcBorders>
            <w:shd w:val="clear" w:color="auto" w:fill="auto"/>
            <w:noWrap/>
            <w:vAlign w:val="center"/>
            <w:hideMark/>
          </w:tcPr>
          <w:p w14:paraId="6648CBE0" w14:textId="77777777" w:rsidR="00A23578" w:rsidRPr="00A23578" w:rsidRDefault="2213B180" w:rsidP="3328C818">
            <w:pPr>
              <w:pStyle w:val="Table-Text"/>
              <w:jc w:val="center"/>
              <w:rPr>
                <w:rFonts w:eastAsia="Times New Roman" w:cs="Times New Roman"/>
                <w:color w:val="000000"/>
              </w:rPr>
            </w:pPr>
            <w:r>
              <w:t>3.50</w:t>
            </w: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11C24857" w14:textId="77777777" w:rsidR="00A23578" w:rsidRPr="00A23578" w:rsidRDefault="2213B180" w:rsidP="3328C818">
            <w:pPr>
              <w:pStyle w:val="Table-Text"/>
              <w:jc w:val="center"/>
              <w:rPr>
                <w:rFonts w:eastAsia="Times New Roman" w:cs="Times New Roman"/>
                <w:color w:val="000000"/>
              </w:rPr>
            </w:pPr>
            <w:r>
              <w:t>3.50</w:t>
            </w:r>
          </w:p>
        </w:tc>
        <w:tc>
          <w:tcPr>
            <w:tcW w:w="670" w:type="pct"/>
            <w:tcBorders>
              <w:top w:val="nil"/>
              <w:left w:val="nil"/>
              <w:bottom w:val="single" w:sz="4" w:space="0" w:color="auto"/>
              <w:right w:val="single" w:sz="4" w:space="0" w:color="auto"/>
            </w:tcBorders>
            <w:shd w:val="clear" w:color="auto" w:fill="auto"/>
            <w:noWrap/>
            <w:vAlign w:val="center"/>
            <w:hideMark/>
          </w:tcPr>
          <w:p w14:paraId="655DDDA9" w14:textId="77777777" w:rsidR="00A23578" w:rsidRPr="00A23578" w:rsidRDefault="2213B180" w:rsidP="3328C818">
            <w:pPr>
              <w:pStyle w:val="Table-Text"/>
              <w:jc w:val="center"/>
              <w:rPr>
                <w:rFonts w:eastAsia="Times New Roman" w:cs="Times New Roman"/>
                <w:color w:val="000000"/>
              </w:rPr>
            </w:pPr>
            <w:r>
              <w:t>3.50%</w:t>
            </w:r>
          </w:p>
        </w:tc>
        <w:tc>
          <w:tcPr>
            <w:tcW w:w="670" w:type="pct"/>
            <w:tcBorders>
              <w:top w:val="nil"/>
              <w:left w:val="nil"/>
              <w:bottom w:val="single" w:sz="4" w:space="0" w:color="auto"/>
              <w:right w:val="single" w:sz="8" w:space="0" w:color="auto"/>
            </w:tcBorders>
            <w:shd w:val="clear" w:color="auto" w:fill="auto"/>
            <w:noWrap/>
            <w:vAlign w:val="center"/>
            <w:hideMark/>
          </w:tcPr>
          <w:p w14:paraId="5D0D951A" w14:textId="77777777" w:rsidR="00A23578" w:rsidRPr="00A23578" w:rsidRDefault="2213B180" w:rsidP="3328C818">
            <w:pPr>
              <w:pStyle w:val="Table-Text"/>
              <w:jc w:val="center"/>
              <w:rPr>
                <w:rFonts w:eastAsia="Times New Roman" w:cs="Times New Roman"/>
                <w:color w:val="000000"/>
              </w:rPr>
            </w:pPr>
            <w:r>
              <w:t> </w:t>
            </w:r>
          </w:p>
        </w:tc>
      </w:tr>
      <w:tr w:rsidR="00A23578" w:rsidRPr="00A23578" w14:paraId="2C0E9783" w14:textId="77777777" w:rsidTr="3328C818">
        <w:trPr>
          <w:trHeight w:hRule="exact" w:val="288"/>
        </w:trPr>
        <w:tc>
          <w:tcPr>
            <w:tcW w:w="2104" w:type="pct"/>
            <w:tcBorders>
              <w:top w:val="nil"/>
              <w:left w:val="single" w:sz="8" w:space="0" w:color="auto"/>
              <w:bottom w:val="single" w:sz="4" w:space="0" w:color="auto"/>
              <w:right w:val="nil"/>
            </w:tcBorders>
            <w:shd w:val="clear" w:color="auto" w:fill="auto"/>
            <w:noWrap/>
            <w:vAlign w:val="bottom"/>
            <w:hideMark/>
          </w:tcPr>
          <w:p w14:paraId="31C718F0" w14:textId="77777777" w:rsidR="00A23578" w:rsidRPr="00A23578" w:rsidRDefault="00A23578" w:rsidP="001B0492">
            <w:pPr>
              <w:pStyle w:val="Table-Text"/>
              <w:rPr>
                <w:rFonts w:eastAsia="Times New Roman" w:cs="Times New Roman"/>
                <w:color w:val="000000"/>
              </w:rPr>
            </w:pPr>
            <w:r w:rsidRPr="00A23578">
              <w:t>Control Equipment Life (</w:t>
            </w:r>
            <w:proofErr w:type="spellStart"/>
            <w:r w:rsidRPr="00A23578">
              <w:t>yr</w:t>
            </w:r>
            <w:proofErr w:type="spellEnd"/>
            <w:r w:rsidRPr="00A23578">
              <w:t>)</w:t>
            </w:r>
          </w:p>
        </w:tc>
        <w:tc>
          <w:tcPr>
            <w:tcW w:w="766" w:type="pct"/>
            <w:tcBorders>
              <w:top w:val="nil"/>
              <w:left w:val="single" w:sz="8" w:space="0" w:color="auto"/>
              <w:bottom w:val="single" w:sz="4" w:space="0" w:color="auto"/>
              <w:right w:val="nil"/>
            </w:tcBorders>
            <w:shd w:val="clear" w:color="auto" w:fill="auto"/>
            <w:noWrap/>
            <w:vAlign w:val="center"/>
            <w:hideMark/>
          </w:tcPr>
          <w:p w14:paraId="33417595" w14:textId="77777777" w:rsidR="00A23578" w:rsidRPr="00A23578" w:rsidRDefault="2213B180" w:rsidP="3328C818">
            <w:pPr>
              <w:pStyle w:val="Table-Text"/>
              <w:jc w:val="center"/>
              <w:rPr>
                <w:rFonts w:eastAsia="Times New Roman" w:cs="Times New Roman"/>
                <w:color w:val="000000"/>
              </w:rPr>
            </w:pPr>
            <w:r>
              <w:t>30</w:t>
            </w: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714891E5" w14:textId="77777777" w:rsidR="00A23578" w:rsidRPr="00A23578" w:rsidRDefault="2213B180" w:rsidP="3328C818">
            <w:pPr>
              <w:pStyle w:val="Table-Text"/>
              <w:jc w:val="center"/>
              <w:rPr>
                <w:rFonts w:eastAsia="Times New Roman" w:cs="Times New Roman"/>
                <w:color w:val="000000"/>
              </w:rPr>
            </w:pPr>
            <w:r>
              <w:t>30</w:t>
            </w:r>
          </w:p>
        </w:tc>
        <w:tc>
          <w:tcPr>
            <w:tcW w:w="670" w:type="pct"/>
            <w:tcBorders>
              <w:top w:val="nil"/>
              <w:left w:val="nil"/>
              <w:bottom w:val="single" w:sz="4" w:space="0" w:color="auto"/>
              <w:right w:val="single" w:sz="4" w:space="0" w:color="auto"/>
            </w:tcBorders>
            <w:shd w:val="clear" w:color="auto" w:fill="auto"/>
            <w:noWrap/>
            <w:vAlign w:val="center"/>
            <w:hideMark/>
          </w:tcPr>
          <w:p w14:paraId="0811E3F3" w14:textId="77777777" w:rsidR="00A23578" w:rsidRPr="00A23578" w:rsidRDefault="2213B180" w:rsidP="3328C818">
            <w:pPr>
              <w:pStyle w:val="Table-Text"/>
              <w:jc w:val="center"/>
              <w:rPr>
                <w:rFonts w:eastAsia="Times New Roman" w:cs="Times New Roman"/>
                <w:color w:val="000000"/>
              </w:rPr>
            </w:pPr>
            <w:r>
              <w:t xml:space="preserve">20 </w:t>
            </w:r>
          </w:p>
        </w:tc>
        <w:tc>
          <w:tcPr>
            <w:tcW w:w="670" w:type="pct"/>
            <w:tcBorders>
              <w:top w:val="nil"/>
              <w:left w:val="nil"/>
              <w:bottom w:val="single" w:sz="4" w:space="0" w:color="auto"/>
              <w:right w:val="single" w:sz="8" w:space="0" w:color="auto"/>
            </w:tcBorders>
            <w:shd w:val="clear" w:color="auto" w:fill="auto"/>
            <w:noWrap/>
            <w:vAlign w:val="center"/>
            <w:hideMark/>
          </w:tcPr>
          <w:p w14:paraId="3162882B" w14:textId="77777777" w:rsidR="00A23578" w:rsidRPr="00A23578" w:rsidRDefault="2213B180" w:rsidP="3328C818">
            <w:pPr>
              <w:pStyle w:val="Table-Text"/>
              <w:jc w:val="center"/>
              <w:rPr>
                <w:rFonts w:eastAsia="Times New Roman" w:cs="Times New Roman"/>
                <w:color w:val="000000"/>
              </w:rPr>
            </w:pPr>
            <w:r>
              <w:t> </w:t>
            </w:r>
          </w:p>
        </w:tc>
      </w:tr>
      <w:tr w:rsidR="00A23578" w:rsidRPr="00A23578" w14:paraId="43AF5BC5" w14:textId="77777777" w:rsidTr="3328C818">
        <w:trPr>
          <w:trHeight w:hRule="exact" w:val="288"/>
        </w:trPr>
        <w:tc>
          <w:tcPr>
            <w:tcW w:w="2104" w:type="pct"/>
            <w:tcBorders>
              <w:top w:val="nil"/>
              <w:left w:val="single" w:sz="8" w:space="0" w:color="auto"/>
              <w:bottom w:val="single" w:sz="4" w:space="0" w:color="auto"/>
              <w:right w:val="nil"/>
            </w:tcBorders>
            <w:shd w:val="clear" w:color="auto" w:fill="auto"/>
            <w:noWrap/>
            <w:vAlign w:val="bottom"/>
            <w:hideMark/>
          </w:tcPr>
          <w:p w14:paraId="46D757C7" w14:textId="77777777" w:rsidR="00A23578" w:rsidRPr="00A23578" w:rsidRDefault="00A23578" w:rsidP="001B0492">
            <w:pPr>
              <w:pStyle w:val="Table-Text"/>
              <w:rPr>
                <w:rFonts w:eastAsia="Times New Roman" w:cs="Times New Roman"/>
                <w:color w:val="000000"/>
              </w:rPr>
            </w:pPr>
            <w:r w:rsidRPr="00A23578">
              <w:t>Capital Recovery Factor</w:t>
            </w:r>
          </w:p>
        </w:tc>
        <w:tc>
          <w:tcPr>
            <w:tcW w:w="766" w:type="pct"/>
            <w:tcBorders>
              <w:top w:val="nil"/>
              <w:left w:val="single" w:sz="8" w:space="0" w:color="auto"/>
              <w:bottom w:val="single" w:sz="4" w:space="0" w:color="auto"/>
              <w:right w:val="nil"/>
            </w:tcBorders>
            <w:shd w:val="clear" w:color="auto" w:fill="auto"/>
            <w:noWrap/>
            <w:vAlign w:val="center"/>
            <w:hideMark/>
          </w:tcPr>
          <w:p w14:paraId="52BC1146" w14:textId="77777777" w:rsidR="00A23578" w:rsidRPr="00A23578" w:rsidRDefault="2213B180" w:rsidP="3328C818">
            <w:pPr>
              <w:pStyle w:val="Table-Text"/>
              <w:jc w:val="center"/>
              <w:rPr>
                <w:rFonts w:eastAsia="Times New Roman" w:cs="Times New Roman"/>
                <w:color w:val="000000"/>
              </w:rPr>
            </w:pPr>
            <w:r>
              <w:t>0.0544</w:t>
            </w: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13EF7F67" w14:textId="77777777" w:rsidR="00A23578" w:rsidRPr="00A23578" w:rsidRDefault="2213B180" w:rsidP="3328C818">
            <w:pPr>
              <w:pStyle w:val="Table-Text"/>
              <w:jc w:val="center"/>
              <w:rPr>
                <w:rFonts w:eastAsia="Times New Roman" w:cs="Times New Roman"/>
                <w:color w:val="000000"/>
              </w:rPr>
            </w:pPr>
            <w:r>
              <w:t xml:space="preserve">0.0544 </w:t>
            </w:r>
          </w:p>
        </w:tc>
        <w:tc>
          <w:tcPr>
            <w:tcW w:w="670" w:type="pct"/>
            <w:tcBorders>
              <w:top w:val="nil"/>
              <w:left w:val="nil"/>
              <w:bottom w:val="single" w:sz="4" w:space="0" w:color="auto"/>
              <w:right w:val="single" w:sz="4" w:space="0" w:color="auto"/>
            </w:tcBorders>
            <w:shd w:val="clear" w:color="auto" w:fill="auto"/>
            <w:noWrap/>
            <w:vAlign w:val="center"/>
            <w:hideMark/>
          </w:tcPr>
          <w:p w14:paraId="65F74524" w14:textId="77777777" w:rsidR="00A23578" w:rsidRPr="00A23578" w:rsidRDefault="2213B180" w:rsidP="3328C818">
            <w:pPr>
              <w:pStyle w:val="Table-Text"/>
              <w:jc w:val="center"/>
              <w:rPr>
                <w:rFonts w:eastAsia="Times New Roman" w:cs="Times New Roman"/>
                <w:color w:val="000000"/>
              </w:rPr>
            </w:pPr>
            <w:r>
              <w:t xml:space="preserve">0.0704 </w:t>
            </w:r>
          </w:p>
        </w:tc>
        <w:tc>
          <w:tcPr>
            <w:tcW w:w="670" w:type="pct"/>
            <w:tcBorders>
              <w:top w:val="nil"/>
              <w:left w:val="nil"/>
              <w:bottom w:val="single" w:sz="4" w:space="0" w:color="auto"/>
              <w:right w:val="single" w:sz="8" w:space="0" w:color="auto"/>
            </w:tcBorders>
            <w:shd w:val="clear" w:color="auto" w:fill="auto"/>
            <w:noWrap/>
            <w:vAlign w:val="center"/>
            <w:hideMark/>
          </w:tcPr>
          <w:p w14:paraId="5A247528" w14:textId="77777777" w:rsidR="00A23578" w:rsidRPr="00A23578" w:rsidRDefault="2213B180" w:rsidP="3328C818">
            <w:pPr>
              <w:pStyle w:val="Table-Text"/>
              <w:jc w:val="center"/>
              <w:rPr>
                <w:rFonts w:eastAsia="Times New Roman" w:cs="Times New Roman"/>
                <w:color w:val="000000"/>
              </w:rPr>
            </w:pPr>
            <w:r>
              <w:t> </w:t>
            </w:r>
          </w:p>
        </w:tc>
      </w:tr>
      <w:tr w:rsidR="00A23578" w:rsidRPr="00A23578" w14:paraId="4C5C70BD" w14:textId="77777777" w:rsidTr="3328C818">
        <w:trPr>
          <w:trHeight w:hRule="exact" w:val="288"/>
        </w:trPr>
        <w:tc>
          <w:tcPr>
            <w:tcW w:w="2104" w:type="pct"/>
            <w:tcBorders>
              <w:top w:val="nil"/>
              <w:left w:val="single" w:sz="8" w:space="0" w:color="auto"/>
              <w:bottom w:val="single" w:sz="4" w:space="0" w:color="auto"/>
              <w:right w:val="nil"/>
            </w:tcBorders>
            <w:shd w:val="clear" w:color="auto" w:fill="auto"/>
            <w:noWrap/>
            <w:vAlign w:val="bottom"/>
            <w:hideMark/>
          </w:tcPr>
          <w:p w14:paraId="39605F0C" w14:textId="77777777" w:rsidR="00A23578" w:rsidRPr="00A23578" w:rsidRDefault="00A23578" w:rsidP="001B0492">
            <w:pPr>
              <w:pStyle w:val="Table-Text"/>
              <w:rPr>
                <w:rFonts w:eastAsia="Times New Roman" w:cs="Times New Roman"/>
                <w:color w:val="000000"/>
              </w:rPr>
            </w:pPr>
            <w:r w:rsidRPr="00A23578">
              <w:t>Capital Recovery Cost</w:t>
            </w:r>
          </w:p>
        </w:tc>
        <w:tc>
          <w:tcPr>
            <w:tcW w:w="766" w:type="pct"/>
            <w:tcBorders>
              <w:top w:val="nil"/>
              <w:left w:val="single" w:sz="8" w:space="0" w:color="auto"/>
              <w:bottom w:val="single" w:sz="4" w:space="0" w:color="auto"/>
              <w:right w:val="nil"/>
            </w:tcBorders>
            <w:shd w:val="clear" w:color="auto" w:fill="auto"/>
            <w:noWrap/>
            <w:vAlign w:val="center"/>
            <w:hideMark/>
          </w:tcPr>
          <w:p w14:paraId="2D4338F2" w14:textId="77777777" w:rsidR="00A23578" w:rsidRPr="00A23578" w:rsidRDefault="2213B180" w:rsidP="3328C818">
            <w:pPr>
              <w:pStyle w:val="Table-Text"/>
              <w:jc w:val="center"/>
              <w:rPr>
                <w:rFonts w:eastAsia="Times New Roman" w:cs="Times New Roman"/>
                <w:color w:val="000000"/>
              </w:rPr>
            </w:pPr>
            <w:r>
              <w:t xml:space="preserve"> $          473,524 </w:t>
            </w: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06EC6A11" w14:textId="77777777" w:rsidR="00A23578" w:rsidRPr="00A23578" w:rsidRDefault="2213B180" w:rsidP="3328C818">
            <w:pPr>
              <w:pStyle w:val="Table-Text"/>
              <w:jc w:val="center"/>
              <w:rPr>
                <w:rFonts w:eastAsia="Times New Roman" w:cs="Times New Roman"/>
                <w:color w:val="000000"/>
              </w:rPr>
            </w:pPr>
            <w:r>
              <w:t xml:space="preserve"> $         </w:t>
            </w:r>
            <w:r w:rsidRPr="3328C818">
              <w:rPr>
                <w:rFonts w:eastAsia="Times New Roman" w:cs="Times New Roman"/>
                <w:color w:val="000000" w:themeColor="text1"/>
              </w:rPr>
              <w:t xml:space="preserve">  561,347 </w:t>
            </w:r>
          </w:p>
        </w:tc>
        <w:tc>
          <w:tcPr>
            <w:tcW w:w="670" w:type="pct"/>
            <w:tcBorders>
              <w:top w:val="nil"/>
              <w:left w:val="nil"/>
              <w:bottom w:val="single" w:sz="4" w:space="0" w:color="auto"/>
              <w:right w:val="single" w:sz="4" w:space="0" w:color="auto"/>
            </w:tcBorders>
            <w:shd w:val="clear" w:color="auto" w:fill="auto"/>
            <w:noWrap/>
            <w:vAlign w:val="center"/>
            <w:hideMark/>
          </w:tcPr>
          <w:p w14:paraId="36ADD2F6" w14:textId="77777777" w:rsidR="00A23578" w:rsidRPr="00A23578" w:rsidRDefault="2213B180" w:rsidP="3328C818">
            <w:pPr>
              <w:pStyle w:val="Table-Text"/>
              <w:jc w:val="center"/>
              <w:rPr>
                <w:rFonts w:eastAsia="Times New Roman" w:cs="Times New Roman"/>
                <w:color w:val="000000"/>
              </w:rPr>
            </w:pPr>
            <w:r>
              <w:t xml:space="preserve"> $       282,310 </w:t>
            </w:r>
          </w:p>
        </w:tc>
        <w:tc>
          <w:tcPr>
            <w:tcW w:w="670" w:type="pct"/>
            <w:tcBorders>
              <w:top w:val="nil"/>
              <w:left w:val="nil"/>
              <w:bottom w:val="single" w:sz="4" w:space="0" w:color="auto"/>
              <w:right w:val="single" w:sz="8" w:space="0" w:color="auto"/>
            </w:tcBorders>
            <w:shd w:val="clear" w:color="auto" w:fill="auto"/>
            <w:noWrap/>
            <w:vAlign w:val="center"/>
            <w:hideMark/>
          </w:tcPr>
          <w:p w14:paraId="4582F777" w14:textId="77777777" w:rsidR="00A23578" w:rsidRPr="00A23578" w:rsidRDefault="2213B180" w:rsidP="3328C818">
            <w:pPr>
              <w:pStyle w:val="Table-Text"/>
              <w:jc w:val="center"/>
              <w:rPr>
                <w:rFonts w:eastAsia="Times New Roman" w:cs="Times New Roman"/>
                <w:color w:val="000000"/>
              </w:rPr>
            </w:pPr>
            <w:r>
              <w:t xml:space="preserve"> $       843,657 </w:t>
            </w:r>
          </w:p>
        </w:tc>
      </w:tr>
      <w:tr w:rsidR="00A23578" w:rsidRPr="00A23578" w14:paraId="25B66CE9" w14:textId="77777777" w:rsidTr="3328C818">
        <w:trPr>
          <w:trHeight w:hRule="exact" w:val="288"/>
        </w:trPr>
        <w:tc>
          <w:tcPr>
            <w:tcW w:w="2104" w:type="pct"/>
            <w:tcBorders>
              <w:top w:val="nil"/>
              <w:left w:val="single" w:sz="8" w:space="0" w:color="auto"/>
              <w:bottom w:val="single" w:sz="4" w:space="0" w:color="auto"/>
              <w:right w:val="nil"/>
            </w:tcBorders>
            <w:shd w:val="clear" w:color="auto" w:fill="auto"/>
            <w:noWrap/>
            <w:vAlign w:val="bottom"/>
            <w:hideMark/>
          </w:tcPr>
          <w:p w14:paraId="115DDAB4" w14:textId="77777777" w:rsidR="00A23578" w:rsidRPr="00A23578" w:rsidRDefault="00A23578" w:rsidP="001B0492">
            <w:pPr>
              <w:pStyle w:val="Table-Text"/>
              <w:rPr>
                <w:rFonts w:eastAsia="Times New Roman" w:cs="Times New Roman"/>
                <w:color w:val="000000"/>
              </w:rPr>
            </w:pPr>
            <w:r w:rsidRPr="00A23578">
              <w:t>Indirect Cost/Fixed O&amp;M</w:t>
            </w:r>
          </w:p>
        </w:tc>
        <w:tc>
          <w:tcPr>
            <w:tcW w:w="766" w:type="pct"/>
            <w:tcBorders>
              <w:top w:val="nil"/>
              <w:left w:val="single" w:sz="8" w:space="0" w:color="auto"/>
              <w:bottom w:val="single" w:sz="4" w:space="0" w:color="auto"/>
              <w:right w:val="nil"/>
            </w:tcBorders>
            <w:shd w:val="clear" w:color="auto" w:fill="auto"/>
            <w:noWrap/>
            <w:vAlign w:val="center"/>
            <w:hideMark/>
          </w:tcPr>
          <w:p w14:paraId="71373FFF" w14:textId="77777777" w:rsidR="00A23578" w:rsidRPr="00A23578" w:rsidRDefault="2213B180" w:rsidP="3328C818">
            <w:pPr>
              <w:pStyle w:val="Table-Text"/>
              <w:jc w:val="center"/>
              <w:rPr>
                <w:rFonts w:eastAsia="Times New Roman" w:cs="Times New Roman"/>
                <w:color w:val="000000"/>
              </w:rPr>
            </w:pPr>
            <w:r>
              <w:t xml:space="preserve"> $          322,579 </w:t>
            </w: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6F9F053B" w14:textId="77777777" w:rsidR="00A23578" w:rsidRPr="00A23578" w:rsidRDefault="2213B180" w:rsidP="3328C818">
            <w:pPr>
              <w:pStyle w:val="Table-Text"/>
              <w:jc w:val="center"/>
              <w:rPr>
                <w:rFonts w:eastAsia="Times New Roman" w:cs="Times New Roman"/>
                <w:color w:val="000000"/>
              </w:rPr>
            </w:pPr>
            <w:r>
              <w:t xml:space="preserve"> $           334,726 </w:t>
            </w:r>
          </w:p>
        </w:tc>
        <w:tc>
          <w:tcPr>
            <w:tcW w:w="670" w:type="pct"/>
            <w:tcBorders>
              <w:top w:val="nil"/>
              <w:left w:val="nil"/>
              <w:bottom w:val="single" w:sz="4" w:space="0" w:color="auto"/>
              <w:right w:val="single" w:sz="4" w:space="0" w:color="auto"/>
            </w:tcBorders>
            <w:shd w:val="clear" w:color="auto" w:fill="auto"/>
            <w:noWrap/>
            <w:vAlign w:val="center"/>
            <w:hideMark/>
          </w:tcPr>
          <w:p w14:paraId="4298A258" w14:textId="77777777" w:rsidR="00A23578" w:rsidRPr="00A23578" w:rsidRDefault="2213B180" w:rsidP="3328C818">
            <w:pPr>
              <w:pStyle w:val="Table-Text"/>
              <w:jc w:val="center"/>
              <w:rPr>
                <w:rFonts w:eastAsia="Times New Roman" w:cs="Times New Roman"/>
                <w:color w:val="000000"/>
              </w:rPr>
            </w:pPr>
            <w:r>
              <w:t xml:space="preserve"> $       503,401 </w:t>
            </w:r>
          </w:p>
        </w:tc>
        <w:tc>
          <w:tcPr>
            <w:tcW w:w="670" w:type="pct"/>
            <w:tcBorders>
              <w:top w:val="nil"/>
              <w:left w:val="nil"/>
              <w:bottom w:val="single" w:sz="4" w:space="0" w:color="auto"/>
              <w:right w:val="single" w:sz="8" w:space="0" w:color="auto"/>
            </w:tcBorders>
            <w:shd w:val="clear" w:color="auto" w:fill="auto"/>
            <w:noWrap/>
            <w:vAlign w:val="center"/>
            <w:hideMark/>
          </w:tcPr>
          <w:p w14:paraId="7498D1D2" w14:textId="77777777" w:rsidR="00A23578" w:rsidRPr="00A23578" w:rsidRDefault="2213B180" w:rsidP="3328C818">
            <w:pPr>
              <w:pStyle w:val="Table-Text"/>
              <w:jc w:val="center"/>
              <w:rPr>
                <w:rFonts w:eastAsia="Times New Roman" w:cs="Times New Roman"/>
                <w:color w:val="000000"/>
              </w:rPr>
            </w:pPr>
            <w:r>
              <w:t xml:space="preserve"> $       838,127 </w:t>
            </w:r>
          </w:p>
        </w:tc>
      </w:tr>
      <w:tr w:rsidR="00A23578" w:rsidRPr="00A23578" w14:paraId="28BE12A4" w14:textId="77777777" w:rsidTr="3328C818">
        <w:trPr>
          <w:trHeight w:hRule="exact" w:val="288"/>
        </w:trPr>
        <w:tc>
          <w:tcPr>
            <w:tcW w:w="2104" w:type="pct"/>
            <w:tcBorders>
              <w:top w:val="nil"/>
              <w:left w:val="single" w:sz="8" w:space="0" w:color="auto"/>
              <w:bottom w:val="single" w:sz="4" w:space="0" w:color="auto"/>
              <w:right w:val="nil"/>
            </w:tcBorders>
            <w:shd w:val="clear" w:color="auto" w:fill="auto"/>
            <w:noWrap/>
            <w:vAlign w:val="bottom"/>
            <w:hideMark/>
          </w:tcPr>
          <w:p w14:paraId="627CF7CA" w14:textId="77777777" w:rsidR="00A23578" w:rsidRPr="00A23578" w:rsidRDefault="00A23578" w:rsidP="001B0492">
            <w:pPr>
              <w:pStyle w:val="Table-Text"/>
              <w:rPr>
                <w:rFonts w:eastAsia="Times New Roman" w:cs="Times New Roman"/>
                <w:color w:val="000000"/>
              </w:rPr>
            </w:pPr>
            <w:r w:rsidRPr="00A23578">
              <w:t>Direct Cost/Variable O&amp;</w:t>
            </w:r>
            <w:r w:rsidRPr="00A23578">
              <w:rPr>
                <w:rFonts w:eastAsia="Times New Roman" w:cs="Times New Roman"/>
                <w:color w:val="000000"/>
              </w:rPr>
              <w:t>M</w:t>
            </w:r>
          </w:p>
        </w:tc>
        <w:tc>
          <w:tcPr>
            <w:tcW w:w="766" w:type="pct"/>
            <w:tcBorders>
              <w:top w:val="nil"/>
              <w:left w:val="single" w:sz="8" w:space="0" w:color="auto"/>
              <w:bottom w:val="single" w:sz="4" w:space="0" w:color="auto"/>
              <w:right w:val="nil"/>
            </w:tcBorders>
            <w:shd w:val="clear" w:color="auto" w:fill="auto"/>
            <w:noWrap/>
            <w:vAlign w:val="center"/>
            <w:hideMark/>
          </w:tcPr>
          <w:p w14:paraId="43F17EEB" w14:textId="77777777" w:rsidR="00A23578" w:rsidRPr="00A23578" w:rsidRDefault="2213B180" w:rsidP="3328C818">
            <w:pPr>
              <w:pStyle w:val="Table-Text"/>
              <w:jc w:val="center"/>
              <w:rPr>
                <w:rFonts w:eastAsia="Times New Roman" w:cs="Times New Roman"/>
                <w:color w:val="000000"/>
              </w:rPr>
            </w:pPr>
            <w:r>
              <w:t xml:space="preserve"> $       1,237,341 </w:t>
            </w: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229EC694" w14:textId="77777777" w:rsidR="00A23578" w:rsidRPr="00A23578" w:rsidRDefault="2213B180" w:rsidP="3328C818">
            <w:pPr>
              <w:pStyle w:val="Table-Text"/>
              <w:jc w:val="center"/>
              <w:rPr>
                <w:rFonts w:eastAsia="Times New Roman" w:cs="Times New Roman"/>
                <w:color w:val="000000"/>
              </w:rPr>
            </w:pPr>
            <w:r>
              <w:t xml:space="preserve"> $        1,783,031 </w:t>
            </w:r>
          </w:p>
        </w:tc>
        <w:tc>
          <w:tcPr>
            <w:tcW w:w="670" w:type="pct"/>
            <w:tcBorders>
              <w:top w:val="nil"/>
              <w:left w:val="nil"/>
              <w:bottom w:val="single" w:sz="4" w:space="0" w:color="auto"/>
              <w:right w:val="single" w:sz="4" w:space="0" w:color="auto"/>
            </w:tcBorders>
            <w:shd w:val="clear" w:color="auto" w:fill="auto"/>
            <w:noWrap/>
            <w:vAlign w:val="center"/>
            <w:hideMark/>
          </w:tcPr>
          <w:p w14:paraId="4034E100" w14:textId="77777777" w:rsidR="00A23578" w:rsidRPr="00A23578" w:rsidRDefault="2213B180" w:rsidP="3328C818">
            <w:pPr>
              <w:pStyle w:val="Table-Text"/>
              <w:jc w:val="center"/>
              <w:rPr>
                <w:rFonts w:eastAsia="Times New Roman" w:cs="Times New Roman"/>
                <w:color w:val="000000"/>
              </w:rPr>
            </w:pPr>
            <w:r>
              <w:t xml:space="preserve"> $       381,728 </w:t>
            </w:r>
          </w:p>
        </w:tc>
        <w:tc>
          <w:tcPr>
            <w:tcW w:w="670" w:type="pct"/>
            <w:tcBorders>
              <w:top w:val="nil"/>
              <w:left w:val="nil"/>
              <w:bottom w:val="single" w:sz="4" w:space="0" w:color="auto"/>
              <w:right w:val="single" w:sz="8" w:space="0" w:color="auto"/>
            </w:tcBorders>
            <w:shd w:val="clear" w:color="auto" w:fill="auto"/>
            <w:noWrap/>
            <w:vAlign w:val="center"/>
            <w:hideMark/>
          </w:tcPr>
          <w:p w14:paraId="47A8908B" w14:textId="77777777" w:rsidR="00A23578" w:rsidRPr="00A23578" w:rsidRDefault="2213B180" w:rsidP="3328C818">
            <w:pPr>
              <w:pStyle w:val="Table-Text"/>
              <w:jc w:val="center"/>
              <w:rPr>
                <w:rFonts w:eastAsia="Times New Roman" w:cs="Times New Roman"/>
                <w:color w:val="000000"/>
              </w:rPr>
            </w:pPr>
            <w:r>
              <w:t xml:space="preserve"> $    2,164,760 </w:t>
            </w:r>
          </w:p>
        </w:tc>
      </w:tr>
      <w:tr w:rsidR="00A23578" w:rsidRPr="00A23578" w14:paraId="399AA29F" w14:textId="77777777" w:rsidTr="3328C818">
        <w:trPr>
          <w:trHeight w:hRule="exact" w:val="288"/>
        </w:trPr>
        <w:tc>
          <w:tcPr>
            <w:tcW w:w="2104" w:type="pct"/>
            <w:tcBorders>
              <w:top w:val="nil"/>
              <w:left w:val="single" w:sz="8" w:space="0" w:color="auto"/>
              <w:bottom w:val="single" w:sz="4" w:space="0" w:color="auto"/>
              <w:right w:val="nil"/>
            </w:tcBorders>
            <w:shd w:val="clear" w:color="auto" w:fill="auto"/>
            <w:noWrap/>
            <w:vAlign w:val="bottom"/>
            <w:hideMark/>
          </w:tcPr>
          <w:p w14:paraId="1EDDF7DE" w14:textId="77777777" w:rsidR="00A23578" w:rsidRPr="00A23578" w:rsidRDefault="00A23578" w:rsidP="001B0492">
            <w:pPr>
              <w:pStyle w:val="Table-Text"/>
              <w:rPr>
                <w:rFonts w:eastAsia="Times New Roman" w:cs="Times New Roman"/>
                <w:color w:val="000000"/>
              </w:rPr>
            </w:pPr>
            <w:r w:rsidRPr="00A23578">
              <w:t>To</w:t>
            </w:r>
            <w:r w:rsidRPr="00A23578">
              <w:rPr>
                <w:rFonts w:eastAsia="Times New Roman" w:cs="Times New Roman"/>
                <w:color w:val="000000"/>
              </w:rPr>
              <w:t xml:space="preserve">tal Annual Cost </w:t>
            </w:r>
          </w:p>
        </w:tc>
        <w:tc>
          <w:tcPr>
            <w:tcW w:w="766" w:type="pct"/>
            <w:tcBorders>
              <w:top w:val="nil"/>
              <w:left w:val="single" w:sz="8" w:space="0" w:color="auto"/>
              <w:bottom w:val="single" w:sz="4" w:space="0" w:color="auto"/>
              <w:right w:val="nil"/>
            </w:tcBorders>
            <w:shd w:val="clear" w:color="auto" w:fill="auto"/>
            <w:noWrap/>
            <w:vAlign w:val="center"/>
            <w:hideMark/>
          </w:tcPr>
          <w:p w14:paraId="37414A3B" w14:textId="77777777" w:rsidR="00A23578" w:rsidRPr="00A23578" w:rsidRDefault="2213B180" w:rsidP="3328C818">
            <w:pPr>
              <w:pStyle w:val="Table-Text"/>
              <w:jc w:val="center"/>
              <w:rPr>
                <w:rFonts w:eastAsia="Times New Roman" w:cs="Times New Roman"/>
                <w:color w:val="000000"/>
              </w:rPr>
            </w:pPr>
            <w:r>
              <w:t xml:space="preserve"> $       2,033,445 </w:t>
            </w: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5EC989E8" w14:textId="77777777" w:rsidR="00A23578" w:rsidRPr="00A23578" w:rsidRDefault="2213B180" w:rsidP="3328C818">
            <w:pPr>
              <w:pStyle w:val="Table-Text"/>
              <w:jc w:val="center"/>
              <w:rPr>
                <w:rFonts w:eastAsia="Times New Roman" w:cs="Times New Roman"/>
                <w:color w:val="000000"/>
              </w:rPr>
            </w:pPr>
            <w:r>
              <w:t xml:space="preserve"> $        2,679,104 </w:t>
            </w:r>
          </w:p>
        </w:tc>
        <w:tc>
          <w:tcPr>
            <w:tcW w:w="670" w:type="pct"/>
            <w:tcBorders>
              <w:top w:val="nil"/>
              <w:left w:val="nil"/>
              <w:bottom w:val="single" w:sz="4" w:space="0" w:color="auto"/>
              <w:right w:val="single" w:sz="4" w:space="0" w:color="auto"/>
            </w:tcBorders>
            <w:shd w:val="clear" w:color="auto" w:fill="auto"/>
            <w:noWrap/>
            <w:vAlign w:val="center"/>
            <w:hideMark/>
          </w:tcPr>
          <w:p w14:paraId="74BC6644" w14:textId="77777777" w:rsidR="00A23578" w:rsidRPr="00A23578" w:rsidRDefault="2213B180" w:rsidP="3328C818">
            <w:pPr>
              <w:pStyle w:val="Table-Text"/>
              <w:jc w:val="center"/>
              <w:rPr>
                <w:rFonts w:eastAsia="Times New Roman" w:cs="Times New Roman"/>
                <w:color w:val="000000"/>
              </w:rPr>
            </w:pPr>
            <w:r>
              <w:t xml:space="preserve"> $       885,129 </w:t>
            </w:r>
          </w:p>
        </w:tc>
        <w:tc>
          <w:tcPr>
            <w:tcW w:w="670" w:type="pct"/>
            <w:tcBorders>
              <w:top w:val="nil"/>
              <w:left w:val="nil"/>
              <w:bottom w:val="single" w:sz="4" w:space="0" w:color="auto"/>
              <w:right w:val="single" w:sz="8" w:space="0" w:color="auto"/>
            </w:tcBorders>
            <w:shd w:val="clear" w:color="auto" w:fill="auto"/>
            <w:noWrap/>
            <w:vAlign w:val="center"/>
            <w:hideMark/>
          </w:tcPr>
          <w:p w14:paraId="7AAC2880" w14:textId="77777777" w:rsidR="00A23578" w:rsidRPr="00A23578" w:rsidRDefault="2213B180" w:rsidP="3328C818">
            <w:pPr>
              <w:pStyle w:val="Table-Text"/>
              <w:jc w:val="center"/>
              <w:rPr>
                <w:rFonts w:eastAsia="Times New Roman" w:cs="Times New Roman"/>
                <w:color w:val="000000"/>
              </w:rPr>
            </w:pPr>
            <w:r>
              <w:t xml:space="preserve"> $    2,941,370 </w:t>
            </w:r>
          </w:p>
        </w:tc>
      </w:tr>
      <w:tr w:rsidR="00A23578" w:rsidRPr="00A23578" w14:paraId="73F01DAB" w14:textId="77777777" w:rsidTr="3328C818">
        <w:trPr>
          <w:trHeight w:hRule="exact" w:val="288"/>
        </w:trPr>
        <w:tc>
          <w:tcPr>
            <w:tcW w:w="2104" w:type="pct"/>
            <w:tcBorders>
              <w:top w:val="nil"/>
              <w:left w:val="single" w:sz="8" w:space="0" w:color="auto"/>
              <w:bottom w:val="single" w:sz="4" w:space="0" w:color="auto"/>
              <w:right w:val="nil"/>
            </w:tcBorders>
            <w:shd w:val="clear" w:color="auto" w:fill="auto"/>
            <w:noWrap/>
            <w:vAlign w:val="bottom"/>
            <w:hideMark/>
          </w:tcPr>
          <w:p w14:paraId="7C5D8BCB" w14:textId="77777777" w:rsidR="00A23578" w:rsidRPr="00A23578" w:rsidRDefault="00A23578" w:rsidP="001B0492">
            <w:pPr>
              <w:pStyle w:val="Table-Text"/>
              <w:rPr>
                <w:rFonts w:eastAsia="Times New Roman" w:cs="Times New Roman"/>
                <w:color w:val="000000"/>
              </w:rPr>
            </w:pPr>
            <w:r w:rsidRPr="00A23578">
              <w:t>Uncontrolled SO2 Emission Rate (</w:t>
            </w:r>
            <w:proofErr w:type="spellStart"/>
            <w:r w:rsidRPr="00A23578">
              <w:t>lb</w:t>
            </w:r>
            <w:proofErr w:type="spellEnd"/>
            <w:r w:rsidRPr="00A23578">
              <w:t>/</w:t>
            </w:r>
            <w:proofErr w:type="spellStart"/>
            <w:r w:rsidRPr="00A23578">
              <w:t>mmbtu</w:t>
            </w:r>
            <w:proofErr w:type="spellEnd"/>
            <w:r w:rsidRPr="00A23578">
              <w:t>)</w:t>
            </w:r>
          </w:p>
        </w:tc>
        <w:tc>
          <w:tcPr>
            <w:tcW w:w="766" w:type="pct"/>
            <w:tcBorders>
              <w:top w:val="nil"/>
              <w:left w:val="single" w:sz="8" w:space="0" w:color="auto"/>
              <w:bottom w:val="single" w:sz="4" w:space="0" w:color="auto"/>
              <w:right w:val="nil"/>
            </w:tcBorders>
            <w:shd w:val="clear" w:color="auto" w:fill="auto"/>
            <w:noWrap/>
            <w:vAlign w:val="center"/>
            <w:hideMark/>
          </w:tcPr>
          <w:p w14:paraId="55ADE0D0" w14:textId="77777777" w:rsidR="00A23578" w:rsidRPr="00A23578" w:rsidRDefault="2213B180" w:rsidP="3328C818">
            <w:pPr>
              <w:pStyle w:val="Table-Text"/>
              <w:jc w:val="center"/>
              <w:rPr>
                <w:rFonts w:eastAsia="Times New Roman" w:cs="Times New Roman"/>
                <w:color w:val="000000"/>
              </w:rPr>
            </w:pPr>
            <w:r>
              <w:t xml:space="preserve">0.45 </w:t>
            </w: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0A967CB5" w14:textId="77777777" w:rsidR="00A23578" w:rsidRPr="00A23578" w:rsidRDefault="2213B180" w:rsidP="3328C818">
            <w:pPr>
              <w:pStyle w:val="Table-Text"/>
              <w:jc w:val="center"/>
              <w:rPr>
                <w:rFonts w:eastAsia="Times New Roman" w:cs="Times New Roman"/>
                <w:color w:val="000000"/>
              </w:rPr>
            </w:pPr>
            <w:r>
              <w:t xml:space="preserve">0.45 </w:t>
            </w:r>
          </w:p>
        </w:tc>
        <w:tc>
          <w:tcPr>
            <w:tcW w:w="670" w:type="pct"/>
            <w:tcBorders>
              <w:top w:val="nil"/>
              <w:left w:val="nil"/>
              <w:bottom w:val="single" w:sz="4" w:space="0" w:color="auto"/>
              <w:right w:val="single" w:sz="4" w:space="0" w:color="auto"/>
            </w:tcBorders>
            <w:shd w:val="clear" w:color="auto" w:fill="auto"/>
            <w:noWrap/>
            <w:vAlign w:val="center"/>
            <w:hideMark/>
          </w:tcPr>
          <w:p w14:paraId="4A3AE9DF" w14:textId="77777777" w:rsidR="00A23578" w:rsidRPr="00A23578" w:rsidRDefault="2213B180" w:rsidP="3328C818">
            <w:pPr>
              <w:pStyle w:val="Table-Text"/>
              <w:jc w:val="center"/>
              <w:rPr>
                <w:rFonts w:eastAsia="Times New Roman" w:cs="Times New Roman"/>
                <w:color w:val="000000"/>
              </w:rPr>
            </w:pPr>
            <w:r>
              <w:t> </w:t>
            </w:r>
          </w:p>
        </w:tc>
        <w:tc>
          <w:tcPr>
            <w:tcW w:w="670" w:type="pct"/>
            <w:tcBorders>
              <w:top w:val="nil"/>
              <w:left w:val="nil"/>
              <w:bottom w:val="single" w:sz="4" w:space="0" w:color="auto"/>
              <w:right w:val="single" w:sz="8" w:space="0" w:color="auto"/>
            </w:tcBorders>
            <w:shd w:val="clear" w:color="auto" w:fill="auto"/>
            <w:noWrap/>
            <w:vAlign w:val="center"/>
            <w:hideMark/>
          </w:tcPr>
          <w:p w14:paraId="512AD9BE" w14:textId="77777777" w:rsidR="00A23578" w:rsidRPr="00A23578" w:rsidRDefault="2213B180" w:rsidP="3328C818">
            <w:pPr>
              <w:pStyle w:val="Table-Text"/>
              <w:jc w:val="center"/>
              <w:rPr>
                <w:rFonts w:eastAsia="Times New Roman" w:cs="Times New Roman"/>
                <w:color w:val="000000"/>
              </w:rPr>
            </w:pPr>
            <w:r>
              <w:t xml:space="preserve">0.45 </w:t>
            </w:r>
          </w:p>
        </w:tc>
      </w:tr>
      <w:tr w:rsidR="00A23578" w:rsidRPr="00A23578" w14:paraId="7C8FC6A7" w14:textId="77777777" w:rsidTr="3328C818">
        <w:trPr>
          <w:trHeight w:hRule="exact" w:val="288"/>
        </w:trPr>
        <w:tc>
          <w:tcPr>
            <w:tcW w:w="2104" w:type="pct"/>
            <w:tcBorders>
              <w:top w:val="nil"/>
              <w:left w:val="single" w:sz="8" w:space="0" w:color="auto"/>
              <w:bottom w:val="single" w:sz="4" w:space="0" w:color="auto"/>
              <w:right w:val="nil"/>
            </w:tcBorders>
            <w:shd w:val="clear" w:color="auto" w:fill="auto"/>
            <w:noWrap/>
            <w:vAlign w:val="bottom"/>
            <w:hideMark/>
          </w:tcPr>
          <w:p w14:paraId="1D5ABA38" w14:textId="77777777" w:rsidR="00A23578" w:rsidRPr="00A23578" w:rsidRDefault="00A23578" w:rsidP="001B0492">
            <w:pPr>
              <w:pStyle w:val="Table-Text"/>
              <w:rPr>
                <w:rFonts w:eastAsia="Times New Roman" w:cs="Times New Roman"/>
                <w:color w:val="000000"/>
              </w:rPr>
            </w:pPr>
            <w:r w:rsidRPr="00A23578">
              <w:t>Uncontrolled Tons</w:t>
            </w:r>
          </w:p>
        </w:tc>
        <w:tc>
          <w:tcPr>
            <w:tcW w:w="766" w:type="pct"/>
            <w:tcBorders>
              <w:top w:val="nil"/>
              <w:left w:val="single" w:sz="8" w:space="0" w:color="auto"/>
              <w:bottom w:val="single" w:sz="4" w:space="0" w:color="auto"/>
              <w:right w:val="nil"/>
            </w:tcBorders>
            <w:shd w:val="clear" w:color="auto" w:fill="auto"/>
            <w:noWrap/>
            <w:vAlign w:val="center"/>
            <w:hideMark/>
          </w:tcPr>
          <w:p w14:paraId="63A7CE1C" w14:textId="77777777" w:rsidR="00A23578" w:rsidRPr="00A23578" w:rsidRDefault="2213B180" w:rsidP="3328C818">
            <w:pPr>
              <w:pStyle w:val="Table-Text"/>
              <w:jc w:val="center"/>
              <w:rPr>
                <w:rFonts w:eastAsia="Times New Roman" w:cs="Times New Roman"/>
                <w:color w:val="000000"/>
              </w:rPr>
            </w:pPr>
            <w:r>
              <w:t>904</w:t>
            </w: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379AFCFC" w14:textId="77777777" w:rsidR="00A23578" w:rsidRPr="00A23578" w:rsidRDefault="2213B180" w:rsidP="3328C818">
            <w:pPr>
              <w:pStyle w:val="Table-Text"/>
              <w:jc w:val="center"/>
              <w:rPr>
                <w:rFonts w:eastAsia="Times New Roman" w:cs="Times New Roman"/>
                <w:color w:val="000000"/>
              </w:rPr>
            </w:pPr>
            <w:r>
              <w:t xml:space="preserve">904 </w:t>
            </w:r>
          </w:p>
        </w:tc>
        <w:tc>
          <w:tcPr>
            <w:tcW w:w="670" w:type="pct"/>
            <w:tcBorders>
              <w:top w:val="nil"/>
              <w:left w:val="nil"/>
              <w:bottom w:val="single" w:sz="4" w:space="0" w:color="auto"/>
              <w:right w:val="single" w:sz="4" w:space="0" w:color="auto"/>
            </w:tcBorders>
            <w:shd w:val="clear" w:color="auto" w:fill="auto"/>
            <w:noWrap/>
            <w:vAlign w:val="center"/>
            <w:hideMark/>
          </w:tcPr>
          <w:p w14:paraId="4FE83034" w14:textId="77777777" w:rsidR="00A23578" w:rsidRPr="00A23578" w:rsidRDefault="2213B180" w:rsidP="3328C818">
            <w:pPr>
              <w:pStyle w:val="Table-Text"/>
              <w:jc w:val="center"/>
              <w:rPr>
                <w:rFonts w:eastAsia="Times New Roman" w:cs="Times New Roman"/>
                <w:color w:val="000000"/>
              </w:rPr>
            </w:pPr>
            <w:r>
              <w:t> </w:t>
            </w:r>
          </w:p>
        </w:tc>
        <w:tc>
          <w:tcPr>
            <w:tcW w:w="670" w:type="pct"/>
            <w:tcBorders>
              <w:top w:val="nil"/>
              <w:left w:val="nil"/>
              <w:bottom w:val="single" w:sz="4" w:space="0" w:color="auto"/>
              <w:right w:val="single" w:sz="8" w:space="0" w:color="auto"/>
            </w:tcBorders>
            <w:shd w:val="clear" w:color="auto" w:fill="auto"/>
            <w:noWrap/>
            <w:vAlign w:val="center"/>
            <w:hideMark/>
          </w:tcPr>
          <w:p w14:paraId="198E20DF" w14:textId="77777777" w:rsidR="00A23578" w:rsidRPr="00A23578" w:rsidRDefault="2213B180" w:rsidP="3328C818">
            <w:pPr>
              <w:pStyle w:val="Table-Text"/>
              <w:jc w:val="center"/>
              <w:rPr>
                <w:rFonts w:eastAsia="Times New Roman" w:cs="Times New Roman"/>
                <w:color w:val="000000"/>
              </w:rPr>
            </w:pPr>
            <w:r>
              <w:t xml:space="preserve">904 </w:t>
            </w:r>
          </w:p>
        </w:tc>
      </w:tr>
      <w:tr w:rsidR="00A23578" w:rsidRPr="00A23578" w14:paraId="6F16442F" w14:textId="77777777" w:rsidTr="3328C818">
        <w:trPr>
          <w:trHeight w:hRule="exact" w:val="288"/>
        </w:trPr>
        <w:tc>
          <w:tcPr>
            <w:tcW w:w="2104" w:type="pct"/>
            <w:tcBorders>
              <w:top w:val="nil"/>
              <w:left w:val="single" w:sz="8" w:space="0" w:color="auto"/>
              <w:bottom w:val="single" w:sz="4" w:space="0" w:color="auto"/>
              <w:right w:val="nil"/>
            </w:tcBorders>
            <w:shd w:val="clear" w:color="auto" w:fill="auto"/>
            <w:noWrap/>
            <w:vAlign w:val="bottom"/>
            <w:hideMark/>
          </w:tcPr>
          <w:p w14:paraId="32C4E4FD" w14:textId="77777777" w:rsidR="00A23578" w:rsidRPr="00A23578" w:rsidRDefault="00A23578" w:rsidP="001B0492">
            <w:pPr>
              <w:pStyle w:val="Table-Text"/>
              <w:rPr>
                <w:rFonts w:eastAsia="Times New Roman" w:cs="Times New Roman"/>
                <w:color w:val="000000"/>
              </w:rPr>
            </w:pPr>
            <w:r w:rsidRPr="00A23578">
              <w:t>SO2 Removal Efficiency</w:t>
            </w:r>
          </w:p>
        </w:tc>
        <w:tc>
          <w:tcPr>
            <w:tcW w:w="766" w:type="pct"/>
            <w:tcBorders>
              <w:top w:val="nil"/>
              <w:left w:val="single" w:sz="8" w:space="0" w:color="auto"/>
              <w:bottom w:val="single" w:sz="4" w:space="0" w:color="auto"/>
              <w:right w:val="nil"/>
            </w:tcBorders>
            <w:shd w:val="clear" w:color="auto" w:fill="auto"/>
            <w:noWrap/>
            <w:vAlign w:val="center"/>
            <w:hideMark/>
          </w:tcPr>
          <w:p w14:paraId="5655A203" w14:textId="77777777" w:rsidR="00A23578" w:rsidRPr="00A23578" w:rsidRDefault="2213B180" w:rsidP="3328C818">
            <w:pPr>
              <w:pStyle w:val="Table-Text"/>
              <w:jc w:val="center"/>
              <w:rPr>
                <w:rFonts w:eastAsia="Times New Roman" w:cs="Times New Roman"/>
                <w:color w:val="000000"/>
              </w:rPr>
            </w:pPr>
            <w:r>
              <w:t>40</w:t>
            </w: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2E353ADC" w14:textId="77777777" w:rsidR="00A23578" w:rsidRPr="00A23578" w:rsidRDefault="2213B180" w:rsidP="3328C818">
            <w:pPr>
              <w:pStyle w:val="Table-Text"/>
              <w:jc w:val="center"/>
              <w:rPr>
                <w:rFonts w:eastAsia="Times New Roman" w:cs="Times New Roman"/>
                <w:color w:val="000000"/>
              </w:rPr>
            </w:pPr>
            <w:r>
              <w:t>80</w:t>
            </w:r>
          </w:p>
        </w:tc>
        <w:tc>
          <w:tcPr>
            <w:tcW w:w="670" w:type="pct"/>
            <w:tcBorders>
              <w:top w:val="nil"/>
              <w:left w:val="nil"/>
              <w:bottom w:val="single" w:sz="4" w:space="0" w:color="auto"/>
              <w:right w:val="single" w:sz="4" w:space="0" w:color="auto"/>
            </w:tcBorders>
            <w:shd w:val="clear" w:color="auto" w:fill="auto"/>
            <w:noWrap/>
            <w:vAlign w:val="center"/>
            <w:hideMark/>
          </w:tcPr>
          <w:p w14:paraId="4B1FE7BB" w14:textId="77777777" w:rsidR="00A23578" w:rsidRPr="00A23578" w:rsidRDefault="2213B180" w:rsidP="3328C818">
            <w:pPr>
              <w:pStyle w:val="Table-Text"/>
              <w:jc w:val="center"/>
              <w:rPr>
                <w:rFonts w:eastAsia="Times New Roman" w:cs="Times New Roman"/>
                <w:color w:val="000000"/>
              </w:rPr>
            </w:pPr>
            <w:r>
              <w:t> </w:t>
            </w:r>
          </w:p>
        </w:tc>
        <w:tc>
          <w:tcPr>
            <w:tcW w:w="670" w:type="pct"/>
            <w:tcBorders>
              <w:top w:val="nil"/>
              <w:left w:val="nil"/>
              <w:bottom w:val="single" w:sz="4" w:space="0" w:color="auto"/>
              <w:right w:val="single" w:sz="8" w:space="0" w:color="auto"/>
            </w:tcBorders>
            <w:shd w:val="clear" w:color="auto" w:fill="auto"/>
            <w:noWrap/>
            <w:vAlign w:val="center"/>
            <w:hideMark/>
          </w:tcPr>
          <w:p w14:paraId="2209DAA9" w14:textId="77777777" w:rsidR="00A23578" w:rsidRPr="00A23578" w:rsidRDefault="2213B180" w:rsidP="3328C818">
            <w:pPr>
              <w:pStyle w:val="Table-Text"/>
              <w:jc w:val="center"/>
              <w:rPr>
                <w:rFonts w:eastAsia="Times New Roman" w:cs="Times New Roman"/>
                <w:color w:val="000000"/>
              </w:rPr>
            </w:pPr>
            <w:r>
              <w:t>80</w:t>
            </w:r>
          </w:p>
        </w:tc>
      </w:tr>
      <w:tr w:rsidR="00A23578" w:rsidRPr="00A23578" w14:paraId="0774EAFF" w14:textId="77777777" w:rsidTr="3328C818">
        <w:trPr>
          <w:trHeight w:hRule="exact" w:val="288"/>
        </w:trPr>
        <w:tc>
          <w:tcPr>
            <w:tcW w:w="2104" w:type="pct"/>
            <w:tcBorders>
              <w:top w:val="nil"/>
              <w:left w:val="single" w:sz="8" w:space="0" w:color="auto"/>
              <w:bottom w:val="single" w:sz="4" w:space="0" w:color="auto"/>
              <w:right w:val="nil"/>
            </w:tcBorders>
            <w:shd w:val="clear" w:color="auto" w:fill="auto"/>
            <w:noWrap/>
            <w:vAlign w:val="bottom"/>
            <w:hideMark/>
          </w:tcPr>
          <w:p w14:paraId="4442A128" w14:textId="77777777" w:rsidR="00A23578" w:rsidRPr="00A23578" w:rsidRDefault="00A23578" w:rsidP="001B0492">
            <w:pPr>
              <w:pStyle w:val="Table-Text"/>
              <w:rPr>
                <w:rFonts w:eastAsia="Times New Roman" w:cs="Times New Roman"/>
                <w:color w:val="000000"/>
              </w:rPr>
            </w:pPr>
            <w:r w:rsidRPr="00A23578">
              <w:t xml:space="preserve">Controlled SO2 Emission Rate </w:t>
            </w:r>
            <w:r w:rsidRPr="00A23578">
              <w:rPr>
                <w:rFonts w:eastAsia="Times New Roman" w:cs="Times New Roman"/>
                <w:color w:val="000000"/>
              </w:rPr>
              <w:t>(</w:t>
            </w:r>
            <w:proofErr w:type="spellStart"/>
            <w:r w:rsidRPr="00A23578">
              <w:rPr>
                <w:rFonts w:eastAsia="Times New Roman" w:cs="Times New Roman"/>
                <w:color w:val="000000"/>
              </w:rPr>
              <w:t>lb</w:t>
            </w:r>
            <w:proofErr w:type="spellEnd"/>
            <w:r w:rsidRPr="00A23578">
              <w:rPr>
                <w:rFonts w:eastAsia="Times New Roman" w:cs="Times New Roman"/>
                <w:color w:val="000000"/>
              </w:rPr>
              <w:t>/</w:t>
            </w:r>
            <w:proofErr w:type="spellStart"/>
            <w:r w:rsidRPr="00A23578">
              <w:rPr>
                <w:rFonts w:eastAsia="Times New Roman" w:cs="Times New Roman"/>
                <w:color w:val="000000"/>
              </w:rPr>
              <w:t>mmbtu</w:t>
            </w:r>
            <w:proofErr w:type="spellEnd"/>
            <w:r w:rsidRPr="00A23578">
              <w:rPr>
                <w:rFonts w:eastAsia="Times New Roman" w:cs="Times New Roman"/>
                <w:color w:val="000000"/>
              </w:rPr>
              <w:t>)</w:t>
            </w:r>
          </w:p>
        </w:tc>
        <w:tc>
          <w:tcPr>
            <w:tcW w:w="766" w:type="pct"/>
            <w:tcBorders>
              <w:top w:val="nil"/>
              <w:left w:val="single" w:sz="8" w:space="0" w:color="auto"/>
              <w:bottom w:val="single" w:sz="4" w:space="0" w:color="auto"/>
              <w:right w:val="nil"/>
            </w:tcBorders>
            <w:shd w:val="clear" w:color="auto" w:fill="auto"/>
            <w:noWrap/>
            <w:vAlign w:val="center"/>
            <w:hideMark/>
          </w:tcPr>
          <w:p w14:paraId="23DDBE72" w14:textId="77777777" w:rsidR="00A23578" w:rsidRPr="00A23578" w:rsidRDefault="2213B180" w:rsidP="3328C818">
            <w:pPr>
              <w:pStyle w:val="Table-Text"/>
              <w:jc w:val="center"/>
              <w:rPr>
                <w:rFonts w:eastAsia="Times New Roman" w:cs="Times New Roman"/>
                <w:color w:val="000000"/>
              </w:rPr>
            </w:pPr>
            <w:r>
              <w:t>0.27</w:t>
            </w: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0CDFE85E" w14:textId="77777777" w:rsidR="00A23578" w:rsidRPr="00A23578" w:rsidRDefault="2213B180" w:rsidP="3328C818">
            <w:pPr>
              <w:pStyle w:val="Table-Text"/>
              <w:jc w:val="center"/>
              <w:rPr>
                <w:rFonts w:eastAsia="Times New Roman" w:cs="Times New Roman"/>
                <w:color w:val="000000"/>
              </w:rPr>
            </w:pPr>
            <w:r>
              <w:t xml:space="preserve">0.09 </w:t>
            </w:r>
          </w:p>
        </w:tc>
        <w:tc>
          <w:tcPr>
            <w:tcW w:w="670" w:type="pct"/>
            <w:tcBorders>
              <w:top w:val="nil"/>
              <w:left w:val="nil"/>
              <w:bottom w:val="single" w:sz="4" w:space="0" w:color="auto"/>
              <w:right w:val="single" w:sz="4" w:space="0" w:color="auto"/>
            </w:tcBorders>
            <w:shd w:val="clear" w:color="auto" w:fill="auto"/>
            <w:noWrap/>
            <w:vAlign w:val="center"/>
            <w:hideMark/>
          </w:tcPr>
          <w:p w14:paraId="04E22688" w14:textId="77777777" w:rsidR="00A23578" w:rsidRPr="00A23578" w:rsidRDefault="2213B180" w:rsidP="3328C818">
            <w:pPr>
              <w:pStyle w:val="Table-Text"/>
              <w:jc w:val="center"/>
              <w:rPr>
                <w:rFonts w:eastAsia="Times New Roman" w:cs="Times New Roman"/>
                <w:color w:val="000000"/>
              </w:rPr>
            </w:pPr>
            <w:r>
              <w:t> </w:t>
            </w:r>
          </w:p>
        </w:tc>
        <w:tc>
          <w:tcPr>
            <w:tcW w:w="670" w:type="pct"/>
            <w:tcBorders>
              <w:top w:val="nil"/>
              <w:left w:val="nil"/>
              <w:bottom w:val="single" w:sz="4" w:space="0" w:color="auto"/>
              <w:right w:val="single" w:sz="8" w:space="0" w:color="auto"/>
            </w:tcBorders>
            <w:shd w:val="clear" w:color="auto" w:fill="auto"/>
            <w:noWrap/>
            <w:vAlign w:val="center"/>
            <w:hideMark/>
          </w:tcPr>
          <w:p w14:paraId="72ECF4B6" w14:textId="77777777" w:rsidR="00A23578" w:rsidRPr="00A23578" w:rsidRDefault="2213B180" w:rsidP="3328C818">
            <w:pPr>
              <w:pStyle w:val="Table-Text"/>
              <w:jc w:val="center"/>
              <w:rPr>
                <w:rFonts w:eastAsia="Times New Roman" w:cs="Times New Roman"/>
                <w:color w:val="000000"/>
              </w:rPr>
            </w:pPr>
            <w:r>
              <w:t xml:space="preserve">0.09 </w:t>
            </w:r>
          </w:p>
        </w:tc>
      </w:tr>
      <w:tr w:rsidR="00A23578" w:rsidRPr="00A23578" w14:paraId="7963C870" w14:textId="77777777" w:rsidTr="3328C818">
        <w:trPr>
          <w:trHeight w:hRule="exact" w:val="288"/>
        </w:trPr>
        <w:tc>
          <w:tcPr>
            <w:tcW w:w="2104" w:type="pct"/>
            <w:tcBorders>
              <w:top w:val="nil"/>
              <w:left w:val="single" w:sz="8" w:space="0" w:color="auto"/>
              <w:bottom w:val="single" w:sz="4" w:space="0" w:color="auto"/>
              <w:right w:val="nil"/>
            </w:tcBorders>
            <w:shd w:val="clear" w:color="auto" w:fill="auto"/>
            <w:noWrap/>
            <w:vAlign w:val="bottom"/>
            <w:hideMark/>
          </w:tcPr>
          <w:p w14:paraId="2B67FC4C" w14:textId="77777777" w:rsidR="00A23578" w:rsidRPr="00A23578" w:rsidRDefault="00A23578" w:rsidP="001B0492">
            <w:pPr>
              <w:pStyle w:val="Table-Text"/>
              <w:rPr>
                <w:rFonts w:eastAsia="Times New Roman" w:cs="Times New Roman"/>
                <w:color w:val="000000"/>
              </w:rPr>
            </w:pPr>
            <w:r w:rsidRPr="00A23578">
              <w:t>Tons Removed</w:t>
            </w:r>
          </w:p>
        </w:tc>
        <w:tc>
          <w:tcPr>
            <w:tcW w:w="766" w:type="pct"/>
            <w:tcBorders>
              <w:top w:val="nil"/>
              <w:left w:val="single" w:sz="8" w:space="0" w:color="auto"/>
              <w:bottom w:val="single" w:sz="4" w:space="0" w:color="auto"/>
              <w:right w:val="nil"/>
            </w:tcBorders>
            <w:shd w:val="clear" w:color="auto" w:fill="auto"/>
            <w:noWrap/>
            <w:vAlign w:val="center"/>
            <w:hideMark/>
          </w:tcPr>
          <w:p w14:paraId="69CAB106" w14:textId="77777777" w:rsidR="00A23578" w:rsidRPr="00A23578" w:rsidRDefault="2213B180" w:rsidP="3328C818">
            <w:pPr>
              <w:pStyle w:val="Table-Text"/>
              <w:jc w:val="center"/>
              <w:rPr>
                <w:rFonts w:eastAsia="Times New Roman" w:cs="Times New Roman"/>
                <w:color w:val="000000"/>
              </w:rPr>
            </w:pPr>
            <w:r>
              <w:t>362</w:t>
            </w:r>
          </w:p>
        </w:tc>
        <w:tc>
          <w:tcPr>
            <w:tcW w:w="790" w:type="pct"/>
            <w:tcBorders>
              <w:top w:val="nil"/>
              <w:left w:val="single" w:sz="8" w:space="0" w:color="auto"/>
              <w:bottom w:val="single" w:sz="4" w:space="0" w:color="auto"/>
              <w:right w:val="single" w:sz="4" w:space="0" w:color="auto"/>
            </w:tcBorders>
            <w:shd w:val="clear" w:color="auto" w:fill="auto"/>
            <w:noWrap/>
            <w:vAlign w:val="center"/>
            <w:hideMark/>
          </w:tcPr>
          <w:p w14:paraId="1FF62BF7" w14:textId="77777777" w:rsidR="00A23578" w:rsidRPr="00A23578" w:rsidRDefault="2213B180" w:rsidP="3328C818">
            <w:pPr>
              <w:pStyle w:val="Table-Text"/>
              <w:jc w:val="center"/>
              <w:rPr>
                <w:rFonts w:eastAsia="Times New Roman" w:cs="Times New Roman"/>
                <w:color w:val="000000"/>
              </w:rPr>
            </w:pPr>
            <w:r>
              <w:t xml:space="preserve">723 </w:t>
            </w:r>
          </w:p>
        </w:tc>
        <w:tc>
          <w:tcPr>
            <w:tcW w:w="670" w:type="pct"/>
            <w:tcBorders>
              <w:top w:val="nil"/>
              <w:left w:val="nil"/>
              <w:bottom w:val="single" w:sz="4" w:space="0" w:color="auto"/>
              <w:right w:val="single" w:sz="4" w:space="0" w:color="auto"/>
            </w:tcBorders>
            <w:shd w:val="clear" w:color="auto" w:fill="auto"/>
            <w:noWrap/>
            <w:vAlign w:val="center"/>
            <w:hideMark/>
          </w:tcPr>
          <w:p w14:paraId="42017514" w14:textId="77777777" w:rsidR="00A23578" w:rsidRPr="00A23578" w:rsidRDefault="2213B180" w:rsidP="3328C818">
            <w:pPr>
              <w:pStyle w:val="Table-Text"/>
              <w:jc w:val="center"/>
              <w:rPr>
                <w:rFonts w:eastAsia="Times New Roman" w:cs="Times New Roman"/>
                <w:color w:val="000000"/>
              </w:rPr>
            </w:pPr>
            <w:r>
              <w:t> </w:t>
            </w:r>
          </w:p>
        </w:tc>
        <w:tc>
          <w:tcPr>
            <w:tcW w:w="670" w:type="pct"/>
            <w:tcBorders>
              <w:top w:val="nil"/>
              <w:left w:val="nil"/>
              <w:bottom w:val="single" w:sz="4" w:space="0" w:color="auto"/>
              <w:right w:val="single" w:sz="8" w:space="0" w:color="auto"/>
            </w:tcBorders>
            <w:shd w:val="clear" w:color="auto" w:fill="auto"/>
            <w:noWrap/>
            <w:vAlign w:val="center"/>
            <w:hideMark/>
          </w:tcPr>
          <w:p w14:paraId="4CF54BA5" w14:textId="77777777" w:rsidR="00A23578" w:rsidRPr="00A23578" w:rsidRDefault="2213B180" w:rsidP="3328C818">
            <w:pPr>
              <w:pStyle w:val="Table-Text"/>
              <w:jc w:val="center"/>
              <w:rPr>
                <w:rFonts w:eastAsia="Times New Roman" w:cs="Times New Roman"/>
                <w:color w:val="000000"/>
              </w:rPr>
            </w:pPr>
            <w:r>
              <w:t xml:space="preserve">723 </w:t>
            </w:r>
          </w:p>
        </w:tc>
      </w:tr>
      <w:tr w:rsidR="00A23578" w:rsidRPr="00A23578" w14:paraId="12B8F86D" w14:textId="77777777" w:rsidTr="3328C818">
        <w:trPr>
          <w:trHeight w:hRule="exact" w:val="288"/>
        </w:trPr>
        <w:tc>
          <w:tcPr>
            <w:tcW w:w="2104" w:type="pct"/>
            <w:tcBorders>
              <w:top w:val="nil"/>
              <w:left w:val="single" w:sz="8" w:space="0" w:color="auto"/>
              <w:bottom w:val="single" w:sz="8" w:space="0" w:color="auto"/>
              <w:right w:val="nil"/>
            </w:tcBorders>
            <w:shd w:val="clear" w:color="auto" w:fill="auto"/>
            <w:noWrap/>
            <w:vAlign w:val="bottom"/>
            <w:hideMark/>
          </w:tcPr>
          <w:p w14:paraId="040D662E" w14:textId="77777777" w:rsidR="00A23578" w:rsidRPr="00A23578" w:rsidRDefault="00A23578" w:rsidP="001B0492">
            <w:pPr>
              <w:pStyle w:val="Table-Text"/>
              <w:rPr>
                <w:rFonts w:eastAsia="Times New Roman" w:cs="Times New Roman"/>
                <w:color w:val="000000"/>
              </w:rPr>
            </w:pPr>
            <w:r w:rsidRPr="00A23578">
              <w:t>Cost-Effectiveness</w:t>
            </w:r>
          </w:p>
        </w:tc>
        <w:tc>
          <w:tcPr>
            <w:tcW w:w="766" w:type="pct"/>
            <w:tcBorders>
              <w:top w:val="nil"/>
              <w:left w:val="single" w:sz="8" w:space="0" w:color="auto"/>
              <w:bottom w:val="single" w:sz="8" w:space="0" w:color="auto"/>
              <w:right w:val="nil"/>
            </w:tcBorders>
            <w:shd w:val="clear" w:color="auto" w:fill="auto"/>
            <w:noWrap/>
            <w:vAlign w:val="center"/>
            <w:hideMark/>
          </w:tcPr>
          <w:p w14:paraId="05815D87" w14:textId="77777777" w:rsidR="00A23578" w:rsidRPr="00A23578" w:rsidRDefault="2213B180" w:rsidP="3328C818">
            <w:pPr>
              <w:pStyle w:val="Table-Text"/>
              <w:jc w:val="center"/>
              <w:rPr>
                <w:rFonts w:eastAsia="Times New Roman" w:cs="Times New Roman"/>
                <w:color w:val="000000"/>
              </w:rPr>
            </w:pPr>
            <w:r>
              <w:t xml:space="preserve"> $               5,623 </w:t>
            </w:r>
          </w:p>
        </w:tc>
        <w:tc>
          <w:tcPr>
            <w:tcW w:w="790" w:type="pct"/>
            <w:tcBorders>
              <w:top w:val="nil"/>
              <w:left w:val="single" w:sz="8" w:space="0" w:color="auto"/>
              <w:bottom w:val="single" w:sz="8" w:space="0" w:color="auto"/>
              <w:right w:val="single" w:sz="4" w:space="0" w:color="auto"/>
            </w:tcBorders>
            <w:shd w:val="clear" w:color="auto" w:fill="auto"/>
            <w:noWrap/>
            <w:vAlign w:val="center"/>
            <w:hideMark/>
          </w:tcPr>
          <w:p w14:paraId="4EEDC30F" w14:textId="77777777" w:rsidR="00A23578" w:rsidRPr="00A23578" w:rsidRDefault="2213B180" w:rsidP="3328C818">
            <w:pPr>
              <w:pStyle w:val="Table-Text"/>
              <w:jc w:val="center"/>
              <w:rPr>
                <w:rFonts w:eastAsia="Times New Roman" w:cs="Times New Roman"/>
                <w:color w:val="000000"/>
              </w:rPr>
            </w:pPr>
            <w:r>
              <w:t xml:space="preserve"> $                3,705 </w:t>
            </w:r>
          </w:p>
        </w:tc>
        <w:tc>
          <w:tcPr>
            <w:tcW w:w="670" w:type="pct"/>
            <w:tcBorders>
              <w:top w:val="nil"/>
              <w:left w:val="nil"/>
              <w:bottom w:val="single" w:sz="8" w:space="0" w:color="auto"/>
              <w:right w:val="single" w:sz="4" w:space="0" w:color="auto"/>
            </w:tcBorders>
            <w:shd w:val="clear" w:color="auto" w:fill="auto"/>
            <w:noWrap/>
            <w:vAlign w:val="center"/>
            <w:hideMark/>
          </w:tcPr>
          <w:p w14:paraId="1260E713" w14:textId="77777777" w:rsidR="00A23578" w:rsidRPr="00A23578" w:rsidRDefault="2213B180" w:rsidP="3328C818">
            <w:pPr>
              <w:pStyle w:val="Table-Text"/>
              <w:jc w:val="center"/>
              <w:rPr>
                <w:rFonts w:eastAsia="Times New Roman" w:cs="Times New Roman"/>
                <w:color w:val="000000"/>
              </w:rPr>
            </w:pPr>
            <w:r>
              <w:t> </w:t>
            </w:r>
          </w:p>
        </w:tc>
        <w:tc>
          <w:tcPr>
            <w:tcW w:w="670" w:type="pct"/>
            <w:tcBorders>
              <w:top w:val="nil"/>
              <w:left w:val="nil"/>
              <w:bottom w:val="single" w:sz="8" w:space="0" w:color="auto"/>
              <w:right w:val="single" w:sz="8" w:space="0" w:color="auto"/>
            </w:tcBorders>
            <w:shd w:val="clear" w:color="auto" w:fill="auto"/>
            <w:noWrap/>
            <w:vAlign w:val="center"/>
            <w:hideMark/>
          </w:tcPr>
          <w:p w14:paraId="2A8D8877" w14:textId="77777777" w:rsidR="00A23578" w:rsidRPr="00A23578" w:rsidRDefault="2213B180" w:rsidP="3328C818">
            <w:pPr>
              <w:pStyle w:val="Table-Text"/>
              <w:jc w:val="center"/>
              <w:rPr>
                <w:rFonts w:eastAsia="Times New Roman" w:cs="Times New Roman"/>
                <w:color w:val="000000"/>
              </w:rPr>
            </w:pPr>
            <w:r>
              <w:t xml:space="preserve"> $           4,067 </w:t>
            </w:r>
          </w:p>
        </w:tc>
      </w:tr>
    </w:tbl>
    <w:p w14:paraId="05C051E5" w14:textId="77777777" w:rsidR="00A23578" w:rsidRDefault="00A23578" w:rsidP="00B1738B">
      <w:pPr>
        <w:tabs>
          <w:tab w:val="left" w:pos="1220"/>
        </w:tabs>
        <w:spacing w:line="240" w:lineRule="auto"/>
        <w:contextualSpacing/>
      </w:pPr>
      <w:bookmarkStart w:id="27" w:name="_Hlk100816570"/>
    </w:p>
    <w:p w14:paraId="3E7973F9" w14:textId="77A952BC" w:rsidR="00867FDB" w:rsidRPr="005C4B49" w:rsidRDefault="00867FDB" w:rsidP="00B1738B">
      <w:pPr>
        <w:tabs>
          <w:tab w:val="left" w:pos="1220"/>
        </w:tabs>
        <w:spacing w:line="240" w:lineRule="auto"/>
        <w:contextualSpacing/>
      </w:pPr>
      <w:r>
        <w:t>NPS analyses show that the</w:t>
      </w:r>
      <w:r w:rsidRPr="00751BAD">
        <w:t xml:space="preserve"> cost-effectiveness of adding </w:t>
      </w:r>
      <w:r w:rsidRPr="00B63873">
        <w:t>DSI with milled trona and the existing ESP had a cost-effectiveness value around $</w:t>
      </w:r>
      <w:r w:rsidR="00A23578">
        <w:t>5,600</w:t>
      </w:r>
      <w:r w:rsidRPr="00B63873">
        <w:t xml:space="preserve">/ton, </w:t>
      </w:r>
      <w:r w:rsidR="00A23578">
        <w:t xml:space="preserve">and, </w:t>
      </w:r>
      <w:r w:rsidRPr="00B63873">
        <w:t>with a new baghouse &lt; $4,</w:t>
      </w:r>
      <w:r w:rsidR="00A23578">
        <w:t>1</w:t>
      </w:r>
      <w:r w:rsidRPr="00B63873">
        <w:t>00/ton</w:t>
      </w:r>
      <w:bookmarkEnd w:id="27"/>
      <w:r w:rsidRPr="00B63873">
        <w:t>.</w:t>
      </w:r>
    </w:p>
    <w:p w14:paraId="6079D81C" w14:textId="77777777" w:rsidR="00867FDB" w:rsidRDefault="00867FDB" w:rsidP="00B1738B">
      <w:pPr>
        <w:pStyle w:val="Heading4"/>
        <w:spacing w:line="240" w:lineRule="auto"/>
        <w:contextualSpacing/>
      </w:pPr>
      <w:r>
        <w:t>Statutory Factor 2: Time Necessary for Compliance</w:t>
      </w:r>
    </w:p>
    <w:p w14:paraId="6020A7CA" w14:textId="6CE3E753" w:rsidR="00867FDB" w:rsidRPr="009244B0" w:rsidRDefault="00867FDB" w:rsidP="00B1738B">
      <w:pPr>
        <w:spacing w:line="240" w:lineRule="auto"/>
        <w:contextualSpacing/>
      </w:pPr>
      <w:r w:rsidRPr="009244B0">
        <w:t>The NPS estimates that it would take 18 months for DSI with milled trona to be installed and operational.</w:t>
      </w:r>
    </w:p>
    <w:p w14:paraId="3D648882" w14:textId="77777777" w:rsidR="00867FDB" w:rsidRDefault="00867FDB" w:rsidP="00B1738B">
      <w:pPr>
        <w:pStyle w:val="Heading4"/>
        <w:spacing w:line="240" w:lineRule="auto"/>
        <w:contextualSpacing/>
      </w:pPr>
      <w:r>
        <w:t>Statutory Factor 3: Energy and Non-Air Quality Environmental Impacts</w:t>
      </w:r>
    </w:p>
    <w:p w14:paraId="5EB80390" w14:textId="342FAB54" w:rsidR="00867FDB" w:rsidRDefault="00867FDB" w:rsidP="00B1738B">
      <w:pPr>
        <w:spacing w:line="240" w:lineRule="auto"/>
        <w:contextualSpacing/>
      </w:pPr>
      <w:r>
        <w:t>When evaluating statutory factor 3, ACS raises several potential concerns with respect to Dry FGD or DSI including energy use, solid waste production, and potentially shortened useful life of the boiler. NPS review finds that:</w:t>
      </w:r>
    </w:p>
    <w:p w14:paraId="546D94A9" w14:textId="77777777" w:rsidR="00867FDB" w:rsidRDefault="00867FDB" w:rsidP="00B1738B">
      <w:pPr>
        <w:pStyle w:val="ListParagraph"/>
      </w:pPr>
      <w:r>
        <w:t>The energy impacts mentioned are most properly accounted for when analyzing statutory factor 1, Cost of Compliance.</w:t>
      </w:r>
    </w:p>
    <w:p w14:paraId="0AED0013" w14:textId="75D313B3" w:rsidR="00867FDB" w:rsidRDefault="00867FDB" w:rsidP="00B1738B">
      <w:pPr>
        <w:pStyle w:val="ListParagraph"/>
      </w:pPr>
      <w:r>
        <w:t xml:space="preserve">Solid waste production is not a unique issue to this site and has been handled effectively in numerous instances. </w:t>
      </w:r>
    </w:p>
    <w:p w14:paraId="412882DD" w14:textId="77777777" w:rsidR="00867FDB" w:rsidRDefault="00867FDB" w:rsidP="00B1738B">
      <w:pPr>
        <w:pStyle w:val="ListParagraph"/>
      </w:pPr>
      <w:r>
        <w:t xml:space="preserve">Factors that could affect boiler life can be avoided if sorbent is injected downstream of the boiler. </w:t>
      </w:r>
    </w:p>
    <w:p w14:paraId="4A312756" w14:textId="77777777" w:rsidR="00867FDB" w:rsidRDefault="00867FDB" w:rsidP="00B1738B">
      <w:pPr>
        <w:pStyle w:val="Heading4"/>
        <w:spacing w:line="240" w:lineRule="auto"/>
        <w:contextualSpacing/>
      </w:pPr>
      <w:r w:rsidRPr="00294DA7">
        <w:t>Stat</w:t>
      </w:r>
      <w:r>
        <w:t>utory</w:t>
      </w:r>
      <w:r w:rsidRPr="00294DA7">
        <w:t xml:space="preserve"> Factor 4: Remaining Useful Life</w:t>
      </w:r>
    </w:p>
    <w:p w14:paraId="5ABED9EB" w14:textId="1FAC5D60" w:rsidR="00867FDB" w:rsidRPr="001B6B3A" w:rsidRDefault="647749C5" w:rsidP="00B1738B">
      <w:pPr>
        <w:spacing w:line="240" w:lineRule="auto"/>
        <w:contextualSpacing/>
      </w:pPr>
      <w:r>
        <w:t>ACS notes that the remaining useful life of the EGF boilers is greater than 20 years. Therefore, the remaining useful life has no impact on the annualized estimated control technology costs. In addition, the CCM recommends 30-year life for scrubbers unless limited by a federally</w:t>
      </w:r>
      <w:r w:rsidR="7810D7D0">
        <w:t>-</w:t>
      </w:r>
      <w:r>
        <w:t>enforceable condition.</w:t>
      </w:r>
    </w:p>
    <w:p w14:paraId="24F43BAC" w14:textId="447AC498" w:rsidR="00867FDB" w:rsidRDefault="00867FDB" w:rsidP="00B1738B">
      <w:pPr>
        <w:pStyle w:val="Heading3"/>
        <w:spacing w:line="240" w:lineRule="auto"/>
        <w:contextualSpacing/>
      </w:pPr>
      <w:r w:rsidRPr="00A9462F">
        <w:t>NO</w:t>
      </w:r>
      <w:r>
        <w:rPr>
          <w:vertAlign w:val="subscript"/>
        </w:rPr>
        <w:t>x</w:t>
      </w:r>
      <w:r>
        <w:t xml:space="preserve"> Four-factor Analysis</w:t>
      </w:r>
    </w:p>
    <w:p w14:paraId="48A1F3D3" w14:textId="77777777" w:rsidR="00867FDB" w:rsidRDefault="00867FDB" w:rsidP="00B1738B">
      <w:pPr>
        <w:pStyle w:val="Heading4"/>
        <w:spacing w:line="240" w:lineRule="auto"/>
        <w:contextualSpacing/>
      </w:pPr>
      <w:r>
        <w:t>Control Selection &amp; Efficiency</w:t>
      </w:r>
    </w:p>
    <w:p w14:paraId="0E7AA303" w14:textId="395DE0FB" w:rsidR="00867FDB" w:rsidRPr="00786FF4" w:rsidRDefault="00867FDB" w:rsidP="00B1738B">
      <w:pPr>
        <w:spacing w:line="240" w:lineRule="auto"/>
        <w:contextualSpacing/>
      </w:pPr>
      <w:r>
        <w:t>NPS review finds that t</w:t>
      </w:r>
      <w:r w:rsidRPr="00786FF4">
        <w:t xml:space="preserve">he controlled emission rate presented by </w:t>
      </w:r>
      <w:r w:rsidR="00A735D1">
        <w:t>MPCA</w:t>
      </w:r>
      <w:r w:rsidRPr="00786FF4">
        <w:t xml:space="preserve"> for SCR </w:t>
      </w:r>
      <w:r w:rsidR="00A735D1">
        <w:t>(see table below) is t</w:t>
      </w:r>
      <w:r w:rsidRPr="00786FF4">
        <w:t>oo high</w:t>
      </w:r>
      <w:r w:rsidR="00A735D1">
        <w:t xml:space="preserve"> and efficiency too low.</w:t>
      </w:r>
      <w:r w:rsidRPr="00786FF4">
        <w:t xml:space="preserve"> SCR emissions (and efficiencies) are driven by chemical equilibrium factors. The CCM advises that SCR can achieve up to 90% control and reduce emissions down to 0.04 </w:t>
      </w:r>
      <w:proofErr w:type="spellStart"/>
      <w:r w:rsidRPr="00786FF4">
        <w:t>lb</w:t>
      </w:r>
      <w:proofErr w:type="spellEnd"/>
      <w:r w:rsidRPr="00786FF4">
        <w:t>/</w:t>
      </w:r>
      <w:proofErr w:type="spellStart"/>
      <w:r w:rsidRPr="00786FF4">
        <w:t>mmbtu</w:t>
      </w:r>
      <w:proofErr w:type="spellEnd"/>
      <w:r>
        <w:t xml:space="preserve">. </w:t>
      </w:r>
      <w:r w:rsidRPr="00786FF4">
        <w:t xml:space="preserve">In this case, </w:t>
      </w:r>
      <w:r w:rsidR="005202A6">
        <w:t>NPS</w:t>
      </w:r>
      <w:r w:rsidR="00D05F79">
        <w:t xml:space="preserve"> </w:t>
      </w:r>
      <w:r w:rsidR="005202A6">
        <w:t>is</w:t>
      </w:r>
      <w:r w:rsidR="00D05F79">
        <w:t xml:space="preserve"> conservatively assuming that SCR can achieve</w:t>
      </w:r>
      <w:r w:rsidRPr="00786FF4">
        <w:t xml:space="preserve"> 0.0</w:t>
      </w:r>
      <w:r w:rsidR="00D05F79">
        <w:t>5</w:t>
      </w:r>
      <w:r w:rsidRPr="00786FF4">
        <w:t xml:space="preserve"> </w:t>
      </w:r>
      <w:proofErr w:type="spellStart"/>
      <w:r w:rsidRPr="00786FF4">
        <w:t>lb</w:t>
      </w:r>
      <w:proofErr w:type="spellEnd"/>
      <w:r w:rsidRPr="00786FF4">
        <w:t>/</w:t>
      </w:r>
      <w:proofErr w:type="spellStart"/>
      <w:r w:rsidRPr="00786FF4">
        <w:t>mmBtu</w:t>
      </w:r>
      <w:proofErr w:type="spellEnd"/>
      <w:r w:rsidRPr="00786FF4">
        <w:t xml:space="preserve"> </w:t>
      </w:r>
      <w:r w:rsidR="00D05F79">
        <w:t xml:space="preserve">which </w:t>
      </w:r>
      <w:r w:rsidRPr="00786FF4">
        <w:t>would require 8</w:t>
      </w:r>
      <w:r w:rsidR="00D05F79">
        <w:t>5</w:t>
      </w:r>
      <w:r w:rsidRPr="00786FF4">
        <w:t xml:space="preserve">% control efficiency, </w:t>
      </w:r>
      <w:r w:rsidR="00D05F79">
        <w:t>well</w:t>
      </w:r>
      <w:r w:rsidRPr="00786FF4">
        <w:t xml:space="preserve"> within the capability of SCR.</w:t>
      </w:r>
    </w:p>
    <w:p w14:paraId="5483F1EE" w14:textId="77777777" w:rsidR="00867FDB" w:rsidRDefault="00867FDB" w:rsidP="00B1738B">
      <w:pPr>
        <w:pStyle w:val="Heading4"/>
        <w:spacing w:line="240" w:lineRule="auto"/>
        <w:contextualSpacing/>
      </w:pPr>
      <w:r>
        <w:t>Statutory Factor 1: Cost of Compliance</w:t>
      </w:r>
    </w:p>
    <w:p w14:paraId="64E513D8" w14:textId="77777777" w:rsidR="00867FDB" w:rsidRDefault="00867FDB" w:rsidP="00B1738B">
      <w:pPr>
        <w:spacing w:line="240" w:lineRule="auto"/>
        <w:contextualSpacing/>
      </w:pPr>
      <w:r w:rsidRPr="003815E0">
        <w:t>On February 21, 2022, HDR submitted an “Updated Selective Non-Catalytic Reduction Performance Data for American Crystal Sugar Company Four Factor Analysis” to MPCA.</w:t>
      </w:r>
    </w:p>
    <w:p w14:paraId="4337443F" w14:textId="71B0CAC9" w:rsidR="00867FDB" w:rsidRPr="005D788F" w:rsidRDefault="00867FDB" w:rsidP="00B1738B">
      <w:pPr>
        <w:spacing w:line="240" w:lineRule="auto"/>
        <w:contextualSpacing/>
        <w:rPr>
          <w:bCs/>
        </w:rPr>
      </w:pPr>
      <w:bookmarkStart w:id="28" w:name="_Hlk108022638"/>
      <w:r w:rsidRPr="005D788F">
        <w:t>ACS</w:t>
      </w:r>
      <w:r w:rsidR="00A735D1">
        <w:t>C</w:t>
      </w:r>
      <w:r w:rsidRPr="005D788F">
        <w:t xml:space="preserve">’s costs </w:t>
      </w:r>
      <w:r>
        <w:t xml:space="preserve">for EGF </w:t>
      </w:r>
      <w:r w:rsidRPr="005D788F">
        <w:t>are inflated for several reasons:</w:t>
      </w:r>
      <w:bookmarkEnd w:id="28"/>
    </w:p>
    <w:p w14:paraId="06A71C8E" w14:textId="77777777" w:rsidR="00867FDB" w:rsidRPr="003278C4" w:rsidRDefault="00867FDB" w:rsidP="00B1738B">
      <w:pPr>
        <w:pStyle w:val="ListParagraph"/>
      </w:pPr>
      <w:r w:rsidRPr="003278C4">
        <w:t>No justification is provided for the retrofit factor = 1.5.</w:t>
      </w:r>
    </w:p>
    <w:p w14:paraId="53FF2A48" w14:textId="77777777" w:rsidR="00867FDB" w:rsidRPr="003278C4" w:rsidRDefault="00867FDB" w:rsidP="00B1738B">
      <w:pPr>
        <w:pStyle w:val="ListParagraph"/>
      </w:pPr>
      <w:r w:rsidRPr="003278C4">
        <w:t>SCR life is underestimated. The CCM recommends 20 – 25 years: while ACSC used 20 years, it also estimates that the SCR would only operate 265 days per year.</w:t>
      </w:r>
      <w:r w:rsidRPr="003278C4">
        <w:rPr>
          <w:vertAlign w:val="superscript"/>
        </w:rPr>
        <w:footnoteReference w:id="13"/>
      </w:r>
      <w:r w:rsidRPr="003278C4">
        <w:t xml:space="preserve"> Such limited operation should allow SCR to operate for at least 25 years.</w:t>
      </w:r>
    </w:p>
    <w:p w14:paraId="53D81D55" w14:textId="69DDBFBA" w:rsidR="00867FDB" w:rsidRPr="005D788F" w:rsidRDefault="00867FDB" w:rsidP="00B1738B">
      <w:pPr>
        <w:pStyle w:val="ListParagraph"/>
      </w:pPr>
      <w:r w:rsidRPr="007144E2">
        <w:t>Emission reductions are underestimated because ACS assumed that SCR could only achieve 80% control efficiency.</w:t>
      </w:r>
    </w:p>
    <w:p w14:paraId="36A0016A" w14:textId="771D49DE" w:rsidR="00867FDB" w:rsidRPr="00A724AB" w:rsidRDefault="005202A6" w:rsidP="00B1738B">
      <w:pPr>
        <w:spacing w:line="240" w:lineRule="auto"/>
        <w:contextualSpacing/>
        <w:rPr>
          <w:bCs/>
        </w:rPr>
      </w:pPr>
      <w:r>
        <w:t>NPS</w:t>
      </w:r>
      <w:r w:rsidR="00867FDB" w:rsidRPr="00A724AB">
        <w:t xml:space="preserve"> estimate</w:t>
      </w:r>
      <w:r>
        <w:t>s</w:t>
      </w:r>
      <w:r w:rsidR="00867FDB" w:rsidRPr="00A724AB">
        <w:t xml:space="preserve"> that SCR on each of the two boilers at EGF could reduce </w:t>
      </w:r>
      <w:r w:rsidR="00867FDB" w:rsidRPr="00A9462F">
        <w:t>NO</w:t>
      </w:r>
      <w:r w:rsidR="00867FDB">
        <w:rPr>
          <w:vertAlign w:val="subscript"/>
        </w:rPr>
        <w:t>x</w:t>
      </w:r>
      <w:r w:rsidR="00867FDB" w:rsidRPr="00A724AB">
        <w:t xml:space="preserve"> emissions by </w:t>
      </w:r>
      <w:r w:rsidR="0063704C">
        <w:t xml:space="preserve">almost </w:t>
      </w:r>
      <w:r w:rsidR="00867FDB" w:rsidRPr="00A724AB">
        <w:t>300 tons/</w:t>
      </w:r>
      <w:proofErr w:type="spellStart"/>
      <w:r w:rsidR="00867FDB" w:rsidRPr="00A724AB">
        <w:t>yr</w:t>
      </w:r>
      <w:proofErr w:type="spellEnd"/>
      <w:r w:rsidR="00867FDB" w:rsidRPr="00A724AB">
        <w:t xml:space="preserve"> (each) at </w:t>
      </w:r>
      <w:r w:rsidR="00867FDB">
        <w:t>an</w:t>
      </w:r>
      <w:r w:rsidR="00867FDB" w:rsidRPr="00A724AB">
        <w:t xml:space="preserve"> annual cost of $</w:t>
      </w:r>
      <w:r w:rsidR="0063704C">
        <w:t>1.5</w:t>
      </w:r>
      <w:r w:rsidR="00867FDB" w:rsidRPr="00A724AB">
        <w:t xml:space="preserve"> million (each). </w:t>
      </w:r>
      <w:r w:rsidR="00D216E3">
        <w:rPr>
          <w:bCs/>
        </w:rPr>
        <w:t>NPS</w:t>
      </w:r>
      <w:r w:rsidR="00867FDB" w:rsidRPr="00A724AB">
        <w:rPr>
          <w:bCs/>
        </w:rPr>
        <w:t xml:space="preserve"> estimates </w:t>
      </w:r>
      <w:r w:rsidR="00D216E3">
        <w:rPr>
          <w:bCs/>
        </w:rPr>
        <w:t xml:space="preserve">are </w:t>
      </w:r>
      <w:r w:rsidR="00867FDB" w:rsidRPr="00A724AB">
        <w:rPr>
          <w:bCs/>
        </w:rPr>
        <w:t>shown below.</w:t>
      </w:r>
    </w:p>
    <w:p w14:paraId="7CF26A73" w14:textId="77777777" w:rsidR="00D216E3" w:rsidRDefault="00D216E3">
      <w:pPr>
        <w:rPr>
          <w:bCs/>
          <w:i/>
          <w:iCs/>
          <w:color w:val="44546A" w:themeColor="text2"/>
          <w:sz w:val="22"/>
          <w:szCs w:val="18"/>
        </w:rPr>
      </w:pPr>
      <w:r>
        <w:br w:type="page"/>
      </w:r>
    </w:p>
    <w:p w14:paraId="3363111B" w14:textId="571FE072" w:rsidR="00867FDB" w:rsidRDefault="00867FDB" w:rsidP="00B1738B">
      <w:pPr>
        <w:pStyle w:val="Caption"/>
        <w:contextualSpacing/>
      </w:pPr>
      <w:r>
        <w:t xml:space="preserve">Table </w:t>
      </w:r>
      <w:r>
        <w:fldChar w:fldCharType="begin"/>
      </w:r>
      <w:r>
        <w:instrText>SEQ Table \* ARABIC</w:instrText>
      </w:r>
      <w:r>
        <w:fldChar w:fldCharType="separate"/>
      </w:r>
      <w:r>
        <w:rPr>
          <w:noProof/>
        </w:rPr>
        <w:t>7</w:t>
      </w:r>
      <w:r>
        <w:fldChar w:fldCharType="end"/>
      </w:r>
      <w:r>
        <w:t xml:space="preserve">. NPS/MPCA </w:t>
      </w:r>
      <w:r w:rsidRPr="00A9462F">
        <w:t>NO</w:t>
      </w:r>
      <w:r>
        <w:rPr>
          <w:vertAlign w:val="subscript"/>
        </w:rPr>
        <w:t>x</w:t>
      </w:r>
      <w:r>
        <w:t xml:space="preserve"> Control Cost Estimate Comparison for SNCR and SCR at EGF Boilers 1 &amp; 2</w:t>
      </w:r>
    </w:p>
    <w:tbl>
      <w:tblPr>
        <w:tblW w:w="5000" w:type="pct"/>
        <w:tblLook w:val="04A0" w:firstRow="1" w:lastRow="0" w:firstColumn="1" w:lastColumn="0" w:noHBand="0" w:noVBand="1"/>
      </w:tblPr>
      <w:tblGrid>
        <w:gridCol w:w="4235"/>
        <w:gridCol w:w="1192"/>
        <w:gridCol w:w="1296"/>
        <w:gridCol w:w="1309"/>
        <w:gridCol w:w="1308"/>
      </w:tblGrid>
      <w:tr w:rsidR="00D05F79" w:rsidRPr="00D05F79" w14:paraId="639FA30D" w14:textId="77777777" w:rsidTr="3328C818">
        <w:trPr>
          <w:trHeight w:val="320"/>
        </w:trPr>
        <w:tc>
          <w:tcPr>
            <w:tcW w:w="5000" w:type="pct"/>
            <w:gridSpan w:val="5"/>
            <w:tcBorders>
              <w:top w:val="single" w:sz="8" w:space="0" w:color="auto"/>
              <w:left w:val="single" w:sz="8" w:space="0" w:color="auto"/>
              <w:bottom w:val="single" w:sz="8" w:space="0" w:color="auto"/>
              <w:right w:val="single" w:sz="8" w:space="0" w:color="000000" w:themeColor="text1"/>
            </w:tcBorders>
            <w:shd w:val="clear" w:color="auto" w:fill="auto"/>
            <w:noWrap/>
            <w:vAlign w:val="bottom"/>
            <w:hideMark/>
          </w:tcPr>
          <w:p w14:paraId="05031DEC" w14:textId="77777777" w:rsidR="00D05F79" w:rsidRPr="00546809" w:rsidRDefault="00D05F79" w:rsidP="00546809">
            <w:pPr>
              <w:pStyle w:val="Table-Text"/>
              <w:rPr>
                <w:b/>
              </w:rPr>
            </w:pPr>
            <w:r w:rsidRPr="00546809">
              <w:rPr>
                <w:b/>
              </w:rPr>
              <w:t>ACS EGF Boilers 1 &amp; 2 (each)</w:t>
            </w:r>
          </w:p>
        </w:tc>
      </w:tr>
      <w:tr w:rsidR="00D05F79" w:rsidRPr="00D05F79" w14:paraId="21166767" w14:textId="77777777" w:rsidTr="3328C818">
        <w:trPr>
          <w:trHeight w:val="320"/>
        </w:trPr>
        <w:tc>
          <w:tcPr>
            <w:tcW w:w="2267" w:type="pct"/>
            <w:tcBorders>
              <w:top w:val="nil"/>
              <w:left w:val="single" w:sz="8" w:space="0" w:color="auto"/>
              <w:bottom w:val="single" w:sz="4" w:space="0" w:color="auto"/>
              <w:right w:val="nil"/>
            </w:tcBorders>
            <w:shd w:val="clear" w:color="auto" w:fill="auto"/>
            <w:noWrap/>
            <w:vAlign w:val="center"/>
            <w:hideMark/>
          </w:tcPr>
          <w:p w14:paraId="7E3F1786" w14:textId="77777777" w:rsidR="00D05F79" w:rsidRPr="00546809" w:rsidRDefault="00D05F79" w:rsidP="00546809">
            <w:pPr>
              <w:pStyle w:val="Table-Text"/>
              <w:rPr>
                <w:b/>
              </w:rPr>
            </w:pPr>
            <w:r w:rsidRPr="00546809">
              <w:rPr>
                <w:b/>
              </w:rPr>
              <w:t>Control Technology</w:t>
            </w:r>
          </w:p>
        </w:tc>
        <w:tc>
          <w:tcPr>
            <w:tcW w:w="1332" w:type="pct"/>
            <w:gridSpan w:val="2"/>
            <w:tcBorders>
              <w:top w:val="single" w:sz="8" w:space="0" w:color="auto"/>
              <w:left w:val="single" w:sz="8" w:space="0" w:color="auto"/>
              <w:bottom w:val="single" w:sz="4" w:space="0" w:color="auto"/>
              <w:right w:val="single" w:sz="8" w:space="0" w:color="000000" w:themeColor="text1"/>
            </w:tcBorders>
            <w:shd w:val="clear" w:color="auto" w:fill="auto"/>
            <w:noWrap/>
            <w:vAlign w:val="center"/>
            <w:hideMark/>
          </w:tcPr>
          <w:p w14:paraId="55765C8D" w14:textId="77777777" w:rsidR="00D05F79" w:rsidRPr="00546809" w:rsidRDefault="4E3FFCAA" w:rsidP="3328C818">
            <w:pPr>
              <w:pStyle w:val="Table-Text"/>
              <w:jc w:val="center"/>
              <w:rPr>
                <w:b/>
                <w:bCs/>
              </w:rPr>
            </w:pPr>
            <w:r w:rsidRPr="3328C818">
              <w:rPr>
                <w:b/>
                <w:bCs/>
              </w:rPr>
              <w:t>SNCR</w:t>
            </w:r>
          </w:p>
        </w:tc>
        <w:tc>
          <w:tcPr>
            <w:tcW w:w="1401" w:type="pct"/>
            <w:gridSpan w:val="2"/>
            <w:tcBorders>
              <w:top w:val="nil"/>
              <w:left w:val="nil"/>
              <w:bottom w:val="single" w:sz="4" w:space="0" w:color="auto"/>
              <w:right w:val="single" w:sz="8" w:space="0" w:color="000000" w:themeColor="text1"/>
            </w:tcBorders>
            <w:shd w:val="clear" w:color="auto" w:fill="auto"/>
            <w:noWrap/>
            <w:vAlign w:val="center"/>
            <w:hideMark/>
          </w:tcPr>
          <w:p w14:paraId="38C96437" w14:textId="77777777" w:rsidR="00D05F79" w:rsidRPr="00546809" w:rsidRDefault="4E3FFCAA" w:rsidP="3328C818">
            <w:pPr>
              <w:pStyle w:val="Table-Text"/>
              <w:jc w:val="center"/>
              <w:rPr>
                <w:b/>
                <w:bCs/>
              </w:rPr>
            </w:pPr>
            <w:r w:rsidRPr="3328C818">
              <w:rPr>
                <w:b/>
                <w:bCs/>
              </w:rPr>
              <w:t>SCR</w:t>
            </w:r>
          </w:p>
        </w:tc>
      </w:tr>
      <w:tr w:rsidR="00D05F79" w:rsidRPr="00D05F79" w14:paraId="11D1D0CF" w14:textId="77777777" w:rsidTr="3328C818">
        <w:trPr>
          <w:trHeight w:val="320"/>
        </w:trPr>
        <w:tc>
          <w:tcPr>
            <w:tcW w:w="2267" w:type="pct"/>
            <w:tcBorders>
              <w:top w:val="nil"/>
              <w:left w:val="single" w:sz="8" w:space="0" w:color="auto"/>
              <w:bottom w:val="nil"/>
              <w:right w:val="nil"/>
            </w:tcBorders>
            <w:shd w:val="clear" w:color="auto" w:fill="auto"/>
            <w:noWrap/>
            <w:vAlign w:val="bottom"/>
            <w:hideMark/>
          </w:tcPr>
          <w:p w14:paraId="73899097" w14:textId="77777777" w:rsidR="00D05F79" w:rsidRPr="00546809" w:rsidRDefault="00D05F79" w:rsidP="00546809">
            <w:pPr>
              <w:pStyle w:val="Table-Text"/>
              <w:rPr>
                <w:b/>
              </w:rPr>
            </w:pPr>
            <w:r w:rsidRPr="00546809">
              <w:rPr>
                <w:b/>
              </w:rPr>
              <w:t>Estimates by</w:t>
            </w:r>
          </w:p>
        </w:tc>
        <w:tc>
          <w:tcPr>
            <w:tcW w:w="638" w:type="pct"/>
            <w:tcBorders>
              <w:top w:val="nil"/>
              <w:left w:val="single" w:sz="8" w:space="0" w:color="auto"/>
              <w:bottom w:val="nil"/>
              <w:right w:val="single" w:sz="4" w:space="0" w:color="auto"/>
            </w:tcBorders>
            <w:shd w:val="clear" w:color="auto" w:fill="auto"/>
            <w:noWrap/>
            <w:vAlign w:val="center"/>
            <w:hideMark/>
          </w:tcPr>
          <w:p w14:paraId="7F7CD734" w14:textId="77777777" w:rsidR="00D05F79" w:rsidRPr="00546809" w:rsidRDefault="4E3FFCAA" w:rsidP="3328C818">
            <w:pPr>
              <w:pStyle w:val="Table-Text"/>
              <w:jc w:val="center"/>
              <w:rPr>
                <w:b/>
                <w:bCs/>
              </w:rPr>
            </w:pPr>
            <w:r w:rsidRPr="3328C818">
              <w:rPr>
                <w:b/>
                <w:bCs/>
              </w:rPr>
              <w:t>NPS</w:t>
            </w:r>
          </w:p>
        </w:tc>
        <w:tc>
          <w:tcPr>
            <w:tcW w:w="694" w:type="pct"/>
            <w:tcBorders>
              <w:top w:val="nil"/>
              <w:left w:val="nil"/>
              <w:bottom w:val="nil"/>
              <w:right w:val="single" w:sz="8" w:space="0" w:color="auto"/>
            </w:tcBorders>
            <w:shd w:val="clear" w:color="auto" w:fill="auto"/>
            <w:noWrap/>
            <w:vAlign w:val="center"/>
            <w:hideMark/>
          </w:tcPr>
          <w:p w14:paraId="7358EAE3" w14:textId="77777777" w:rsidR="00D05F79" w:rsidRPr="00546809" w:rsidRDefault="4E3FFCAA" w:rsidP="3328C818">
            <w:pPr>
              <w:pStyle w:val="Table-Text"/>
              <w:jc w:val="center"/>
              <w:rPr>
                <w:b/>
                <w:bCs/>
              </w:rPr>
            </w:pPr>
            <w:r w:rsidRPr="3328C818">
              <w:rPr>
                <w:b/>
                <w:bCs/>
              </w:rPr>
              <w:t>MPCA</w:t>
            </w:r>
          </w:p>
        </w:tc>
        <w:tc>
          <w:tcPr>
            <w:tcW w:w="701" w:type="pct"/>
            <w:tcBorders>
              <w:top w:val="nil"/>
              <w:left w:val="nil"/>
              <w:bottom w:val="nil"/>
              <w:right w:val="single" w:sz="4" w:space="0" w:color="auto"/>
            </w:tcBorders>
            <w:shd w:val="clear" w:color="auto" w:fill="auto"/>
            <w:noWrap/>
            <w:vAlign w:val="center"/>
            <w:hideMark/>
          </w:tcPr>
          <w:p w14:paraId="3537F031" w14:textId="77777777" w:rsidR="00D05F79" w:rsidRPr="00546809" w:rsidRDefault="4E3FFCAA" w:rsidP="3328C818">
            <w:pPr>
              <w:pStyle w:val="Table-Text"/>
              <w:jc w:val="center"/>
              <w:rPr>
                <w:b/>
                <w:bCs/>
              </w:rPr>
            </w:pPr>
            <w:r w:rsidRPr="3328C818">
              <w:rPr>
                <w:b/>
                <w:bCs/>
              </w:rPr>
              <w:t>NPS</w:t>
            </w:r>
          </w:p>
        </w:tc>
        <w:tc>
          <w:tcPr>
            <w:tcW w:w="701" w:type="pct"/>
            <w:tcBorders>
              <w:top w:val="nil"/>
              <w:left w:val="nil"/>
              <w:bottom w:val="nil"/>
              <w:right w:val="single" w:sz="8" w:space="0" w:color="auto"/>
            </w:tcBorders>
            <w:shd w:val="clear" w:color="auto" w:fill="auto"/>
            <w:noWrap/>
            <w:vAlign w:val="center"/>
            <w:hideMark/>
          </w:tcPr>
          <w:p w14:paraId="3E0646AB" w14:textId="77777777" w:rsidR="00D05F79" w:rsidRPr="00546809" w:rsidRDefault="4E3FFCAA" w:rsidP="3328C818">
            <w:pPr>
              <w:pStyle w:val="Table-Text"/>
              <w:jc w:val="center"/>
              <w:rPr>
                <w:b/>
                <w:bCs/>
              </w:rPr>
            </w:pPr>
            <w:r w:rsidRPr="3328C818">
              <w:rPr>
                <w:b/>
                <w:bCs/>
              </w:rPr>
              <w:t>MPCA</w:t>
            </w:r>
          </w:p>
        </w:tc>
      </w:tr>
      <w:tr w:rsidR="00D05F79" w:rsidRPr="00D05F79" w14:paraId="708C9F8A" w14:textId="77777777" w:rsidTr="3328C818">
        <w:trPr>
          <w:trHeight w:hRule="exact" w:val="288"/>
        </w:trPr>
        <w:tc>
          <w:tcPr>
            <w:tcW w:w="2267" w:type="pct"/>
            <w:tcBorders>
              <w:top w:val="single" w:sz="8" w:space="0" w:color="auto"/>
              <w:left w:val="single" w:sz="8" w:space="0" w:color="auto"/>
              <w:bottom w:val="single" w:sz="4" w:space="0" w:color="auto"/>
              <w:right w:val="nil"/>
            </w:tcBorders>
            <w:shd w:val="clear" w:color="auto" w:fill="auto"/>
            <w:noWrap/>
            <w:vAlign w:val="center"/>
            <w:hideMark/>
          </w:tcPr>
          <w:p w14:paraId="39446200" w14:textId="77777777" w:rsidR="00D05F79" w:rsidRPr="00D05F79" w:rsidRDefault="00D05F79" w:rsidP="00546809">
            <w:pPr>
              <w:pStyle w:val="Table-Text"/>
            </w:pPr>
            <w:r w:rsidRPr="00D05F79">
              <w:t>Capacity (</w:t>
            </w:r>
            <w:proofErr w:type="spellStart"/>
            <w:r w:rsidRPr="00D05F79">
              <w:t>mmBtu</w:t>
            </w:r>
            <w:proofErr w:type="spellEnd"/>
            <w:r w:rsidRPr="00D05F79">
              <w:t>/</w:t>
            </w:r>
            <w:proofErr w:type="spellStart"/>
            <w:r w:rsidRPr="00D05F79">
              <w:t>hr</w:t>
            </w:r>
            <w:proofErr w:type="spellEnd"/>
            <w:r w:rsidRPr="00D05F79">
              <w:t>)</w:t>
            </w:r>
          </w:p>
        </w:tc>
        <w:tc>
          <w:tcPr>
            <w:tcW w:w="638"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707AD0" w14:textId="77777777" w:rsidR="00D05F79" w:rsidRPr="00D05F79" w:rsidRDefault="4E3FFCAA" w:rsidP="3328C818">
            <w:pPr>
              <w:pStyle w:val="Table-Text"/>
              <w:jc w:val="center"/>
            </w:pPr>
            <w:r>
              <w:t>356</w:t>
            </w:r>
          </w:p>
        </w:tc>
        <w:tc>
          <w:tcPr>
            <w:tcW w:w="694" w:type="pct"/>
            <w:tcBorders>
              <w:top w:val="single" w:sz="8" w:space="0" w:color="auto"/>
              <w:left w:val="nil"/>
              <w:bottom w:val="single" w:sz="4" w:space="0" w:color="auto"/>
              <w:right w:val="single" w:sz="8" w:space="0" w:color="auto"/>
            </w:tcBorders>
            <w:shd w:val="clear" w:color="auto" w:fill="auto"/>
            <w:noWrap/>
            <w:vAlign w:val="center"/>
            <w:hideMark/>
          </w:tcPr>
          <w:p w14:paraId="692424BF" w14:textId="77777777" w:rsidR="00D05F79" w:rsidRPr="00D05F79" w:rsidRDefault="4E3FFCAA" w:rsidP="3328C818">
            <w:pPr>
              <w:pStyle w:val="Table-Text"/>
              <w:jc w:val="center"/>
            </w:pPr>
            <w:r>
              <w:t>356</w:t>
            </w:r>
          </w:p>
        </w:tc>
        <w:tc>
          <w:tcPr>
            <w:tcW w:w="701" w:type="pct"/>
            <w:tcBorders>
              <w:top w:val="single" w:sz="8" w:space="0" w:color="auto"/>
              <w:left w:val="nil"/>
              <w:bottom w:val="single" w:sz="4" w:space="0" w:color="auto"/>
              <w:right w:val="single" w:sz="4" w:space="0" w:color="auto"/>
            </w:tcBorders>
            <w:shd w:val="clear" w:color="auto" w:fill="auto"/>
            <w:noWrap/>
            <w:vAlign w:val="center"/>
            <w:hideMark/>
          </w:tcPr>
          <w:p w14:paraId="2AA2B384" w14:textId="77777777" w:rsidR="00D05F79" w:rsidRPr="00D05F79" w:rsidRDefault="4E3FFCAA" w:rsidP="3328C818">
            <w:pPr>
              <w:pStyle w:val="Table-Text"/>
              <w:jc w:val="center"/>
            </w:pPr>
            <w:r>
              <w:t>356</w:t>
            </w:r>
          </w:p>
        </w:tc>
        <w:tc>
          <w:tcPr>
            <w:tcW w:w="701" w:type="pct"/>
            <w:tcBorders>
              <w:top w:val="single" w:sz="8" w:space="0" w:color="auto"/>
              <w:left w:val="nil"/>
              <w:bottom w:val="single" w:sz="4" w:space="0" w:color="auto"/>
              <w:right w:val="single" w:sz="8" w:space="0" w:color="auto"/>
            </w:tcBorders>
            <w:shd w:val="clear" w:color="auto" w:fill="auto"/>
            <w:noWrap/>
            <w:vAlign w:val="center"/>
            <w:hideMark/>
          </w:tcPr>
          <w:p w14:paraId="3ECD99A8" w14:textId="77777777" w:rsidR="00D05F79" w:rsidRPr="00D05F79" w:rsidRDefault="4E3FFCAA" w:rsidP="3328C818">
            <w:pPr>
              <w:pStyle w:val="Table-Text"/>
              <w:jc w:val="center"/>
            </w:pPr>
            <w:r>
              <w:t>356</w:t>
            </w:r>
          </w:p>
        </w:tc>
      </w:tr>
      <w:tr w:rsidR="00D05F79" w:rsidRPr="00D05F79" w14:paraId="2CAAEFD5" w14:textId="77777777" w:rsidTr="3328C818">
        <w:trPr>
          <w:trHeight w:hRule="exact" w:val="288"/>
        </w:trPr>
        <w:tc>
          <w:tcPr>
            <w:tcW w:w="2267" w:type="pct"/>
            <w:tcBorders>
              <w:top w:val="nil"/>
              <w:left w:val="single" w:sz="8" w:space="0" w:color="auto"/>
              <w:bottom w:val="single" w:sz="4" w:space="0" w:color="auto"/>
              <w:right w:val="nil"/>
            </w:tcBorders>
            <w:shd w:val="clear" w:color="auto" w:fill="auto"/>
            <w:noWrap/>
            <w:vAlign w:val="center"/>
            <w:hideMark/>
          </w:tcPr>
          <w:p w14:paraId="5DD16558" w14:textId="77777777" w:rsidR="00D05F79" w:rsidRPr="00D05F79" w:rsidRDefault="00D05F79" w:rsidP="00546809">
            <w:pPr>
              <w:pStyle w:val="Table-Text"/>
            </w:pPr>
            <w:r w:rsidRPr="00D05F79">
              <w:t>Retrofit factor</w:t>
            </w:r>
          </w:p>
        </w:tc>
        <w:tc>
          <w:tcPr>
            <w:tcW w:w="638" w:type="pct"/>
            <w:tcBorders>
              <w:top w:val="nil"/>
              <w:left w:val="single" w:sz="8" w:space="0" w:color="auto"/>
              <w:bottom w:val="single" w:sz="4" w:space="0" w:color="auto"/>
              <w:right w:val="single" w:sz="4" w:space="0" w:color="auto"/>
            </w:tcBorders>
            <w:shd w:val="clear" w:color="auto" w:fill="auto"/>
            <w:noWrap/>
            <w:vAlign w:val="center"/>
            <w:hideMark/>
          </w:tcPr>
          <w:p w14:paraId="4529D6AE" w14:textId="77777777" w:rsidR="00D05F79" w:rsidRPr="00D05F79" w:rsidRDefault="4E3FFCAA" w:rsidP="3328C818">
            <w:pPr>
              <w:pStyle w:val="Table-Text"/>
              <w:jc w:val="center"/>
            </w:pPr>
            <w:r>
              <w:t>1</w:t>
            </w:r>
          </w:p>
        </w:tc>
        <w:tc>
          <w:tcPr>
            <w:tcW w:w="694" w:type="pct"/>
            <w:tcBorders>
              <w:top w:val="nil"/>
              <w:left w:val="nil"/>
              <w:bottom w:val="single" w:sz="4" w:space="0" w:color="auto"/>
              <w:right w:val="single" w:sz="8" w:space="0" w:color="auto"/>
            </w:tcBorders>
            <w:shd w:val="clear" w:color="auto" w:fill="auto"/>
            <w:noWrap/>
            <w:vAlign w:val="center"/>
            <w:hideMark/>
          </w:tcPr>
          <w:p w14:paraId="711DB8C2" w14:textId="77777777" w:rsidR="00D05F79" w:rsidRPr="00D05F79" w:rsidRDefault="4E3FFCAA" w:rsidP="3328C818">
            <w:pPr>
              <w:pStyle w:val="Table-Text"/>
              <w:jc w:val="center"/>
            </w:pPr>
            <w:r>
              <w:t>1.5</w:t>
            </w:r>
          </w:p>
        </w:tc>
        <w:tc>
          <w:tcPr>
            <w:tcW w:w="701" w:type="pct"/>
            <w:tcBorders>
              <w:top w:val="nil"/>
              <w:left w:val="nil"/>
              <w:bottom w:val="single" w:sz="4" w:space="0" w:color="auto"/>
              <w:right w:val="single" w:sz="4" w:space="0" w:color="auto"/>
            </w:tcBorders>
            <w:shd w:val="clear" w:color="auto" w:fill="FFFF00"/>
            <w:noWrap/>
            <w:vAlign w:val="center"/>
            <w:hideMark/>
          </w:tcPr>
          <w:p w14:paraId="1C45EBBB" w14:textId="77777777" w:rsidR="00D05F79" w:rsidRPr="00D05F79" w:rsidRDefault="4E3FFCAA" w:rsidP="3328C818">
            <w:pPr>
              <w:pStyle w:val="Table-Text"/>
              <w:jc w:val="center"/>
            </w:pPr>
            <w:r>
              <w:t>1</w:t>
            </w:r>
          </w:p>
        </w:tc>
        <w:tc>
          <w:tcPr>
            <w:tcW w:w="701" w:type="pct"/>
            <w:tcBorders>
              <w:top w:val="nil"/>
              <w:left w:val="nil"/>
              <w:bottom w:val="single" w:sz="4" w:space="0" w:color="auto"/>
              <w:right w:val="single" w:sz="8" w:space="0" w:color="auto"/>
            </w:tcBorders>
            <w:shd w:val="clear" w:color="auto" w:fill="FFFF00"/>
            <w:noWrap/>
            <w:vAlign w:val="center"/>
            <w:hideMark/>
          </w:tcPr>
          <w:p w14:paraId="41712526" w14:textId="77777777" w:rsidR="00D05F79" w:rsidRPr="00D05F79" w:rsidRDefault="4E3FFCAA" w:rsidP="3328C818">
            <w:pPr>
              <w:pStyle w:val="Table-Text"/>
              <w:jc w:val="center"/>
            </w:pPr>
            <w:r>
              <w:t>1.5</w:t>
            </w:r>
          </w:p>
        </w:tc>
      </w:tr>
      <w:tr w:rsidR="00D05F79" w:rsidRPr="00D05F79" w14:paraId="7CA869F1" w14:textId="77777777" w:rsidTr="3328C818">
        <w:trPr>
          <w:trHeight w:hRule="exact" w:val="288"/>
        </w:trPr>
        <w:tc>
          <w:tcPr>
            <w:tcW w:w="2267" w:type="pct"/>
            <w:tcBorders>
              <w:top w:val="nil"/>
              <w:left w:val="single" w:sz="8" w:space="0" w:color="auto"/>
              <w:bottom w:val="single" w:sz="4" w:space="0" w:color="auto"/>
              <w:right w:val="nil"/>
            </w:tcBorders>
            <w:shd w:val="clear" w:color="auto" w:fill="auto"/>
            <w:noWrap/>
            <w:vAlign w:val="center"/>
            <w:hideMark/>
          </w:tcPr>
          <w:p w14:paraId="34BF8DBB" w14:textId="77777777" w:rsidR="00D05F79" w:rsidRPr="00D05F79" w:rsidRDefault="00D05F79" w:rsidP="00546809">
            <w:pPr>
              <w:pStyle w:val="Table-Text"/>
            </w:pPr>
            <w:r w:rsidRPr="00D05F79">
              <w:t>CEPCI</w:t>
            </w:r>
          </w:p>
        </w:tc>
        <w:tc>
          <w:tcPr>
            <w:tcW w:w="638" w:type="pct"/>
            <w:tcBorders>
              <w:top w:val="nil"/>
              <w:left w:val="single" w:sz="8" w:space="0" w:color="auto"/>
              <w:bottom w:val="single" w:sz="4" w:space="0" w:color="auto"/>
              <w:right w:val="single" w:sz="4" w:space="0" w:color="auto"/>
            </w:tcBorders>
            <w:shd w:val="clear" w:color="auto" w:fill="auto"/>
            <w:noWrap/>
            <w:vAlign w:val="center"/>
            <w:hideMark/>
          </w:tcPr>
          <w:p w14:paraId="33AD001F" w14:textId="77777777" w:rsidR="00D05F79" w:rsidRPr="00D05F79" w:rsidRDefault="4E3FFCAA" w:rsidP="3328C818">
            <w:pPr>
              <w:pStyle w:val="Table-Text"/>
              <w:jc w:val="center"/>
            </w:pPr>
            <w:r>
              <w:t>607.5</w:t>
            </w:r>
          </w:p>
        </w:tc>
        <w:tc>
          <w:tcPr>
            <w:tcW w:w="694" w:type="pct"/>
            <w:tcBorders>
              <w:top w:val="nil"/>
              <w:left w:val="nil"/>
              <w:bottom w:val="single" w:sz="4" w:space="0" w:color="auto"/>
              <w:right w:val="single" w:sz="8" w:space="0" w:color="auto"/>
            </w:tcBorders>
            <w:shd w:val="clear" w:color="auto" w:fill="auto"/>
            <w:noWrap/>
            <w:vAlign w:val="center"/>
            <w:hideMark/>
          </w:tcPr>
          <w:p w14:paraId="0EEA8027" w14:textId="77777777" w:rsidR="00D05F79" w:rsidRPr="00D05F79" w:rsidRDefault="4E3FFCAA" w:rsidP="3328C818">
            <w:pPr>
              <w:pStyle w:val="Table-Text"/>
              <w:jc w:val="center"/>
            </w:pPr>
            <w:r>
              <w:t>607.5</w:t>
            </w:r>
          </w:p>
        </w:tc>
        <w:tc>
          <w:tcPr>
            <w:tcW w:w="701" w:type="pct"/>
            <w:tcBorders>
              <w:top w:val="nil"/>
              <w:left w:val="nil"/>
              <w:bottom w:val="single" w:sz="4" w:space="0" w:color="auto"/>
              <w:right w:val="single" w:sz="4" w:space="0" w:color="auto"/>
            </w:tcBorders>
            <w:shd w:val="clear" w:color="auto" w:fill="auto"/>
            <w:noWrap/>
            <w:vAlign w:val="center"/>
            <w:hideMark/>
          </w:tcPr>
          <w:p w14:paraId="5543184E" w14:textId="77777777" w:rsidR="00D05F79" w:rsidRPr="00D05F79" w:rsidRDefault="4E3FFCAA" w:rsidP="3328C818">
            <w:pPr>
              <w:pStyle w:val="Table-Text"/>
              <w:jc w:val="center"/>
            </w:pPr>
            <w:r>
              <w:t>607.5</w:t>
            </w:r>
          </w:p>
        </w:tc>
        <w:tc>
          <w:tcPr>
            <w:tcW w:w="701" w:type="pct"/>
            <w:tcBorders>
              <w:top w:val="nil"/>
              <w:left w:val="nil"/>
              <w:bottom w:val="single" w:sz="4" w:space="0" w:color="auto"/>
              <w:right w:val="single" w:sz="8" w:space="0" w:color="auto"/>
            </w:tcBorders>
            <w:shd w:val="clear" w:color="auto" w:fill="auto"/>
            <w:noWrap/>
            <w:vAlign w:val="center"/>
            <w:hideMark/>
          </w:tcPr>
          <w:p w14:paraId="0A0854C3" w14:textId="77777777" w:rsidR="00D05F79" w:rsidRPr="00D05F79" w:rsidRDefault="4E3FFCAA" w:rsidP="3328C818">
            <w:pPr>
              <w:pStyle w:val="Table-Text"/>
              <w:jc w:val="center"/>
            </w:pPr>
            <w:r>
              <w:t>607.5</w:t>
            </w:r>
          </w:p>
        </w:tc>
      </w:tr>
      <w:tr w:rsidR="00D05F79" w:rsidRPr="00D05F79" w14:paraId="4259DA65" w14:textId="77777777" w:rsidTr="3328C818">
        <w:trPr>
          <w:trHeight w:hRule="exact" w:val="288"/>
        </w:trPr>
        <w:tc>
          <w:tcPr>
            <w:tcW w:w="2267" w:type="pct"/>
            <w:tcBorders>
              <w:top w:val="nil"/>
              <w:left w:val="single" w:sz="8" w:space="0" w:color="auto"/>
              <w:bottom w:val="single" w:sz="4" w:space="0" w:color="auto"/>
              <w:right w:val="nil"/>
            </w:tcBorders>
            <w:shd w:val="clear" w:color="auto" w:fill="auto"/>
            <w:noWrap/>
            <w:vAlign w:val="bottom"/>
            <w:hideMark/>
          </w:tcPr>
          <w:p w14:paraId="63F55017" w14:textId="77777777" w:rsidR="00D05F79" w:rsidRPr="00D05F79" w:rsidRDefault="00D05F79" w:rsidP="00546809">
            <w:pPr>
              <w:pStyle w:val="Table-Text"/>
            </w:pPr>
            <w:r w:rsidRPr="00D05F79">
              <w:t xml:space="preserve">Capital Cost </w:t>
            </w:r>
          </w:p>
        </w:tc>
        <w:tc>
          <w:tcPr>
            <w:tcW w:w="638" w:type="pct"/>
            <w:tcBorders>
              <w:top w:val="nil"/>
              <w:left w:val="single" w:sz="8" w:space="0" w:color="auto"/>
              <w:bottom w:val="single" w:sz="4" w:space="0" w:color="auto"/>
              <w:right w:val="single" w:sz="4" w:space="0" w:color="auto"/>
            </w:tcBorders>
            <w:shd w:val="clear" w:color="auto" w:fill="auto"/>
            <w:noWrap/>
            <w:vAlign w:val="center"/>
            <w:hideMark/>
          </w:tcPr>
          <w:p w14:paraId="550E60D7" w14:textId="77777777" w:rsidR="00D05F79" w:rsidRPr="00D05F79" w:rsidRDefault="4E3FFCAA" w:rsidP="3328C818">
            <w:pPr>
              <w:pStyle w:val="Table-Text"/>
              <w:jc w:val="center"/>
            </w:pPr>
            <w:r>
              <w:t xml:space="preserve"> $ 3,611,691 </w:t>
            </w:r>
          </w:p>
        </w:tc>
        <w:tc>
          <w:tcPr>
            <w:tcW w:w="694" w:type="pct"/>
            <w:tcBorders>
              <w:top w:val="nil"/>
              <w:left w:val="nil"/>
              <w:bottom w:val="single" w:sz="4" w:space="0" w:color="auto"/>
              <w:right w:val="single" w:sz="8" w:space="0" w:color="auto"/>
            </w:tcBorders>
            <w:shd w:val="clear" w:color="auto" w:fill="auto"/>
            <w:noWrap/>
            <w:vAlign w:val="center"/>
            <w:hideMark/>
          </w:tcPr>
          <w:p w14:paraId="23A5F3D2" w14:textId="77777777" w:rsidR="00D05F79" w:rsidRPr="00D05F79" w:rsidRDefault="4E3FFCAA" w:rsidP="3328C818">
            <w:pPr>
              <w:pStyle w:val="Table-Text"/>
              <w:jc w:val="center"/>
            </w:pPr>
            <w:r>
              <w:t xml:space="preserve"> $   5,417,537 </w:t>
            </w:r>
          </w:p>
        </w:tc>
        <w:tc>
          <w:tcPr>
            <w:tcW w:w="701" w:type="pct"/>
            <w:tcBorders>
              <w:top w:val="nil"/>
              <w:left w:val="nil"/>
              <w:bottom w:val="single" w:sz="4" w:space="0" w:color="auto"/>
              <w:right w:val="single" w:sz="4" w:space="0" w:color="auto"/>
            </w:tcBorders>
            <w:shd w:val="clear" w:color="auto" w:fill="auto"/>
            <w:noWrap/>
            <w:vAlign w:val="center"/>
            <w:hideMark/>
          </w:tcPr>
          <w:p w14:paraId="30877F5B" w14:textId="77777777" w:rsidR="00D05F79" w:rsidRPr="00D05F79" w:rsidRDefault="4E3FFCAA" w:rsidP="3328C818">
            <w:pPr>
              <w:pStyle w:val="Table-Text"/>
              <w:jc w:val="center"/>
            </w:pPr>
            <w:r>
              <w:t xml:space="preserve"> $ 19,457,325 </w:t>
            </w:r>
          </w:p>
        </w:tc>
        <w:tc>
          <w:tcPr>
            <w:tcW w:w="701" w:type="pct"/>
            <w:tcBorders>
              <w:top w:val="nil"/>
              <w:left w:val="nil"/>
              <w:bottom w:val="single" w:sz="4" w:space="0" w:color="auto"/>
              <w:right w:val="single" w:sz="8" w:space="0" w:color="auto"/>
            </w:tcBorders>
            <w:shd w:val="clear" w:color="auto" w:fill="auto"/>
            <w:noWrap/>
            <w:vAlign w:val="center"/>
            <w:hideMark/>
          </w:tcPr>
          <w:p w14:paraId="592D8526" w14:textId="77777777" w:rsidR="00D05F79" w:rsidRPr="00D05F79" w:rsidRDefault="4E3FFCAA" w:rsidP="3328C818">
            <w:pPr>
              <w:pStyle w:val="Table-Text"/>
              <w:jc w:val="center"/>
            </w:pPr>
            <w:r>
              <w:t xml:space="preserve"> $ 28,837,241 </w:t>
            </w:r>
          </w:p>
        </w:tc>
      </w:tr>
      <w:tr w:rsidR="00D05F79" w:rsidRPr="00D05F79" w14:paraId="5B2A1FB9" w14:textId="77777777" w:rsidTr="3328C818">
        <w:trPr>
          <w:trHeight w:hRule="exact" w:val="288"/>
        </w:trPr>
        <w:tc>
          <w:tcPr>
            <w:tcW w:w="2267" w:type="pct"/>
            <w:tcBorders>
              <w:top w:val="nil"/>
              <w:left w:val="single" w:sz="8" w:space="0" w:color="auto"/>
              <w:bottom w:val="single" w:sz="4" w:space="0" w:color="auto"/>
              <w:right w:val="nil"/>
            </w:tcBorders>
            <w:shd w:val="clear" w:color="auto" w:fill="auto"/>
            <w:noWrap/>
            <w:vAlign w:val="bottom"/>
            <w:hideMark/>
          </w:tcPr>
          <w:p w14:paraId="0C1C3B7F" w14:textId="77777777" w:rsidR="00D05F79" w:rsidRPr="00D05F79" w:rsidRDefault="00D05F79" w:rsidP="00546809">
            <w:pPr>
              <w:pStyle w:val="Table-Text"/>
            </w:pPr>
            <w:r w:rsidRPr="00D05F79">
              <w:t>Interest rate (%)</w:t>
            </w:r>
          </w:p>
        </w:tc>
        <w:tc>
          <w:tcPr>
            <w:tcW w:w="638" w:type="pct"/>
            <w:tcBorders>
              <w:top w:val="nil"/>
              <w:left w:val="single" w:sz="8" w:space="0" w:color="auto"/>
              <w:bottom w:val="single" w:sz="4" w:space="0" w:color="auto"/>
              <w:right w:val="single" w:sz="4" w:space="0" w:color="auto"/>
            </w:tcBorders>
            <w:shd w:val="clear" w:color="auto" w:fill="auto"/>
            <w:noWrap/>
            <w:vAlign w:val="center"/>
            <w:hideMark/>
          </w:tcPr>
          <w:p w14:paraId="322332B5" w14:textId="77777777" w:rsidR="00D05F79" w:rsidRPr="00D05F79" w:rsidRDefault="4E3FFCAA" w:rsidP="3328C818">
            <w:pPr>
              <w:pStyle w:val="Table-Text"/>
              <w:jc w:val="center"/>
            </w:pPr>
            <w:r>
              <w:t>3.50</w:t>
            </w:r>
          </w:p>
        </w:tc>
        <w:tc>
          <w:tcPr>
            <w:tcW w:w="694" w:type="pct"/>
            <w:tcBorders>
              <w:top w:val="nil"/>
              <w:left w:val="nil"/>
              <w:bottom w:val="single" w:sz="4" w:space="0" w:color="auto"/>
              <w:right w:val="single" w:sz="8" w:space="0" w:color="auto"/>
            </w:tcBorders>
            <w:shd w:val="clear" w:color="auto" w:fill="auto"/>
            <w:noWrap/>
            <w:vAlign w:val="center"/>
            <w:hideMark/>
          </w:tcPr>
          <w:p w14:paraId="0B5D0CBE" w14:textId="77777777" w:rsidR="00D05F79" w:rsidRPr="00D05F79" w:rsidRDefault="4E3FFCAA" w:rsidP="3328C818">
            <w:pPr>
              <w:pStyle w:val="Table-Text"/>
              <w:jc w:val="center"/>
            </w:pPr>
            <w:r>
              <w:t>3.5</w:t>
            </w:r>
          </w:p>
        </w:tc>
        <w:tc>
          <w:tcPr>
            <w:tcW w:w="701" w:type="pct"/>
            <w:tcBorders>
              <w:top w:val="nil"/>
              <w:left w:val="nil"/>
              <w:bottom w:val="single" w:sz="4" w:space="0" w:color="auto"/>
              <w:right w:val="single" w:sz="4" w:space="0" w:color="auto"/>
            </w:tcBorders>
            <w:shd w:val="clear" w:color="auto" w:fill="auto"/>
            <w:noWrap/>
            <w:vAlign w:val="center"/>
            <w:hideMark/>
          </w:tcPr>
          <w:p w14:paraId="0BBE9757" w14:textId="77777777" w:rsidR="00D05F79" w:rsidRPr="00D05F79" w:rsidRDefault="4E3FFCAA" w:rsidP="3328C818">
            <w:pPr>
              <w:pStyle w:val="Table-Text"/>
              <w:jc w:val="center"/>
            </w:pPr>
            <w:r>
              <w:t>3.50</w:t>
            </w:r>
          </w:p>
        </w:tc>
        <w:tc>
          <w:tcPr>
            <w:tcW w:w="701" w:type="pct"/>
            <w:tcBorders>
              <w:top w:val="nil"/>
              <w:left w:val="nil"/>
              <w:bottom w:val="single" w:sz="4" w:space="0" w:color="auto"/>
              <w:right w:val="single" w:sz="8" w:space="0" w:color="auto"/>
            </w:tcBorders>
            <w:shd w:val="clear" w:color="auto" w:fill="auto"/>
            <w:noWrap/>
            <w:vAlign w:val="center"/>
            <w:hideMark/>
          </w:tcPr>
          <w:p w14:paraId="29C08E91" w14:textId="77777777" w:rsidR="00D05F79" w:rsidRPr="00D05F79" w:rsidRDefault="4E3FFCAA" w:rsidP="3328C818">
            <w:pPr>
              <w:pStyle w:val="Table-Text"/>
              <w:jc w:val="center"/>
            </w:pPr>
            <w:r>
              <w:t>3.5</w:t>
            </w:r>
          </w:p>
        </w:tc>
      </w:tr>
      <w:tr w:rsidR="00D05F79" w:rsidRPr="00D05F79" w14:paraId="63B0A918" w14:textId="77777777" w:rsidTr="3328C818">
        <w:trPr>
          <w:trHeight w:hRule="exact" w:val="288"/>
        </w:trPr>
        <w:tc>
          <w:tcPr>
            <w:tcW w:w="2267" w:type="pct"/>
            <w:tcBorders>
              <w:top w:val="nil"/>
              <w:left w:val="single" w:sz="8" w:space="0" w:color="auto"/>
              <w:bottom w:val="single" w:sz="4" w:space="0" w:color="auto"/>
              <w:right w:val="nil"/>
            </w:tcBorders>
            <w:shd w:val="clear" w:color="auto" w:fill="auto"/>
            <w:noWrap/>
            <w:vAlign w:val="bottom"/>
            <w:hideMark/>
          </w:tcPr>
          <w:p w14:paraId="7A0FEE3F" w14:textId="77777777" w:rsidR="00D05F79" w:rsidRPr="00D05F79" w:rsidRDefault="00D05F79" w:rsidP="00546809">
            <w:pPr>
              <w:pStyle w:val="Table-Text"/>
            </w:pPr>
            <w:r w:rsidRPr="00D05F79">
              <w:t>Control Equipment Life (</w:t>
            </w:r>
            <w:proofErr w:type="spellStart"/>
            <w:r w:rsidRPr="00D05F79">
              <w:t>yr</w:t>
            </w:r>
            <w:proofErr w:type="spellEnd"/>
            <w:r w:rsidRPr="00D05F79">
              <w:t>)</w:t>
            </w:r>
          </w:p>
        </w:tc>
        <w:tc>
          <w:tcPr>
            <w:tcW w:w="638" w:type="pct"/>
            <w:tcBorders>
              <w:top w:val="nil"/>
              <w:left w:val="single" w:sz="8" w:space="0" w:color="auto"/>
              <w:bottom w:val="single" w:sz="4" w:space="0" w:color="auto"/>
              <w:right w:val="single" w:sz="4" w:space="0" w:color="auto"/>
            </w:tcBorders>
            <w:shd w:val="clear" w:color="auto" w:fill="auto"/>
            <w:noWrap/>
            <w:vAlign w:val="center"/>
            <w:hideMark/>
          </w:tcPr>
          <w:p w14:paraId="5033D242" w14:textId="77777777" w:rsidR="00D05F79" w:rsidRPr="00D05F79" w:rsidRDefault="4E3FFCAA" w:rsidP="3328C818">
            <w:pPr>
              <w:pStyle w:val="Table-Text"/>
              <w:jc w:val="center"/>
            </w:pPr>
            <w:r>
              <w:t>20</w:t>
            </w:r>
          </w:p>
        </w:tc>
        <w:tc>
          <w:tcPr>
            <w:tcW w:w="694" w:type="pct"/>
            <w:tcBorders>
              <w:top w:val="nil"/>
              <w:left w:val="nil"/>
              <w:bottom w:val="single" w:sz="4" w:space="0" w:color="auto"/>
              <w:right w:val="single" w:sz="8" w:space="0" w:color="auto"/>
            </w:tcBorders>
            <w:shd w:val="clear" w:color="auto" w:fill="auto"/>
            <w:noWrap/>
            <w:vAlign w:val="center"/>
            <w:hideMark/>
          </w:tcPr>
          <w:p w14:paraId="6F16130D" w14:textId="77777777" w:rsidR="00D05F79" w:rsidRPr="00D05F79" w:rsidRDefault="4E3FFCAA" w:rsidP="3328C818">
            <w:pPr>
              <w:pStyle w:val="Table-Text"/>
              <w:jc w:val="center"/>
            </w:pPr>
            <w:r>
              <w:t>20</w:t>
            </w:r>
          </w:p>
        </w:tc>
        <w:tc>
          <w:tcPr>
            <w:tcW w:w="701" w:type="pct"/>
            <w:tcBorders>
              <w:top w:val="nil"/>
              <w:left w:val="nil"/>
              <w:bottom w:val="single" w:sz="4" w:space="0" w:color="auto"/>
              <w:right w:val="single" w:sz="4" w:space="0" w:color="auto"/>
            </w:tcBorders>
            <w:shd w:val="clear" w:color="auto" w:fill="FFFF00"/>
            <w:noWrap/>
            <w:vAlign w:val="center"/>
            <w:hideMark/>
          </w:tcPr>
          <w:p w14:paraId="3CE5DB33" w14:textId="77777777" w:rsidR="00D05F79" w:rsidRPr="00D05F79" w:rsidRDefault="4E3FFCAA" w:rsidP="3328C818">
            <w:pPr>
              <w:pStyle w:val="Table-Text"/>
              <w:jc w:val="center"/>
            </w:pPr>
            <w:r>
              <w:t>25</w:t>
            </w:r>
          </w:p>
        </w:tc>
        <w:tc>
          <w:tcPr>
            <w:tcW w:w="701" w:type="pct"/>
            <w:tcBorders>
              <w:top w:val="nil"/>
              <w:left w:val="nil"/>
              <w:bottom w:val="single" w:sz="4" w:space="0" w:color="auto"/>
              <w:right w:val="single" w:sz="8" w:space="0" w:color="auto"/>
            </w:tcBorders>
            <w:shd w:val="clear" w:color="auto" w:fill="FFFF00"/>
            <w:noWrap/>
            <w:vAlign w:val="center"/>
            <w:hideMark/>
          </w:tcPr>
          <w:p w14:paraId="59170892" w14:textId="77777777" w:rsidR="00D05F79" w:rsidRPr="00D05F79" w:rsidRDefault="4E3FFCAA" w:rsidP="3328C818">
            <w:pPr>
              <w:pStyle w:val="Table-Text"/>
              <w:jc w:val="center"/>
            </w:pPr>
            <w:r>
              <w:t>20</w:t>
            </w:r>
          </w:p>
        </w:tc>
      </w:tr>
      <w:tr w:rsidR="00D05F79" w:rsidRPr="00D05F79" w14:paraId="3F090D0A" w14:textId="77777777" w:rsidTr="3328C818">
        <w:trPr>
          <w:trHeight w:hRule="exact" w:val="288"/>
        </w:trPr>
        <w:tc>
          <w:tcPr>
            <w:tcW w:w="2267" w:type="pct"/>
            <w:tcBorders>
              <w:top w:val="nil"/>
              <w:left w:val="single" w:sz="8" w:space="0" w:color="auto"/>
              <w:bottom w:val="single" w:sz="4" w:space="0" w:color="auto"/>
              <w:right w:val="nil"/>
            </w:tcBorders>
            <w:shd w:val="clear" w:color="auto" w:fill="auto"/>
            <w:noWrap/>
            <w:vAlign w:val="bottom"/>
            <w:hideMark/>
          </w:tcPr>
          <w:p w14:paraId="0B53F8AE" w14:textId="77777777" w:rsidR="00D05F79" w:rsidRPr="00D05F79" w:rsidRDefault="00D05F79" w:rsidP="00546809">
            <w:pPr>
              <w:pStyle w:val="Table-Text"/>
            </w:pPr>
            <w:r w:rsidRPr="00D05F79">
              <w:t>Capital Recovery Cost</w:t>
            </w:r>
          </w:p>
        </w:tc>
        <w:tc>
          <w:tcPr>
            <w:tcW w:w="638" w:type="pct"/>
            <w:tcBorders>
              <w:top w:val="nil"/>
              <w:left w:val="single" w:sz="8" w:space="0" w:color="auto"/>
              <w:bottom w:val="single" w:sz="4" w:space="0" w:color="auto"/>
              <w:right w:val="single" w:sz="4" w:space="0" w:color="auto"/>
            </w:tcBorders>
            <w:shd w:val="clear" w:color="auto" w:fill="auto"/>
            <w:noWrap/>
            <w:vAlign w:val="center"/>
            <w:hideMark/>
          </w:tcPr>
          <w:p w14:paraId="2F77E176" w14:textId="77777777" w:rsidR="00D05F79" w:rsidRPr="00D05F79" w:rsidRDefault="4E3FFCAA" w:rsidP="3328C818">
            <w:pPr>
              <w:pStyle w:val="Table-Text"/>
              <w:jc w:val="center"/>
            </w:pPr>
            <w:r>
              <w:t xml:space="preserve"> $    254,263 </w:t>
            </w:r>
          </w:p>
        </w:tc>
        <w:tc>
          <w:tcPr>
            <w:tcW w:w="694" w:type="pct"/>
            <w:tcBorders>
              <w:top w:val="nil"/>
              <w:left w:val="nil"/>
              <w:bottom w:val="single" w:sz="4" w:space="0" w:color="auto"/>
              <w:right w:val="single" w:sz="8" w:space="0" w:color="auto"/>
            </w:tcBorders>
            <w:shd w:val="clear" w:color="auto" w:fill="auto"/>
            <w:noWrap/>
            <w:vAlign w:val="center"/>
            <w:hideMark/>
          </w:tcPr>
          <w:p w14:paraId="251132D4" w14:textId="77777777" w:rsidR="00D05F79" w:rsidRPr="00D05F79" w:rsidRDefault="4E3FFCAA" w:rsidP="3328C818">
            <w:pPr>
              <w:pStyle w:val="Table-Text"/>
              <w:jc w:val="center"/>
            </w:pPr>
            <w:r>
              <w:t xml:space="preserve"> $      381,395 </w:t>
            </w:r>
          </w:p>
        </w:tc>
        <w:tc>
          <w:tcPr>
            <w:tcW w:w="701" w:type="pct"/>
            <w:tcBorders>
              <w:top w:val="nil"/>
              <w:left w:val="nil"/>
              <w:bottom w:val="single" w:sz="4" w:space="0" w:color="auto"/>
              <w:right w:val="single" w:sz="4" w:space="0" w:color="auto"/>
            </w:tcBorders>
            <w:shd w:val="clear" w:color="auto" w:fill="auto"/>
            <w:noWrap/>
            <w:vAlign w:val="center"/>
            <w:hideMark/>
          </w:tcPr>
          <w:p w14:paraId="1FD7A305" w14:textId="77777777" w:rsidR="00D05F79" w:rsidRPr="00D05F79" w:rsidRDefault="4E3FFCAA" w:rsidP="3328C818">
            <w:pPr>
              <w:pStyle w:val="Table-Text"/>
              <w:jc w:val="center"/>
            </w:pPr>
            <w:r>
              <w:t xml:space="preserve"> $   1,181,060 </w:t>
            </w:r>
          </w:p>
        </w:tc>
        <w:tc>
          <w:tcPr>
            <w:tcW w:w="701" w:type="pct"/>
            <w:tcBorders>
              <w:top w:val="nil"/>
              <w:left w:val="nil"/>
              <w:bottom w:val="single" w:sz="4" w:space="0" w:color="auto"/>
              <w:right w:val="single" w:sz="8" w:space="0" w:color="auto"/>
            </w:tcBorders>
            <w:shd w:val="clear" w:color="auto" w:fill="auto"/>
            <w:noWrap/>
            <w:vAlign w:val="center"/>
            <w:hideMark/>
          </w:tcPr>
          <w:p w14:paraId="2E95AC8B" w14:textId="77777777" w:rsidR="00D05F79" w:rsidRPr="00D05F79" w:rsidRDefault="4E3FFCAA" w:rsidP="3328C818">
            <w:pPr>
              <w:pStyle w:val="Table-Text"/>
              <w:jc w:val="center"/>
            </w:pPr>
            <w:r>
              <w:t xml:space="preserve"> $   2,030,142 </w:t>
            </w:r>
          </w:p>
        </w:tc>
      </w:tr>
      <w:tr w:rsidR="00D05F79" w:rsidRPr="00D05F79" w14:paraId="3E60F824" w14:textId="77777777" w:rsidTr="3328C818">
        <w:trPr>
          <w:trHeight w:hRule="exact" w:val="288"/>
        </w:trPr>
        <w:tc>
          <w:tcPr>
            <w:tcW w:w="2267" w:type="pct"/>
            <w:tcBorders>
              <w:top w:val="nil"/>
              <w:left w:val="single" w:sz="8" w:space="0" w:color="auto"/>
              <w:bottom w:val="single" w:sz="4" w:space="0" w:color="auto"/>
              <w:right w:val="nil"/>
            </w:tcBorders>
            <w:shd w:val="clear" w:color="auto" w:fill="auto"/>
            <w:noWrap/>
            <w:vAlign w:val="bottom"/>
            <w:hideMark/>
          </w:tcPr>
          <w:p w14:paraId="5946097B" w14:textId="77777777" w:rsidR="00D05F79" w:rsidRPr="00D05F79" w:rsidRDefault="00D05F79" w:rsidP="00546809">
            <w:pPr>
              <w:pStyle w:val="Table-Text"/>
            </w:pPr>
            <w:r w:rsidRPr="00D05F79">
              <w:t>Indirect Cost/Fixed O&amp;M</w:t>
            </w:r>
          </w:p>
        </w:tc>
        <w:tc>
          <w:tcPr>
            <w:tcW w:w="638" w:type="pct"/>
            <w:tcBorders>
              <w:top w:val="nil"/>
              <w:left w:val="single" w:sz="8" w:space="0" w:color="auto"/>
              <w:bottom w:val="single" w:sz="4" w:space="0" w:color="auto"/>
              <w:right w:val="single" w:sz="4" w:space="0" w:color="auto"/>
            </w:tcBorders>
            <w:shd w:val="clear" w:color="auto" w:fill="auto"/>
            <w:noWrap/>
            <w:vAlign w:val="center"/>
            <w:hideMark/>
          </w:tcPr>
          <w:p w14:paraId="6EE68D25" w14:textId="77777777" w:rsidR="00D05F79" w:rsidRPr="00D05F79" w:rsidRDefault="4E3FFCAA" w:rsidP="3328C818">
            <w:pPr>
              <w:pStyle w:val="Table-Text"/>
              <w:jc w:val="center"/>
            </w:pPr>
            <w:r>
              <w:t xml:space="preserve"> $    255,888 </w:t>
            </w:r>
          </w:p>
        </w:tc>
        <w:tc>
          <w:tcPr>
            <w:tcW w:w="694" w:type="pct"/>
            <w:tcBorders>
              <w:top w:val="nil"/>
              <w:left w:val="nil"/>
              <w:bottom w:val="single" w:sz="4" w:space="0" w:color="auto"/>
              <w:right w:val="single" w:sz="8" w:space="0" w:color="auto"/>
            </w:tcBorders>
            <w:shd w:val="clear" w:color="auto" w:fill="auto"/>
            <w:noWrap/>
            <w:vAlign w:val="center"/>
            <w:hideMark/>
          </w:tcPr>
          <w:p w14:paraId="1DC1C000" w14:textId="77777777" w:rsidR="00D05F79" w:rsidRPr="00D05F79" w:rsidRDefault="4E3FFCAA" w:rsidP="3328C818">
            <w:pPr>
              <w:pStyle w:val="Table-Text"/>
              <w:jc w:val="center"/>
            </w:pPr>
            <w:r>
              <w:t xml:space="preserve"> $      383,833 </w:t>
            </w:r>
          </w:p>
        </w:tc>
        <w:tc>
          <w:tcPr>
            <w:tcW w:w="701" w:type="pct"/>
            <w:tcBorders>
              <w:top w:val="nil"/>
              <w:left w:val="nil"/>
              <w:bottom w:val="single" w:sz="4" w:space="0" w:color="auto"/>
              <w:right w:val="single" w:sz="4" w:space="0" w:color="auto"/>
            </w:tcBorders>
            <w:shd w:val="clear" w:color="auto" w:fill="auto"/>
            <w:noWrap/>
            <w:vAlign w:val="center"/>
            <w:hideMark/>
          </w:tcPr>
          <w:p w14:paraId="2CEF87B5" w14:textId="77777777" w:rsidR="00D05F79" w:rsidRPr="00D05F79" w:rsidRDefault="4E3FFCAA" w:rsidP="3328C818">
            <w:pPr>
              <w:pStyle w:val="Table-Text"/>
              <w:jc w:val="center"/>
            </w:pPr>
            <w:r>
              <w:t xml:space="preserve"> $   1,184,135 </w:t>
            </w:r>
          </w:p>
        </w:tc>
        <w:tc>
          <w:tcPr>
            <w:tcW w:w="701" w:type="pct"/>
            <w:tcBorders>
              <w:top w:val="nil"/>
              <w:left w:val="nil"/>
              <w:bottom w:val="single" w:sz="4" w:space="0" w:color="auto"/>
              <w:right w:val="single" w:sz="8" w:space="0" w:color="auto"/>
            </w:tcBorders>
            <w:shd w:val="clear" w:color="auto" w:fill="auto"/>
            <w:noWrap/>
            <w:vAlign w:val="center"/>
            <w:hideMark/>
          </w:tcPr>
          <w:p w14:paraId="7C35FE12" w14:textId="77777777" w:rsidR="00D05F79" w:rsidRPr="00D05F79" w:rsidRDefault="4E3FFCAA" w:rsidP="3328C818">
            <w:pPr>
              <w:pStyle w:val="Table-Text"/>
              <w:jc w:val="center"/>
            </w:pPr>
            <w:r>
              <w:t xml:space="preserve"> $   2,033,780 </w:t>
            </w:r>
          </w:p>
        </w:tc>
      </w:tr>
      <w:tr w:rsidR="00D05F79" w:rsidRPr="00D05F79" w14:paraId="1FDBF479" w14:textId="77777777" w:rsidTr="3328C818">
        <w:trPr>
          <w:trHeight w:hRule="exact" w:val="288"/>
        </w:trPr>
        <w:tc>
          <w:tcPr>
            <w:tcW w:w="2267" w:type="pct"/>
            <w:tcBorders>
              <w:top w:val="nil"/>
              <w:left w:val="single" w:sz="8" w:space="0" w:color="auto"/>
              <w:bottom w:val="single" w:sz="4" w:space="0" w:color="auto"/>
              <w:right w:val="nil"/>
            </w:tcBorders>
            <w:shd w:val="clear" w:color="auto" w:fill="auto"/>
            <w:noWrap/>
            <w:vAlign w:val="bottom"/>
            <w:hideMark/>
          </w:tcPr>
          <w:p w14:paraId="291C63CE" w14:textId="77777777" w:rsidR="00D05F79" w:rsidRPr="00D05F79" w:rsidRDefault="00D05F79" w:rsidP="00546809">
            <w:pPr>
              <w:pStyle w:val="Table-Text"/>
            </w:pPr>
            <w:r w:rsidRPr="00D05F79">
              <w:t>Total System Capacity Factor</w:t>
            </w:r>
          </w:p>
        </w:tc>
        <w:tc>
          <w:tcPr>
            <w:tcW w:w="638" w:type="pct"/>
            <w:tcBorders>
              <w:top w:val="nil"/>
              <w:left w:val="single" w:sz="8" w:space="0" w:color="auto"/>
              <w:bottom w:val="single" w:sz="4" w:space="0" w:color="auto"/>
              <w:right w:val="single" w:sz="4" w:space="0" w:color="auto"/>
            </w:tcBorders>
            <w:shd w:val="clear" w:color="auto" w:fill="auto"/>
            <w:noWrap/>
            <w:vAlign w:val="center"/>
            <w:hideMark/>
          </w:tcPr>
          <w:p w14:paraId="412DB0CD" w14:textId="77777777" w:rsidR="00D05F79" w:rsidRPr="00D05F79" w:rsidRDefault="4E3FFCAA" w:rsidP="3328C818">
            <w:pPr>
              <w:pStyle w:val="Table-Text"/>
              <w:jc w:val="center"/>
            </w:pPr>
            <w:r>
              <w:t>0.635</w:t>
            </w:r>
          </w:p>
        </w:tc>
        <w:tc>
          <w:tcPr>
            <w:tcW w:w="694" w:type="pct"/>
            <w:tcBorders>
              <w:top w:val="nil"/>
              <w:left w:val="nil"/>
              <w:bottom w:val="single" w:sz="4" w:space="0" w:color="auto"/>
              <w:right w:val="single" w:sz="8" w:space="0" w:color="auto"/>
            </w:tcBorders>
            <w:shd w:val="clear" w:color="auto" w:fill="auto"/>
            <w:noWrap/>
            <w:vAlign w:val="center"/>
            <w:hideMark/>
          </w:tcPr>
          <w:p w14:paraId="10E46F95" w14:textId="77777777" w:rsidR="00D05F79" w:rsidRPr="00D05F79" w:rsidRDefault="4E3FFCAA" w:rsidP="3328C818">
            <w:pPr>
              <w:pStyle w:val="Table-Text"/>
              <w:jc w:val="center"/>
            </w:pPr>
            <w:r>
              <w:t>0.635</w:t>
            </w:r>
          </w:p>
        </w:tc>
        <w:tc>
          <w:tcPr>
            <w:tcW w:w="701" w:type="pct"/>
            <w:tcBorders>
              <w:top w:val="nil"/>
              <w:left w:val="nil"/>
              <w:bottom w:val="single" w:sz="4" w:space="0" w:color="auto"/>
              <w:right w:val="single" w:sz="4" w:space="0" w:color="auto"/>
            </w:tcBorders>
            <w:shd w:val="clear" w:color="auto" w:fill="auto"/>
            <w:noWrap/>
            <w:vAlign w:val="center"/>
            <w:hideMark/>
          </w:tcPr>
          <w:p w14:paraId="26996911" w14:textId="77777777" w:rsidR="00D05F79" w:rsidRPr="00D05F79" w:rsidRDefault="4E3FFCAA" w:rsidP="3328C818">
            <w:pPr>
              <w:pStyle w:val="Table-Text"/>
              <w:jc w:val="center"/>
            </w:pPr>
            <w:r>
              <w:t>0.635</w:t>
            </w:r>
          </w:p>
        </w:tc>
        <w:tc>
          <w:tcPr>
            <w:tcW w:w="701" w:type="pct"/>
            <w:tcBorders>
              <w:top w:val="nil"/>
              <w:left w:val="nil"/>
              <w:bottom w:val="single" w:sz="4" w:space="0" w:color="auto"/>
              <w:right w:val="single" w:sz="8" w:space="0" w:color="auto"/>
            </w:tcBorders>
            <w:shd w:val="clear" w:color="auto" w:fill="auto"/>
            <w:noWrap/>
            <w:vAlign w:val="center"/>
            <w:hideMark/>
          </w:tcPr>
          <w:p w14:paraId="66608505" w14:textId="77777777" w:rsidR="00D05F79" w:rsidRPr="00D05F79" w:rsidRDefault="4E3FFCAA" w:rsidP="3328C818">
            <w:pPr>
              <w:pStyle w:val="Table-Text"/>
              <w:jc w:val="center"/>
            </w:pPr>
            <w:r>
              <w:t xml:space="preserve">0.635 </w:t>
            </w:r>
          </w:p>
        </w:tc>
      </w:tr>
      <w:tr w:rsidR="00D05F79" w:rsidRPr="00D05F79" w14:paraId="2A2230EE" w14:textId="77777777" w:rsidTr="3328C818">
        <w:trPr>
          <w:trHeight w:hRule="exact" w:val="288"/>
        </w:trPr>
        <w:tc>
          <w:tcPr>
            <w:tcW w:w="2267" w:type="pct"/>
            <w:tcBorders>
              <w:top w:val="nil"/>
              <w:left w:val="single" w:sz="8" w:space="0" w:color="auto"/>
              <w:bottom w:val="single" w:sz="4" w:space="0" w:color="auto"/>
              <w:right w:val="nil"/>
            </w:tcBorders>
            <w:shd w:val="clear" w:color="auto" w:fill="auto"/>
            <w:noWrap/>
            <w:vAlign w:val="bottom"/>
            <w:hideMark/>
          </w:tcPr>
          <w:p w14:paraId="543E8FC3" w14:textId="77777777" w:rsidR="00D05F79" w:rsidRPr="00D05F79" w:rsidRDefault="00D05F79" w:rsidP="00546809">
            <w:pPr>
              <w:pStyle w:val="Table-Text"/>
            </w:pPr>
            <w:r w:rsidRPr="00D05F79">
              <w:t>Direct Cost/Variable O&amp;M</w:t>
            </w:r>
          </w:p>
        </w:tc>
        <w:tc>
          <w:tcPr>
            <w:tcW w:w="638" w:type="pct"/>
            <w:tcBorders>
              <w:top w:val="nil"/>
              <w:left w:val="single" w:sz="8" w:space="0" w:color="auto"/>
              <w:bottom w:val="single" w:sz="4" w:space="0" w:color="auto"/>
              <w:right w:val="single" w:sz="4" w:space="0" w:color="auto"/>
            </w:tcBorders>
            <w:shd w:val="clear" w:color="auto" w:fill="auto"/>
            <w:noWrap/>
            <w:vAlign w:val="center"/>
            <w:hideMark/>
          </w:tcPr>
          <w:p w14:paraId="7F1E0274" w14:textId="77777777" w:rsidR="00D05F79" w:rsidRPr="00D05F79" w:rsidRDefault="4E3FFCAA" w:rsidP="3328C818">
            <w:pPr>
              <w:pStyle w:val="Table-Text"/>
              <w:jc w:val="center"/>
            </w:pPr>
            <w:r>
              <w:t xml:space="preserve"> $    129,143 </w:t>
            </w:r>
          </w:p>
        </w:tc>
        <w:tc>
          <w:tcPr>
            <w:tcW w:w="694" w:type="pct"/>
            <w:tcBorders>
              <w:top w:val="nil"/>
              <w:left w:val="nil"/>
              <w:bottom w:val="single" w:sz="4" w:space="0" w:color="auto"/>
              <w:right w:val="single" w:sz="8" w:space="0" w:color="auto"/>
            </w:tcBorders>
            <w:shd w:val="clear" w:color="auto" w:fill="auto"/>
            <w:noWrap/>
            <w:vAlign w:val="center"/>
            <w:hideMark/>
          </w:tcPr>
          <w:p w14:paraId="3D511B72" w14:textId="77777777" w:rsidR="00D05F79" w:rsidRPr="00D05F79" w:rsidRDefault="4E3FFCAA" w:rsidP="3328C818">
            <w:pPr>
              <w:pStyle w:val="Table-Text"/>
              <w:jc w:val="center"/>
            </w:pPr>
            <w:r>
              <w:t xml:space="preserve"> $      156,231 </w:t>
            </w:r>
          </w:p>
        </w:tc>
        <w:tc>
          <w:tcPr>
            <w:tcW w:w="701" w:type="pct"/>
            <w:tcBorders>
              <w:top w:val="nil"/>
              <w:left w:val="nil"/>
              <w:bottom w:val="single" w:sz="4" w:space="0" w:color="auto"/>
              <w:right w:val="single" w:sz="4" w:space="0" w:color="auto"/>
            </w:tcBorders>
            <w:shd w:val="clear" w:color="auto" w:fill="auto"/>
            <w:noWrap/>
            <w:vAlign w:val="center"/>
            <w:hideMark/>
          </w:tcPr>
          <w:p w14:paraId="6B96AF44" w14:textId="77777777" w:rsidR="00D05F79" w:rsidRPr="00D05F79" w:rsidRDefault="4E3FFCAA" w:rsidP="3328C818">
            <w:pPr>
              <w:pStyle w:val="Table-Text"/>
              <w:jc w:val="center"/>
            </w:pPr>
            <w:r>
              <w:t xml:space="preserve"> $      277,115 </w:t>
            </w:r>
          </w:p>
        </w:tc>
        <w:tc>
          <w:tcPr>
            <w:tcW w:w="701" w:type="pct"/>
            <w:tcBorders>
              <w:top w:val="nil"/>
              <w:left w:val="nil"/>
              <w:bottom w:val="single" w:sz="4" w:space="0" w:color="auto"/>
              <w:right w:val="single" w:sz="8" w:space="0" w:color="auto"/>
            </w:tcBorders>
            <w:shd w:val="clear" w:color="auto" w:fill="auto"/>
            <w:noWrap/>
            <w:vAlign w:val="center"/>
            <w:hideMark/>
          </w:tcPr>
          <w:p w14:paraId="0ECEAF27" w14:textId="77777777" w:rsidR="00D05F79" w:rsidRPr="00D05F79" w:rsidRDefault="4E3FFCAA" w:rsidP="3328C818">
            <w:pPr>
              <w:pStyle w:val="Table-Text"/>
              <w:jc w:val="center"/>
            </w:pPr>
            <w:r>
              <w:t xml:space="preserve"> $      359,977 </w:t>
            </w:r>
          </w:p>
        </w:tc>
      </w:tr>
      <w:tr w:rsidR="00D05F79" w:rsidRPr="00D05F79" w14:paraId="3CDA8C40" w14:textId="77777777" w:rsidTr="3328C818">
        <w:trPr>
          <w:trHeight w:hRule="exact" w:val="288"/>
        </w:trPr>
        <w:tc>
          <w:tcPr>
            <w:tcW w:w="2267" w:type="pct"/>
            <w:tcBorders>
              <w:top w:val="nil"/>
              <w:left w:val="single" w:sz="8" w:space="0" w:color="auto"/>
              <w:bottom w:val="single" w:sz="4" w:space="0" w:color="auto"/>
              <w:right w:val="nil"/>
            </w:tcBorders>
            <w:shd w:val="clear" w:color="auto" w:fill="auto"/>
            <w:noWrap/>
            <w:vAlign w:val="bottom"/>
            <w:hideMark/>
          </w:tcPr>
          <w:p w14:paraId="7CBBD20E" w14:textId="77777777" w:rsidR="00D05F79" w:rsidRPr="00D05F79" w:rsidRDefault="00D05F79" w:rsidP="00546809">
            <w:pPr>
              <w:pStyle w:val="Table-Text"/>
            </w:pPr>
            <w:r w:rsidRPr="00D05F79">
              <w:t xml:space="preserve">Total Annual Cost </w:t>
            </w:r>
          </w:p>
        </w:tc>
        <w:tc>
          <w:tcPr>
            <w:tcW w:w="638" w:type="pct"/>
            <w:tcBorders>
              <w:top w:val="nil"/>
              <w:left w:val="single" w:sz="8" w:space="0" w:color="auto"/>
              <w:bottom w:val="single" w:sz="4" w:space="0" w:color="auto"/>
              <w:right w:val="single" w:sz="4" w:space="0" w:color="auto"/>
            </w:tcBorders>
            <w:shd w:val="clear" w:color="auto" w:fill="auto"/>
            <w:noWrap/>
            <w:vAlign w:val="center"/>
            <w:hideMark/>
          </w:tcPr>
          <w:p w14:paraId="4C765ABF" w14:textId="77777777" w:rsidR="00D05F79" w:rsidRPr="00D05F79" w:rsidRDefault="4E3FFCAA" w:rsidP="3328C818">
            <w:pPr>
              <w:pStyle w:val="Table-Text"/>
              <w:jc w:val="center"/>
            </w:pPr>
            <w:r>
              <w:t xml:space="preserve"> $    385,032 </w:t>
            </w:r>
          </w:p>
        </w:tc>
        <w:tc>
          <w:tcPr>
            <w:tcW w:w="694" w:type="pct"/>
            <w:tcBorders>
              <w:top w:val="nil"/>
              <w:left w:val="nil"/>
              <w:bottom w:val="single" w:sz="4" w:space="0" w:color="auto"/>
              <w:right w:val="single" w:sz="8" w:space="0" w:color="auto"/>
            </w:tcBorders>
            <w:shd w:val="clear" w:color="auto" w:fill="auto"/>
            <w:noWrap/>
            <w:vAlign w:val="center"/>
            <w:hideMark/>
          </w:tcPr>
          <w:p w14:paraId="73842E5F" w14:textId="77777777" w:rsidR="00D05F79" w:rsidRPr="00D05F79" w:rsidRDefault="4E3FFCAA" w:rsidP="3328C818">
            <w:pPr>
              <w:pStyle w:val="Table-Text"/>
              <w:jc w:val="center"/>
            </w:pPr>
            <w:r>
              <w:t xml:space="preserve"> $      540,063 </w:t>
            </w:r>
          </w:p>
        </w:tc>
        <w:tc>
          <w:tcPr>
            <w:tcW w:w="701" w:type="pct"/>
            <w:tcBorders>
              <w:top w:val="nil"/>
              <w:left w:val="nil"/>
              <w:bottom w:val="single" w:sz="4" w:space="0" w:color="auto"/>
              <w:right w:val="single" w:sz="4" w:space="0" w:color="auto"/>
            </w:tcBorders>
            <w:shd w:val="clear" w:color="auto" w:fill="auto"/>
            <w:noWrap/>
            <w:vAlign w:val="center"/>
            <w:hideMark/>
          </w:tcPr>
          <w:p w14:paraId="30F3DC50" w14:textId="77777777" w:rsidR="00D05F79" w:rsidRPr="00D05F79" w:rsidRDefault="4E3FFCAA" w:rsidP="3328C818">
            <w:pPr>
              <w:pStyle w:val="Table-Text"/>
              <w:jc w:val="center"/>
            </w:pPr>
            <w:r>
              <w:t xml:space="preserve"> $   1,461,250 </w:t>
            </w:r>
          </w:p>
        </w:tc>
        <w:tc>
          <w:tcPr>
            <w:tcW w:w="701" w:type="pct"/>
            <w:tcBorders>
              <w:top w:val="nil"/>
              <w:left w:val="nil"/>
              <w:bottom w:val="single" w:sz="4" w:space="0" w:color="auto"/>
              <w:right w:val="single" w:sz="8" w:space="0" w:color="auto"/>
            </w:tcBorders>
            <w:shd w:val="clear" w:color="auto" w:fill="auto"/>
            <w:noWrap/>
            <w:vAlign w:val="center"/>
            <w:hideMark/>
          </w:tcPr>
          <w:p w14:paraId="1657AED3" w14:textId="77777777" w:rsidR="00D05F79" w:rsidRPr="00D05F79" w:rsidRDefault="4E3FFCAA" w:rsidP="3328C818">
            <w:pPr>
              <w:pStyle w:val="Table-Text"/>
              <w:jc w:val="center"/>
            </w:pPr>
            <w:r>
              <w:t xml:space="preserve"> $   2,393,757 </w:t>
            </w:r>
          </w:p>
        </w:tc>
      </w:tr>
      <w:tr w:rsidR="00D05F79" w:rsidRPr="00D05F79" w14:paraId="225F6BF7" w14:textId="77777777" w:rsidTr="3328C818">
        <w:trPr>
          <w:trHeight w:hRule="exact" w:val="288"/>
        </w:trPr>
        <w:tc>
          <w:tcPr>
            <w:tcW w:w="2267" w:type="pct"/>
            <w:tcBorders>
              <w:top w:val="nil"/>
              <w:left w:val="single" w:sz="8" w:space="0" w:color="auto"/>
              <w:bottom w:val="single" w:sz="4" w:space="0" w:color="auto"/>
              <w:right w:val="nil"/>
            </w:tcBorders>
            <w:shd w:val="clear" w:color="auto" w:fill="auto"/>
            <w:noWrap/>
            <w:vAlign w:val="bottom"/>
            <w:hideMark/>
          </w:tcPr>
          <w:p w14:paraId="2743448D" w14:textId="77777777" w:rsidR="00D05F79" w:rsidRPr="00D05F79" w:rsidRDefault="00D05F79" w:rsidP="00546809">
            <w:pPr>
              <w:pStyle w:val="Table-Text"/>
            </w:pPr>
            <w:r w:rsidRPr="00D05F79">
              <w:t>Uncontrolled NOx Emission Rate (</w:t>
            </w:r>
            <w:proofErr w:type="spellStart"/>
            <w:r w:rsidRPr="00D05F79">
              <w:t>lb</w:t>
            </w:r>
            <w:proofErr w:type="spellEnd"/>
            <w:r w:rsidRPr="00D05F79">
              <w:t>/</w:t>
            </w:r>
            <w:proofErr w:type="spellStart"/>
            <w:r w:rsidRPr="00D05F79">
              <w:t>mmbtu</w:t>
            </w:r>
            <w:proofErr w:type="spellEnd"/>
            <w:r w:rsidRPr="00D05F79">
              <w:t>)</w:t>
            </w:r>
          </w:p>
        </w:tc>
        <w:tc>
          <w:tcPr>
            <w:tcW w:w="638" w:type="pct"/>
            <w:tcBorders>
              <w:top w:val="nil"/>
              <w:left w:val="single" w:sz="8" w:space="0" w:color="auto"/>
              <w:bottom w:val="single" w:sz="4" w:space="0" w:color="auto"/>
              <w:right w:val="single" w:sz="4" w:space="0" w:color="auto"/>
            </w:tcBorders>
            <w:shd w:val="clear" w:color="auto" w:fill="auto"/>
            <w:noWrap/>
            <w:vAlign w:val="center"/>
            <w:hideMark/>
          </w:tcPr>
          <w:p w14:paraId="5AA98BC5" w14:textId="77777777" w:rsidR="00D05F79" w:rsidRPr="00D05F79" w:rsidRDefault="4E3FFCAA" w:rsidP="3328C818">
            <w:pPr>
              <w:pStyle w:val="Table-Text"/>
              <w:jc w:val="center"/>
            </w:pPr>
            <w:r>
              <w:t>0.34</w:t>
            </w:r>
          </w:p>
        </w:tc>
        <w:tc>
          <w:tcPr>
            <w:tcW w:w="694" w:type="pct"/>
            <w:tcBorders>
              <w:top w:val="nil"/>
              <w:left w:val="nil"/>
              <w:bottom w:val="single" w:sz="4" w:space="0" w:color="auto"/>
              <w:right w:val="single" w:sz="8" w:space="0" w:color="auto"/>
            </w:tcBorders>
            <w:shd w:val="clear" w:color="auto" w:fill="auto"/>
            <w:noWrap/>
            <w:vAlign w:val="center"/>
            <w:hideMark/>
          </w:tcPr>
          <w:p w14:paraId="3563E766" w14:textId="77777777" w:rsidR="00D05F79" w:rsidRPr="00D05F79" w:rsidRDefault="4E3FFCAA" w:rsidP="3328C818">
            <w:pPr>
              <w:pStyle w:val="Table-Text"/>
              <w:jc w:val="center"/>
            </w:pPr>
            <w:r>
              <w:t>0.306</w:t>
            </w:r>
          </w:p>
        </w:tc>
        <w:tc>
          <w:tcPr>
            <w:tcW w:w="701" w:type="pct"/>
            <w:tcBorders>
              <w:top w:val="nil"/>
              <w:left w:val="nil"/>
              <w:bottom w:val="single" w:sz="4" w:space="0" w:color="auto"/>
              <w:right w:val="single" w:sz="4" w:space="0" w:color="auto"/>
            </w:tcBorders>
            <w:shd w:val="clear" w:color="auto" w:fill="auto"/>
            <w:noWrap/>
            <w:vAlign w:val="center"/>
            <w:hideMark/>
          </w:tcPr>
          <w:p w14:paraId="54B0FDEF" w14:textId="77777777" w:rsidR="00D05F79" w:rsidRPr="00D05F79" w:rsidRDefault="4E3FFCAA" w:rsidP="3328C818">
            <w:pPr>
              <w:pStyle w:val="Table-Text"/>
              <w:jc w:val="center"/>
            </w:pPr>
            <w:r>
              <w:t>0.34</w:t>
            </w:r>
          </w:p>
        </w:tc>
        <w:tc>
          <w:tcPr>
            <w:tcW w:w="701" w:type="pct"/>
            <w:tcBorders>
              <w:top w:val="nil"/>
              <w:left w:val="nil"/>
              <w:bottom w:val="single" w:sz="4" w:space="0" w:color="auto"/>
              <w:right w:val="single" w:sz="8" w:space="0" w:color="auto"/>
            </w:tcBorders>
            <w:shd w:val="clear" w:color="auto" w:fill="auto"/>
            <w:noWrap/>
            <w:vAlign w:val="center"/>
            <w:hideMark/>
          </w:tcPr>
          <w:p w14:paraId="250A9769" w14:textId="77777777" w:rsidR="00D05F79" w:rsidRPr="00D05F79" w:rsidRDefault="4E3FFCAA" w:rsidP="3328C818">
            <w:pPr>
              <w:pStyle w:val="Table-Text"/>
              <w:jc w:val="center"/>
            </w:pPr>
            <w:r>
              <w:t>0.34</w:t>
            </w:r>
          </w:p>
        </w:tc>
      </w:tr>
      <w:tr w:rsidR="00D05F79" w:rsidRPr="00D05F79" w14:paraId="5F6F8681" w14:textId="77777777" w:rsidTr="3328C818">
        <w:trPr>
          <w:trHeight w:hRule="exact" w:val="288"/>
        </w:trPr>
        <w:tc>
          <w:tcPr>
            <w:tcW w:w="2267" w:type="pct"/>
            <w:tcBorders>
              <w:top w:val="nil"/>
              <w:left w:val="single" w:sz="8" w:space="0" w:color="auto"/>
              <w:bottom w:val="single" w:sz="4" w:space="0" w:color="auto"/>
              <w:right w:val="nil"/>
            </w:tcBorders>
            <w:shd w:val="clear" w:color="auto" w:fill="auto"/>
            <w:noWrap/>
            <w:vAlign w:val="bottom"/>
            <w:hideMark/>
          </w:tcPr>
          <w:p w14:paraId="41BDADE2" w14:textId="77777777" w:rsidR="00D05F79" w:rsidRPr="00D05F79" w:rsidRDefault="00D05F79" w:rsidP="00546809">
            <w:pPr>
              <w:pStyle w:val="Table-Text"/>
            </w:pPr>
            <w:r w:rsidRPr="00D05F79">
              <w:t>Maximum Uncontrolled Tons</w:t>
            </w:r>
          </w:p>
        </w:tc>
        <w:tc>
          <w:tcPr>
            <w:tcW w:w="638" w:type="pct"/>
            <w:tcBorders>
              <w:top w:val="nil"/>
              <w:left w:val="single" w:sz="8" w:space="0" w:color="auto"/>
              <w:bottom w:val="single" w:sz="4" w:space="0" w:color="auto"/>
              <w:right w:val="single" w:sz="4" w:space="0" w:color="auto"/>
            </w:tcBorders>
            <w:shd w:val="clear" w:color="auto" w:fill="auto"/>
            <w:noWrap/>
            <w:vAlign w:val="center"/>
            <w:hideMark/>
          </w:tcPr>
          <w:p w14:paraId="24C49810" w14:textId="77777777" w:rsidR="00D05F79" w:rsidRPr="00D05F79" w:rsidRDefault="4E3FFCAA" w:rsidP="3328C818">
            <w:pPr>
              <w:pStyle w:val="Table-Text"/>
              <w:jc w:val="center"/>
            </w:pPr>
            <w:r>
              <w:t>532</w:t>
            </w:r>
          </w:p>
        </w:tc>
        <w:tc>
          <w:tcPr>
            <w:tcW w:w="694" w:type="pct"/>
            <w:tcBorders>
              <w:top w:val="nil"/>
              <w:left w:val="nil"/>
              <w:bottom w:val="single" w:sz="4" w:space="0" w:color="auto"/>
              <w:right w:val="single" w:sz="8" w:space="0" w:color="auto"/>
            </w:tcBorders>
            <w:shd w:val="clear" w:color="auto" w:fill="auto"/>
            <w:noWrap/>
            <w:vAlign w:val="center"/>
            <w:hideMark/>
          </w:tcPr>
          <w:p w14:paraId="250A52F0" w14:textId="77777777" w:rsidR="00D05F79" w:rsidRPr="00D05F79" w:rsidRDefault="4E3FFCAA" w:rsidP="3328C818">
            <w:pPr>
              <w:pStyle w:val="Table-Text"/>
              <w:jc w:val="center"/>
            </w:pPr>
            <w:r>
              <w:t>532</w:t>
            </w:r>
          </w:p>
        </w:tc>
        <w:tc>
          <w:tcPr>
            <w:tcW w:w="701" w:type="pct"/>
            <w:tcBorders>
              <w:top w:val="nil"/>
              <w:left w:val="nil"/>
              <w:bottom w:val="single" w:sz="4" w:space="0" w:color="auto"/>
              <w:right w:val="single" w:sz="4" w:space="0" w:color="auto"/>
            </w:tcBorders>
            <w:shd w:val="clear" w:color="auto" w:fill="auto"/>
            <w:noWrap/>
            <w:vAlign w:val="center"/>
            <w:hideMark/>
          </w:tcPr>
          <w:p w14:paraId="181C92B6" w14:textId="77777777" w:rsidR="00D05F79" w:rsidRPr="00D05F79" w:rsidRDefault="4E3FFCAA" w:rsidP="3328C818">
            <w:pPr>
              <w:pStyle w:val="Table-Text"/>
              <w:jc w:val="center"/>
            </w:pPr>
            <w:r>
              <w:t>532</w:t>
            </w:r>
          </w:p>
        </w:tc>
        <w:tc>
          <w:tcPr>
            <w:tcW w:w="701" w:type="pct"/>
            <w:tcBorders>
              <w:top w:val="nil"/>
              <w:left w:val="nil"/>
              <w:bottom w:val="single" w:sz="4" w:space="0" w:color="auto"/>
              <w:right w:val="single" w:sz="8" w:space="0" w:color="auto"/>
            </w:tcBorders>
            <w:shd w:val="clear" w:color="auto" w:fill="auto"/>
            <w:noWrap/>
            <w:vAlign w:val="center"/>
            <w:hideMark/>
          </w:tcPr>
          <w:p w14:paraId="1B351B93" w14:textId="77777777" w:rsidR="00D05F79" w:rsidRPr="00D05F79" w:rsidRDefault="4E3FFCAA" w:rsidP="3328C818">
            <w:pPr>
              <w:pStyle w:val="Table-Text"/>
              <w:jc w:val="center"/>
            </w:pPr>
            <w:r>
              <w:t>532</w:t>
            </w:r>
          </w:p>
        </w:tc>
      </w:tr>
      <w:tr w:rsidR="00D05F79" w:rsidRPr="00D05F79" w14:paraId="5746D207" w14:textId="77777777" w:rsidTr="3328C818">
        <w:trPr>
          <w:trHeight w:hRule="exact" w:val="288"/>
        </w:trPr>
        <w:tc>
          <w:tcPr>
            <w:tcW w:w="2267" w:type="pct"/>
            <w:tcBorders>
              <w:top w:val="nil"/>
              <w:left w:val="single" w:sz="8" w:space="0" w:color="auto"/>
              <w:bottom w:val="single" w:sz="4" w:space="0" w:color="auto"/>
              <w:right w:val="nil"/>
            </w:tcBorders>
            <w:shd w:val="clear" w:color="auto" w:fill="auto"/>
            <w:noWrap/>
            <w:vAlign w:val="center"/>
            <w:hideMark/>
          </w:tcPr>
          <w:p w14:paraId="5487F43B" w14:textId="77777777" w:rsidR="00D05F79" w:rsidRPr="00D05F79" w:rsidRDefault="00D05F79" w:rsidP="00546809">
            <w:pPr>
              <w:pStyle w:val="Table-Text"/>
            </w:pPr>
            <w:r w:rsidRPr="00D05F79">
              <w:t>Uncontrolled Tons</w:t>
            </w:r>
          </w:p>
        </w:tc>
        <w:tc>
          <w:tcPr>
            <w:tcW w:w="638" w:type="pct"/>
            <w:tcBorders>
              <w:top w:val="nil"/>
              <w:left w:val="single" w:sz="8" w:space="0" w:color="auto"/>
              <w:bottom w:val="single" w:sz="4" w:space="0" w:color="auto"/>
              <w:right w:val="single" w:sz="4" w:space="0" w:color="auto"/>
            </w:tcBorders>
            <w:shd w:val="clear" w:color="auto" w:fill="auto"/>
            <w:noWrap/>
            <w:vAlign w:val="center"/>
            <w:hideMark/>
          </w:tcPr>
          <w:p w14:paraId="7EB14E73" w14:textId="77777777" w:rsidR="00D05F79" w:rsidRPr="00D05F79" w:rsidRDefault="4E3FFCAA" w:rsidP="3328C818">
            <w:pPr>
              <w:pStyle w:val="Table-Text"/>
              <w:jc w:val="center"/>
            </w:pPr>
            <w:r>
              <w:t>338</w:t>
            </w:r>
          </w:p>
        </w:tc>
        <w:tc>
          <w:tcPr>
            <w:tcW w:w="694" w:type="pct"/>
            <w:tcBorders>
              <w:top w:val="nil"/>
              <w:left w:val="nil"/>
              <w:bottom w:val="single" w:sz="4" w:space="0" w:color="auto"/>
              <w:right w:val="single" w:sz="8" w:space="0" w:color="auto"/>
            </w:tcBorders>
            <w:shd w:val="clear" w:color="auto" w:fill="auto"/>
            <w:noWrap/>
            <w:vAlign w:val="center"/>
            <w:hideMark/>
          </w:tcPr>
          <w:p w14:paraId="731B9BDE" w14:textId="77777777" w:rsidR="00D05F79" w:rsidRPr="00D05F79" w:rsidRDefault="4E3FFCAA" w:rsidP="3328C818">
            <w:pPr>
              <w:pStyle w:val="Table-Text"/>
              <w:jc w:val="center"/>
            </w:pPr>
            <w:r>
              <w:t>338</w:t>
            </w:r>
          </w:p>
        </w:tc>
        <w:tc>
          <w:tcPr>
            <w:tcW w:w="701" w:type="pct"/>
            <w:tcBorders>
              <w:top w:val="nil"/>
              <w:left w:val="nil"/>
              <w:bottom w:val="single" w:sz="4" w:space="0" w:color="auto"/>
              <w:right w:val="single" w:sz="4" w:space="0" w:color="auto"/>
            </w:tcBorders>
            <w:shd w:val="clear" w:color="auto" w:fill="auto"/>
            <w:noWrap/>
            <w:vAlign w:val="center"/>
            <w:hideMark/>
          </w:tcPr>
          <w:p w14:paraId="05378ADD" w14:textId="77777777" w:rsidR="00D05F79" w:rsidRPr="00D05F79" w:rsidRDefault="4E3FFCAA" w:rsidP="3328C818">
            <w:pPr>
              <w:pStyle w:val="Table-Text"/>
              <w:jc w:val="center"/>
            </w:pPr>
            <w:r>
              <w:t>338</w:t>
            </w:r>
          </w:p>
        </w:tc>
        <w:tc>
          <w:tcPr>
            <w:tcW w:w="701" w:type="pct"/>
            <w:tcBorders>
              <w:top w:val="nil"/>
              <w:left w:val="nil"/>
              <w:bottom w:val="single" w:sz="4" w:space="0" w:color="auto"/>
              <w:right w:val="single" w:sz="8" w:space="0" w:color="auto"/>
            </w:tcBorders>
            <w:shd w:val="clear" w:color="auto" w:fill="auto"/>
            <w:noWrap/>
            <w:vAlign w:val="center"/>
            <w:hideMark/>
          </w:tcPr>
          <w:p w14:paraId="3ED6F376" w14:textId="77777777" w:rsidR="00D05F79" w:rsidRPr="00D05F79" w:rsidRDefault="4E3FFCAA" w:rsidP="3328C818">
            <w:pPr>
              <w:pStyle w:val="Table-Text"/>
              <w:jc w:val="center"/>
            </w:pPr>
            <w:r>
              <w:t>338</w:t>
            </w:r>
          </w:p>
        </w:tc>
      </w:tr>
      <w:tr w:rsidR="00D05F79" w:rsidRPr="00D05F79" w14:paraId="3555EF8C" w14:textId="77777777" w:rsidTr="3328C818">
        <w:trPr>
          <w:trHeight w:hRule="exact" w:val="288"/>
        </w:trPr>
        <w:tc>
          <w:tcPr>
            <w:tcW w:w="2267" w:type="pct"/>
            <w:tcBorders>
              <w:top w:val="nil"/>
              <w:left w:val="single" w:sz="8" w:space="0" w:color="auto"/>
              <w:bottom w:val="single" w:sz="4" w:space="0" w:color="auto"/>
              <w:right w:val="nil"/>
            </w:tcBorders>
            <w:shd w:val="clear" w:color="auto" w:fill="auto"/>
            <w:noWrap/>
            <w:vAlign w:val="bottom"/>
            <w:hideMark/>
          </w:tcPr>
          <w:p w14:paraId="52F4406A" w14:textId="77777777" w:rsidR="00D05F79" w:rsidRPr="00D05F79" w:rsidRDefault="00D05F79" w:rsidP="00546809">
            <w:pPr>
              <w:pStyle w:val="Table-Text"/>
            </w:pPr>
            <w:r w:rsidRPr="00D05F79">
              <w:t>NOx Removal Efficiency (%)</w:t>
            </w:r>
          </w:p>
        </w:tc>
        <w:tc>
          <w:tcPr>
            <w:tcW w:w="638" w:type="pct"/>
            <w:tcBorders>
              <w:top w:val="nil"/>
              <w:left w:val="single" w:sz="8" w:space="0" w:color="auto"/>
              <w:bottom w:val="single" w:sz="4" w:space="0" w:color="auto"/>
              <w:right w:val="single" w:sz="4" w:space="0" w:color="auto"/>
            </w:tcBorders>
            <w:shd w:val="clear" w:color="auto" w:fill="auto"/>
            <w:noWrap/>
            <w:vAlign w:val="center"/>
            <w:hideMark/>
          </w:tcPr>
          <w:p w14:paraId="7F581598" w14:textId="77777777" w:rsidR="00D05F79" w:rsidRPr="00D05F79" w:rsidRDefault="4E3FFCAA" w:rsidP="3328C818">
            <w:pPr>
              <w:pStyle w:val="Table-Text"/>
              <w:jc w:val="center"/>
            </w:pPr>
            <w:r>
              <w:t>10</w:t>
            </w:r>
          </w:p>
        </w:tc>
        <w:tc>
          <w:tcPr>
            <w:tcW w:w="694" w:type="pct"/>
            <w:tcBorders>
              <w:top w:val="nil"/>
              <w:left w:val="nil"/>
              <w:bottom w:val="single" w:sz="4" w:space="0" w:color="auto"/>
              <w:right w:val="single" w:sz="8" w:space="0" w:color="auto"/>
            </w:tcBorders>
            <w:shd w:val="clear" w:color="auto" w:fill="auto"/>
            <w:noWrap/>
            <w:vAlign w:val="center"/>
            <w:hideMark/>
          </w:tcPr>
          <w:p w14:paraId="7141686B" w14:textId="77777777" w:rsidR="00D05F79" w:rsidRPr="00D05F79" w:rsidRDefault="4E3FFCAA" w:rsidP="3328C818">
            <w:pPr>
              <w:pStyle w:val="Table-Text"/>
              <w:jc w:val="center"/>
            </w:pPr>
            <w:r>
              <w:t>10</w:t>
            </w:r>
          </w:p>
        </w:tc>
        <w:tc>
          <w:tcPr>
            <w:tcW w:w="701" w:type="pct"/>
            <w:tcBorders>
              <w:top w:val="nil"/>
              <w:left w:val="nil"/>
              <w:bottom w:val="single" w:sz="4" w:space="0" w:color="auto"/>
              <w:right w:val="single" w:sz="4" w:space="0" w:color="auto"/>
            </w:tcBorders>
            <w:shd w:val="clear" w:color="auto" w:fill="FFFF00"/>
            <w:noWrap/>
            <w:vAlign w:val="center"/>
            <w:hideMark/>
          </w:tcPr>
          <w:p w14:paraId="754FC8FA" w14:textId="77777777" w:rsidR="00D05F79" w:rsidRPr="00D05F79" w:rsidRDefault="4E3FFCAA" w:rsidP="3328C818">
            <w:pPr>
              <w:pStyle w:val="Table-Text"/>
              <w:jc w:val="center"/>
            </w:pPr>
            <w:r>
              <w:t>85</w:t>
            </w:r>
          </w:p>
        </w:tc>
        <w:tc>
          <w:tcPr>
            <w:tcW w:w="701" w:type="pct"/>
            <w:tcBorders>
              <w:top w:val="nil"/>
              <w:left w:val="nil"/>
              <w:bottom w:val="single" w:sz="4" w:space="0" w:color="auto"/>
              <w:right w:val="single" w:sz="8" w:space="0" w:color="auto"/>
            </w:tcBorders>
            <w:shd w:val="clear" w:color="auto" w:fill="FFFF00"/>
            <w:noWrap/>
            <w:vAlign w:val="center"/>
            <w:hideMark/>
          </w:tcPr>
          <w:p w14:paraId="10DE259F" w14:textId="77777777" w:rsidR="00D05F79" w:rsidRPr="00D05F79" w:rsidRDefault="4E3FFCAA" w:rsidP="3328C818">
            <w:pPr>
              <w:pStyle w:val="Table-Text"/>
              <w:jc w:val="center"/>
            </w:pPr>
            <w:r>
              <w:t>80</w:t>
            </w:r>
          </w:p>
        </w:tc>
      </w:tr>
      <w:tr w:rsidR="00D05F79" w:rsidRPr="00D05F79" w14:paraId="0933DB4B" w14:textId="77777777" w:rsidTr="3328C818">
        <w:trPr>
          <w:trHeight w:hRule="exact" w:val="288"/>
        </w:trPr>
        <w:tc>
          <w:tcPr>
            <w:tcW w:w="2267" w:type="pct"/>
            <w:tcBorders>
              <w:top w:val="nil"/>
              <w:left w:val="single" w:sz="8" w:space="0" w:color="auto"/>
              <w:bottom w:val="single" w:sz="4" w:space="0" w:color="auto"/>
              <w:right w:val="nil"/>
            </w:tcBorders>
            <w:shd w:val="clear" w:color="auto" w:fill="auto"/>
            <w:noWrap/>
            <w:vAlign w:val="bottom"/>
            <w:hideMark/>
          </w:tcPr>
          <w:p w14:paraId="3CD39CD6" w14:textId="77777777" w:rsidR="00D05F79" w:rsidRPr="00D05F79" w:rsidRDefault="00D05F79" w:rsidP="00546809">
            <w:pPr>
              <w:pStyle w:val="Table-Text"/>
            </w:pPr>
            <w:r w:rsidRPr="00D05F79">
              <w:t>Controlled NOx Emission Rate (</w:t>
            </w:r>
            <w:proofErr w:type="spellStart"/>
            <w:r w:rsidRPr="00D05F79">
              <w:t>lb</w:t>
            </w:r>
            <w:proofErr w:type="spellEnd"/>
            <w:r w:rsidRPr="00D05F79">
              <w:t>/</w:t>
            </w:r>
            <w:proofErr w:type="spellStart"/>
            <w:r w:rsidRPr="00D05F79">
              <w:t>mmbtu</w:t>
            </w:r>
            <w:proofErr w:type="spellEnd"/>
            <w:r w:rsidRPr="00D05F79">
              <w:t>)</w:t>
            </w:r>
          </w:p>
        </w:tc>
        <w:tc>
          <w:tcPr>
            <w:tcW w:w="638" w:type="pct"/>
            <w:tcBorders>
              <w:top w:val="nil"/>
              <w:left w:val="single" w:sz="8" w:space="0" w:color="auto"/>
              <w:bottom w:val="single" w:sz="4" w:space="0" w:color="auto"/>
              <w:right w:val="single" w:sz="4" w:space="0" w:color="auto"/>
            </w:tcBorders>
            <w:shd w:val="clear" w:color="auto" w:fill="auto"/>
            <w:noWrap/>
            <w:vAlign w:val="center"/>
            <w:hideMark/>
          </w:tcPr>
          <w:p w14:paraId="1D348274" w14:textId="77777777" w:rsidR="00D05F79" w:rsidRPr="00D05F79" w:rsidRDefault="4E3FFCAA" w:rsidP="3328C818">
            <w:pPr>
              <w:pStyle w:val="Table-Text"/>
              <w:jc w:val="center"/>
            </w:pPr>
            <w:r>
              <w:t>0.306</w:t>
            </w:r>
          </w:p>
        </w:tc>
        <w:tc>
          <w:tcPr>
            <w:tcW w:w="694" w:type="pct"/>
            <w:tcBorders>
              <w:top w:val="nil"/>
              <w:left w:val="nil"/>
              <w:bottom w:val="single" w:sz="4" w:space="0" w:color="auto"/>
              <w:right w:val="single" w:sz="8" w:space="0" w:color="auto"/>
            </w:tcBorders>
            <w:shd w:val="clear" w:color="auto" w:fill="auto"/>
            <w:noWrap/>
            <w:vAlign w:val="center"/>
            <w:hideMark/>
          </w:tcPr>
          <w:p w14:paraId="027D6546" w14:textId="77777777" w:rsidR="00D05F79" w:rsidRPr="00D05F79" w:rsidRDefault="4E3FFCAA" w:rsidP="3328C818">
            <w:pPr>
              <w:pStyle w:val="Table-Text"/>
              <w:jc w:val="center"/>
            </w:pPr>
            <w:r>
              <w:t>0.306</w:t>
            </w:r>
          </w:p>
        </w:tc>
        <w:tc>
          <w:tcPr>
            <w:tcW w:w="701" w:type="pct"/>
            <w:tcBorders>
              <w:top w:val="nil"/>
              <w:left w:val="nil"/>
              <w:bottom w:val="single" w:sz="4" w:space="0" w:color="auto"/>
              <w:right w:val="single" w:sz="4" w:space="0" w:color="auto"/>
            </w:tcBorders>
            <w:shd w:val="clear" w:color="auto" w:fill="FFFF00"/>
            <w:noWrap/>
            <w:vAlign w:val="center"/>
            <w:hideMark/>
          </w:tcPr>
          <w:p w14:paraId="1FA2ECB3" w14:textId="77777777" w:rsidR="00D05F79" w:rsidRPr="00D05F79" w:rsidRDefault="4E3FFCAA" w:rsidP="3328C818">
            <w:pPr>
              <w:pStyle w:val="Table-Text"/>
              <w:jc w:val="center"/>
            </w:pPr>
            <w:r>
              <w:t>0.05</w:t>
            </w:r>
          </w:p>
        </w:tc>
        <w:tc>
          <w:tcPr>
            <w:tcW w:w="701" w:type="pct"/>
            <w:tcBorders>
              <w:top w:val="nil"/>
              <w:left w:val="nil"/>
              <w:bottom w:val="single" w:sz="4" w:space="0" w:color="auto"/>
              <w:right w:val="single" w:sz="8" w:space="0" w:color="auto"/>
            </w:tcBorders>
            <w:shd w:val="clear" w:color="auto" w:fill="FFFF00"/>
            <w:noWrap/>
            <w:vAlign w:val="center"/>
            <w:hideMark/>
          </w:tcPr>
          <w:p w14:paraId="485F4055" w14:textId="77777777" w:rsidR="00D05F79" w:rsidRPr="00D05F79" w:rsidRDefault="4E3FFCAA" w:rsidP="3328C818">
            <w:pPr>
              <w:pStyle w:val="Table-Text"/>
              <w:jc w:val="center"/>
            </w:pPr>
            <w:r>
              <w:t>0.07</w:t>
            </w:r>
          </w:p>
        </w:tc>
      </w:tr>
      <w:tr w:rsidR="00D05F79" w:rsidRPr="00D05F79" w14:paraId="31E249A3" w14:textId="77777777" w:rsidTr="3328C818">
        <w:trPr>
          <w:trHeight w:hRule="exact" w:val="288"/>
        </w:trPr>
        <w:tc>
          <w:tcPr>
            <w:tcW w:w="2267" w:type="pct"/>
            <w:tcBorders>
              <w:top w:val="nil"/>
              <w:left w:val="single" w:sz="8" w:space="0" w:color="auto"/>
              <w:bottom w:val="single" w:sz="4" w:space="0" w:color="auto"/>
              <w:right w:val="nil"/>
            </w:tcBorders>
            <w:shd w:val="clear" w:color="auto" w:fill="auto"/>
            <w:noWrap/>
            <w:vAlign w:val="bottom"/>
            <w:hideMark/>
          </w:tcPr>
          <w:p w14:paraId="25707AA1" w14:textId="77777777" w:rsidR="00D05F79" w:rsidRPr="00D05F79" w:rsidRDefault="00D05F79" w:rsidP="00546809">
            <w:pPr>
              <w:pStyle w:val="Table-Text"/>
            </w:pPr>
            <w:r w:rsidRPr="00D05F79">
              <w:t>Tons Removed</w:t>
            </w:r>
          </w:p>
        </w:tc>
        <w:tc>
          <w:tcPr>
            <w:tcW w:w="638" w:type="pct"/>
            <w:tcBorders>
              <w:top w:val="nil"/>
              <w:left w:val="single" w:sz="8" w:space="0" w:color="auto"/>
              <w:bottom w:val="single" w:sz="4" w:space="0" w:color="auto"/>
              <w:right w:val="single" w:sz="4" w:space="0" w:color="auto"/>
            </w:tcBorders>
            <w:shd w:val="clear" w:color="auto" w:fill="auto"/>
            <w:noWrap/>
            <w:vAlign w:val="center"/>
            <w:hideMark/>
          </w:tcPr>
          <w:p w14:paraId="671D36AC" w14:textId="77777777" w:rsidR="00D05F79" w:rsidRPr="00D05F79" w:rsidRDefault="4E3FFCAA" w:rsidP="3328C818">
            <w:pPr>
              <w:pStyle w:val="Table-Text"/>
              <w:jc w:val="center"/>
            </w:pPr>
            <w:r>
              <w:t>35</w:t>
            </w:r>
          </w:p>
        </w:tc>
        <w:tc>
          <w:tcPr>
            <w:tcW w:w="694" w:type="pct"/>
            <w:tcBorders>
              <w:top w:val="nil"/>
              <w:left w:val="nil"/>
              <w:bottom w:val="single" w:sz="4" w:space="0" w:color="auto"/>
              <w:right w:val="single" w:sz="8" w:space="0" w:color="auto"/>
            </w:tcBorders>
            <w:shd w:val="clear" w:color="auto" w:fill="auto"/>
            <w:noWrap/>
            <w:vAlign w:val="center"/>
            <w:hideMark/>
          </w:tcPr>
          <w:p w14:paraId="66C74990" w14:textId="77777777" w:rsidR="00D05F79" w:rsidRPr="00D05F79" w:rsidRDefault="4E3FFCAA" w:rsidP="3328C818">
            <w:pPr>
              <w:pStyle w:val="Table-Text"/>
              <w:jc w:val="center"/>
            </w:pPr>
            <w:r>
              <w:t>35</w:t>
            </w:r>
          </w:p>
        </w:tc>
        <w:tc>
          <w:tcPr>
            <w:tcW w:w="701" w:type="pct"/>
            <w:tcBorders>
              <w:top w:val="nil"/>
              <w:left w:val="nil"/>
              <w:bottom w:val="single" w:sz="4" w:space="0" w:color="auto"/>
              <w:right w:val="single" w:sz="4" w:space="0" w:color="auto"/>
            </w:tcBorders>
            <w:shd w:val="clear" w:color="auto" w:fill="FFFF00"/>
            <w:noWrap/>
            <w:vAlign w:val="center"/>
            <w:hideMark/>
          </w:tcPr>
          <w:p w14:paraId="065DF46E" w14:textId="77777777" w:rsidR="00D05F79" w:rsidRPr="00D05F79" w:rsidRDefault="4E3FFCAA" w:rsidP="3328C818">
            <w:pPr>
              <w:pStyle w:val="Table-Text"/>
              <w:jc w:val="center"/>
            </w:pPr>
            <w:r>
              <w:t>289</w:t>
            </w:r>
          </w:p>
        </w:tc>
        <w:tc>
          <w:tcPr>
            <w:tcW w:w="701" w:type="pct"/>
            <w:tcBorders>
              <w:top w:val="nil"/>
              <w:left w:val="nil"/>
              <w:bottom w:val="single" w:sz="4" w:space="0" w:color="auto"/>
              <w:right w:val="single" w:sz="8" w:space="0" w:color="auto"/>
            </w:tcBorders>
            <w:shd w:val="clear" w:color="auto" w:fill="FFFF00"/>
            <w:noWrap/>
            <w:vAlign w:val="center"/>
            <w:hideMark/>
          </w:tcPr>
          <w:p w14:paraId="5D76CEA4" w14:textId="77777777" w:rsidR="00D05F79" w:rsidRPr="00D05F79" w:rsidRDefault="4E3FFCAA" w:rsidP="3328C818">
            <w:pPr>
              <w:pStyle w:val="Table-Text"/>
              <w:jc w:val="center"/>
            </w:pPr>
            <w:r>
              <w:t>269</w:t>
            </w:r>
          </w:p>
        </w:tc>
      </w:tr>
      <w:tr w:rsidR="00D05F79" w:rsidRPr="00D05F79" w14:paraId="1403DA85" w14:textId="77777777" w:rsidTr="3328C818">
        <w:trPr>
          <w:trHeight w:hRule="exact" w:val="288"/>
        </w:trPr>
        <w:tc>
          <w:tcPr>
            <w:tcW w:w="2267" w:type="pct"/>
            <w:tcBorders>
              <w:top w:val="nil"/>
              <w:left w:val="single" w:sz="8" w:space="0" w:color="auto"/>
              <w:bottom w:val="single" w:sz="8" w:space="0" w:color="auto"/>
              <w:right w:val="nil"/>
            </w:tcBorders>
            <w:shd w:val="clear" w:color="auto" w:fill="auto"/>
            <w:noWrap/>
            <w:vAlign w:val="bottom"/>
            <w:hideMark/>
          </w:tcPr>
          <w:p w14:paraId="512FC6CF" w14:textId="77777777" w:rsidR="00D05F79" w:rsidRPr="00D05F79" w:rsidRDefault="00D05F79" w:rsidP="00546809">
            <w:pPr>
              <w:pStyle w:val="Table-Text"/>
            </w:pPr>
            <w:r w:rsidRPr="00D05F79">
              <w:t>Cost-Effectiveness</w:t>
            </w:r>
          </w:p>
        </w:tc>
        <w:tc>
          <w:tcPr>
            <w:tcW w:w="638" w:type="pct"/>
            <w:tcBorders>
              <w:top w:val="nil"/>
              <w:left w:val="single" w:sz="8" w:space="0" w:color="auto"/>
              <w:bottom w:val="single" w:sz="8" w:space="0" w:color="auto"/>
              <w:right w:val="single" w:sz="4" w:space="0" w:color="auto"/>
            </w:tcBorders>
            <w:shd w:val="clear" w:color="auto" w:fill="auto"/>
            <w:noWrap/>
            <w:vAlign w:val="center"/>
            <w:hideMark/>
          </w:tcPr>
          <w:p w14:paraId="30EACFD0" w14:textId="77777777" w:rsidR="00D05F79" w:rsidRPr="00D05F79" w:rsidRDefault="4E3FFCAA" w:rsidP="3328C818">
            <w:pPr>
              <w:pStyle w:val="Table-Text"/>
              <w:jc w:val="center"/>
            </w:pPr>
            <w:r>
              <w:t xml:space="preserve"> $      10,954 </w:t>
            </w:r>
          </w:p>
        </w:tc>
        <w:tc>
          <w:tcPr>
            <w:tcW w:w="694" w:type="pct"/>
            <w:tcBorders>
              <w:top w:val="nil"/>
              <w:left w:val="nil"/>
              <w:bottom w:val="single" w:sz="8" w:space="0" w:color="auto"/>
              <w:right w:val="single" w:sz="8" w:space="0" w:color="auto"/>
            </w:tcBorders>
            <w:shd w:val="clear" w:color="auto" w:fill="auto"/>
            <w:noWrap/>
            <w:vAlign w:val="center"/>
            <w:hideMark/>
          </w:tcPr>
          <w:p w14:paraId="3B332585" w14:textId="77777777" w:rsidR="00D05F79" w:rsidRPr="00D05F79" w:rsidRDefault="4E3FFCAA" w:rsidP="3328C818">
            <w:pPr>
              <w:pStyle w:val="Table-Text"/>
              <w:jc w:val="center"/>
            </w:pPr>
            <w:r>
              <w:t xml:space="preserve"> $        15,365 </w:t>
            </w:r>
          </w:p>
        </w:tc>
        <w:tc>
          <w:tcPr>
            <w:tcW w:w="701" w:type="pct"/>
            <w:tcBorders>
              <w:top w:val="nil"/>
              <w:left w:val="nil"/>
              <w:bottom w:val="single" w:sz="8" w:space="0" w:color="auto"/>
              <w:right w:val="single" w:sz="4" w:space="0" w:color="auto"/>
            </w:tcBorders>
            <w:shd w:val="clear" w:color="auto" w:fill="FFFF00"/>
            <w:noWrap/>
            <w:vAlign w:val="center"/>
            <w:hideMark/>
          </w:tcPr>
          <w:p w14:paraId="343339AE" w14:textId="77777777" w:rsidR="00D05F79" w:rsidRPr="00D05F79" w:rsidRDefault="4E3FFCAA" w:rsidP="3328C818">
            <w:pPr>
              <w:pStyle w:val="Table-Text"/>
              <w:jc w:val="center"/>
            </w:pPr>
            <w:r>
              <w:t xml:space="preserve"> $           5,063 </w:t>
            </w:r>
          </w:p>
        </w:tc>
        <w:tc>
          <w:tcPr>
            <w:tcW w:w="701" w:type="pct"/>
            <w:tcBorders>
              <w:top w:val="nil"/>
              <w:left w:val="nil"/>
              <w:bottom w:val="single" w:sz="8" w:space="0" w:color="auto"/>
              <w:right w:val="single" w:sz="8" w:space="0" w:color="auto"/>
            </w:tcBorders>
            <w:shd w:val="clear" w:color="auto" w:fill="FFFF00"/>
            <w:noWrap/>
            <w:vAlign w:val="center"/>
            <w:hideMark/>
          </w:tcPr>
          <w:p w14:paraId="2C38A44D" w14:textId="77777777" w:rsidR="00D05F79" w:rsidRPr="00D05F79" w:rsidRDefault="4E3FFCAA" w:rsidP="3328C818">
            <w:pPr>
              <w:pStyle w:val="Table-Text"/>
              <w:jc w:val="center"/>
            </w:pPr>
            <w:r>
              <w:t xml:space="preserve"> $           8,905 </w:t>
            </w:r>
          </w:p>
        </w:tc>
      </w:tr>
    </w:tbl>
    <w:p w14:paraId="2489A33E" w14:textId="77777777" w:rsidR="00D05F79" w:rsidRDefault="00D05F79" w:rsidP="00B1738B">
      <w:pPr>
        <w:spacing w:line="240" w:lineRule="auto"/>
        <w:contextualSpacing/>
        <w:rPr>
          <w:bCs/>
        </w:rPr>
      </w:pPr>
    </w:p>
    <w:p w14:paraId="20978E73" w14:textId="504FE825" w:rsidR="00867FDB" w:rsidRPr="00A60E04" w:rsidRDefault="00867FDB" w:rsidP="00B1738B">
      <w:pPr>
        <w:spacing w:line="240" w:lineRule="auto"/>
        <w:contextualSpacing/>
      </w:pPr>
      <w:r w:rsidRPr="002745A2">
        <w:rPr>
          <w:bCs/>
        </w:rPr>
        <w:t>As the above table demonstrate</w:t>
      </w:r>
      <w:r>
        <w:rPr>
          <w:bCs/>
        </w:rPr>
        <w:t>s</w:t>
      </w:r>
      <w:r w:rsidRPr="002745A2">
        <w:rPr>
          <w:bCs/>
        </w:rPr>
        <w:t xml:space="preserve">, the NPS estimates cost-effectiveness values </w:t>
      </w:r>
      <w:r>
        <w:rPr>
          <w:bCs/>
        </w:rPr>
        <w:t xml:space="preserve">for </w:t>
      </w:r>
      <w:r w:rsidRPr="00A724AB">
        <w:rPr>
          <w:bCs/>
        </w:rPr>
        <w:t>SCR at less than $</w:t>
      </w:r>
      <w:r w:rsidR="00D05F79">
        <w:rPr>
          <w:bCs/>
        </w:rPr>
        <w:t>5,100</w:t>
      </w:r>
      <w:r w:rsidRPr="00A724AB">
        <w:rPr>
          <w:bCs/>
        </w:rPr>
        <w:t>/ton.</w:t>
      </w:r>
      <w:r w:rsidRPr="00A724AB">
        <w:rPr>
          <w:bCs/>
        </w:rPr>
        <w:tab/>
      </w:r>
    </w:p>
    <w:p w14:paraId="795E0E2A" w14:textId="77777777" w:rsidR="00867FDB" w:rsidRDefault="00867FDB" w:rsidP="00B1738B">
      <w:pPr>
        <w:pStyle w:val="Heading4"/>
        <w:spacing w:line="240" w:lineRule="auto"/>
        <w:contextualSpacing/>
      </w:pPr>
      <w:r>
        <w:t>Statutory Factor 2: Time Necessary for Compliance</w:t>
      </w:r>
    </w:p>
    <w:p w14:paraId="77E0B656" w14:textId="77777777" w:rsidR="00867FDB" w:rsidRDefault="00867FDB" w:rsidP="00B1738B">
      <w:pPr>
        <w:spacing w:line="240" w:lineRule="auto"/>
        <w:contextualSpacing/>
      </w:pPr>
      <w:r>
        <w:t xml:space="preserve">The time necessary for compliance </w:t>
      </w:r>
      <w:r w:rsidRPr="00D717B3">
        <w:t>for SCR is typically four to five years after SIP approval.</w:t>
      </w:r>
    </w:p>
    <w:p w14:paraId="285265CF" w14:textId="77777777" w:rsidR="00867FDB" w:rsidRDefault="00867FDB" w:rsidP="00B1738B">
      <w:pPr>
        <w:pStyle w:val="Heading4"/>
        <w:spacing w:line="240" w:lineRule="auto"/>
        <w:contextualSpacing/>
      </w:pPr>
      <w:r>
        <w:t>Statutory Factor 3: Energy and Non-Air Quality Environmental Impacts</w:t>
      </w:r>
    </w:p>
    <w:p w14:paraId="76205472" w14:textId="0C530DF4" w:rsidR="00867FDB" w:rsidRDefault="00867FDB" w:rsidP="00B1738B">
      <w:pPr>
        <w:spacing w:line="240" w:lineRule="auto"/>
        <w:contextualSpacing/>
      </w:pPr>
      <w:r w:rsidRPr="00DB7AC4">
        <w:t>When evaluating statutory factor 3, ACS</w:t>
      </w:r>
      <w:r>
        <w:t xml:space="preserve"> EGF</w:t>
      </w:r>
      <w:r w:rsidRPr="00DB7AC4">
        <w:t xml:space="preserve"> raises several potential concerns with respect to </w:t>
      </w:r>
      <w:r>
        <w:t>SNCR and SCR</w:t>
      </w:r>
      <w:r w:rsidRPr="00DB7AC4">
        <w:t xml:space="preserve"> including energy use, </w:t>
      </w:r>
      <w:r>
        <w:t xml:space="preserve">ammonia storage, potential ammonia slip, and potential impacts to mercury controls. </w:t>
      </w:r>
      <w:r w:rsidRPr="00DB7AC4">
        <w:t>NPS review finds that:</w:t>
      </w:r>
    </w:p>
    <w:p w14:paraId="51549139" w14:textId="77777777" w:rsidR="00867FDB" w:rsidRDefault="00867FDB" w:rsidP="00B1738B">
      <w:pPr>
        <w:pStyle w:val="ListParagraph"/>
      </w:pPr>
      <w:r>
        <w:t>The energy impacts mentioned are most properly accounted for when analyzing statutory factor 1, Cost of Compliance.</w:t>
      </w:r>
    </w:p>
    <w:p w14:paraId="345422A1" w14:textId="00471242" w:rsidR="00867FDB" w:rsidRDefault="00867FDB" w:rsidP="00B1738B">
      <w:pPr>
        <w:pStyle w:val="ListParagraph"/>
      </w:pPr>
      <w:r>
        <w:t xml:space="preserve">Ammonia storage and potential slip issues </w:t>
      </w:r>
      <w:r w:rsidRPr="00B46B43">
        <w:t>are not unique to this site and should be addressed by proper operation and maintenance</w:t>
      </w:r>
      <w:r>
        <w:t xml:space="preserve">. </w:t>
      </w:r>
    </w:p>
    <w:p w14:paraId="1AC15C0C" w14:textId="3F6EF2E4" w:rsidR="00867FDB" w:rsidRDefault="00867FDB" w:rsidP="00B1738B">
      <w:pPr>
        <w:pStyle w:val="ListParagraph"/>
      </w:pPr>
      <w:r>
        <w:t>With respect to potential implications for mercury controls, t</w:t>
      </w:r>
      <w:r w:rsidRPr="00025400">
        <w:t xml:space="preserve">he SNCR ammonia slip issue is not unique to this application. </w:t>
      </w:r>
      <w:r>
        <w:t>SCR</w:t>
      </w:r>
      <w:r w:rsidRPr="00025400">
        <w:t xml:space="preserve"> is known to promote ionization/oxidation of elemental mercury to a form that can be captured by downstream control equipment. It is possible that addition of SCR upstream of the </w:t>
      </w:r>
      <w:r w:rsidRPr="00A9462F">
        <w:t>SO</w:t>
      </w:r>
      <w:r w:rsidRPr="00A9462F">
        <w:rPr>
          <w:vertAlign w:val="subscript"/>
        </w:rPr>
        <w:t>2</w:t>
      </w:r>
      <w:r w:rsidRPr="00025400">
        <w:t xml:space="preserve"> and PM controls could result in reduced mercury emissions and/or PAC consumption/costs.</w:t>
      </w:r>
      <w:r>
        <w:t xml:space="preserve"> </w:t>
      </w:r>
    </w:p>
    <w:p w14:paraId="7C18761C" w14:textId="77777777" w:rsidR="00867FDB" w:rsidRDefault="00867FDB" w:rsidP="00B1738B">
      <w:pPr>
        <w:pStyle w:val="Heading4"/>
        <w:spacing w:line="240" w:lineRule="auto"/>
        <w:contextualSpacing/>
      </w:pPr>
      <w:r w:rsidRPr="00294DA7">
        <w:t>Stat</w:t>
      </w:r>
      <w:r>
        <w:t>utory</w:t>
      </w:r>
      <w:r w:rsidRPr="00294DA7">
        <w:t xml:space="preserve"> Factor 4: Remaining Useful Life</w:t>
      </w:r>
    </w:p>
    <w:p w14:paraId="7936552F" w14:textId="3638353B" w:rsidR="00867FDB" w:rsidRDefault="00867FDB" w:rsidP="00B1738B">
      <w:pPr>
        <w:spacing w:line="240" w:lineRule="auto"/>
        <w:contextualSpacing/>
      </w:pPr>
      <w:r w:rsidRPr="005A6870">
        <w:t>ACS</w:t>
      </w:r>
      <w:r w:rsidR="0063704C">
        <w:t>C</w:t>
      </w:r>
      <w:r w:rsidRPr="005A6870">
        <w:t xml:space="preserve"> notes that the remaining useful life of the EGF boilers is greater than 20 years. Therefore, the remaining useful life has no impact on the annualized estimated control technology costs. In addition, the CCM recommends 30-year life for </w:t>
      </w:r>
      <w:r>
        <w:t>SCR on industrial boilers</w:t>
      </w:r>
      <w:r w:rsidRPr="005A6870">
        <w:t xml:space="preserve"> unless limited by a federally-enforceable condition.</w:t>
      </w:r>
    </w:p>
    <w:p w14:paraId="255EDFB1" w14:textId="0412F4AF" w:rsidR="008E13BD" w:rsidRDefault="008E13BD" w:rsidP="00B1738B">
      <w:pPr>
        <w:spacing w:line="240" w:lineRule="auto"/>
        <w:contextualSpacing/>
      </w:pPr>
    </w:p>
    <w:p w14:paraId="61356AC6" w14:textId="67826F36" w:rsidR="008E13BD" w:rsidRPr="008E13BD" w:rsidRDefault="008E13BD" w:rsidP="008E13BD">
      <w:pPr>
        <w:spacing w:line="240" w:lineRule="auto"/>
        <w:contextualSpacing/>
        <w:rPr>
          <w:szCs w:val="24"/>
        </w:rPr>
      </w:pPr>
      <w:r w:rsidRPr="008E13BD">
        <w:rPr>
          <w:szCs w:val="24"/>
        </w:rPr>
        <w:t xml:space="preserve">MPCA </w:t>
      </w:r>
      <w:r w:rsidR="00A2547C">
        <w:rPr>
          <w:szCs w:val="24"/>
        </w:rPr>
        <w:t>concludes that</w:t>
      </w:r>
      <w:r w:rsidR="0093371D">
        <w:rPr>
          <w:szCs w:val="24"/>
        </w:rPr>
        <w:t xml:space="preserve">, </w:t>
      </w:r>
      <w:r w:rsidR="00021EDA">
        <w:rPr>
          <w:szCs w:val="24"/>
        </w:rPr>
        <w:t>b</w:t>
      </w:r>
      <w:r w:rsidRPr="00FF48DB">
        <w:rPr>
          <w:szCs w:val="24"/>
        </w:rPr>
        <w:t>ased on the additional information provided by the facility, neither NO</w:t>
      </w:r>
      <w:r w:rsidR="00021EDA" w:rsidRPr="00B448C7">
        <w:rPr>
          <w:szCs w:val="24"/>
          <w:vertAlign w:val="subscript"/>
        </w:rPr>
        <w:t>x</w:t>
      </w:r>
      <w:r w:rsidRPr="00FF48DB">
        <w:rPr>
          <w:szCs w:val="24"/>
        </w:rPr>
        <w:t xml:space="preserve"> nor SO</w:t>
      </w:r>
      <w:r w:rsidRPr="00B448C7">
        <w:rPr>
          <w:szCs w:val="24"/>
          <w:vertAlign w:val="subscript"/>
        </w:rPr>
        <w:t>2</w:t>
      </w:r>
      <w:r w:rsidRPr="00FF48DB">
        <w:rPr>
          <w:szCs w:val="24"/>
        </w:rPr>
        <w:t xml:space="preserve"> controls appear to be cost-effective for either facility in this regional haze implementation period.</w:t>
      </w:r>
    </w:p>
    <w:p w14:paraId="51780E0D" w14:textId="4DA4B72B" w:rsidR="00867FDB" w:rsidRDefault="00867FDB" w:rsidP="00B1738B">
      <w:pPr>
        <w:pStyle w:val="Heading3"/>
        <w:spacing w:line="240" w:lineRule="auto"/>
        <w:contextualSpacing/>
      </w:pPr>
      <w:r>
        <w:t>NPS Conclusions and Recommendations for American Crystal Sugar – East Grand Forks</w:t>
      </w:r>
    </w:p>
    <w:p w14:paraId="2C5728BF" w14:textId="77777777" w:rsidR="0063704C" w:rsidRPr="0063704C" w:rsidRDefault="0063704C" w:rsidP="0063704C">
      <w:pPr>
        <w:spacing w:line="240" w:lineRule="auto"/>
        <w:contextualSpacing/>
      </w:pPr>
      <w:r w:rsidRPr="0063704C">
        <w:t>NPS review finds that ACSC and MPCA have overestimated the Cost of Compliance due to:</w:t>
      </w:r>
    </w:p>
    <w:p w14:paraId="26C2F9A9" w14:textId="77777777" w:rsidR="0063704C" w:rsidRPr="00F01726" w:rsidRDefault="0063704C" w:rsidP="00B448C7">
      <w:pPr>
        <w:pStyle w:val="ListParagraph"/>
        <w:numPr>
          <w:ilvl w:val="0"/>
          <w:numId w:val="51"/>
        </w:numPr>
      </w:pPr>
      <w:r w:rsidRPr="00F01726">
        <w:t>Use of equipment life (20 years) for some controls that is too short.</w:t>
      </w:r>
    </w:p>
    <w:p w14:paraId="20F08CCE" w14:textId="77777777" w:rsidR="0063704C" w:rsidRPr="00097B06" w:rsidRDefault="0063704C" w:rsidP="00B448C7">
      <w:pPr>
        <w:pStyle w:val="ListParagraph"/>
        <w:numPr>
          <w:ilvl w:val="0"/>
          <w:numId w:val="51"/>
        </w:numPr>
      </w:pPr>
      <w:r w:rsidRPr="00097B06">
        <w:t>Application of unsupported retrofit factors.</w:t>
      </w:r>
    </w:p>
    <w:p w14:paraId="47568E75" w14:textId="77777777" w:rsidR="0063704C" w:rsidRPr="00B51C7D" w:rsidRDefault="0063704C" w:rsidP="00B448C7">
      <w:pPr>
        <w:pStyle w:val="ListParagraph"/>
        <w:numPr>
          <w:ilvl w:val="0"/>
          <w:numId w:val="51"/>
        </w:numPr>
      </w:pPr>
      <w:r w:rsidRPr="00B51C7D">
        <w:t>Underestimation of control efficiencies.</w:t>
      </w:r>
    </w:p>
    <w:p w14:paraId="5EA3ED41" w14:textId="77777777" w:rsidR="0063704C" w:rsidRPr="0063704C" w:rsidRDefault="0063704C" w:rsidP="006734C7">
      <w:r w:rsidRPr="0063704C">
        <w:t>With respect to statutory factor one, the Cost of Compliance, after making the adjustments described above NPS analysis finds that:</w:t>
      </w:r>
    </w:p>
    <w:p w14:paraId="51D1ACC8" w14:textId="77777777" w:rsidR="0063704C" w:rsidRPr="0063704C" w:rsidRDefault="0063704C" w:rsidP="006734C7">
      <w:pPr>
        <w:pStyle w:val="ListParagraph"/>
      </w:pPr>
      <w:r w:rsidRPr="0063704C">
        <w:t>The addition of DSI (with trona) is cost-effective for SO</w:t>
      </w:r>
      <w:r w:rsidRPr="0063704C">
        <w:rPr>
          <w:vertAlign w:val="subscript"/>
        </w:rPr>
        <w:t>2</w:t>
      </w:r>
      <w:r w:rsidRPr="0063704C">
        <w:t xml:space="preserve"> emission reductions with or without addition of a new baghouse, and </w:t>
      </w:r>
    </w:p>
    <w:p w14:paraId="73DE4A26" w14:textId="77777777" w:rsidR="0063704C" w:rsidRPr="0063704C" w:rsidRDefault="0063704C" w:rsidP="006734C7">
      <w:pPr>
        <w:pStyle w:val="ListParagraph"/>
      </w:pPr>
      <w:r w:rsidRPr="0063704C">
        <w:t>The addition of SCR is a cost-effective option for reducing NO</w:t>
      </w:r>
      <w:r w:rsidRPr="0063704C">
        <w:rPr>
          <w:vertAlign w:val="subscript"/>
        </w:rPr>
        <w:t>x</w:t>
      </w:r>
      <w:r w:rsidRPr="0063704C">
        <w:t xml:space="preserve"> emissions from this facility.</w:t>
      </w:r>
    </w:p>
    <w:p w14:paraId="31CF7750" w14:textId="275EF136" w:rsidR="0063704C" w:rsidRPr="0063704C" w:rsidRDefault="0063704C" w:rsidP="006734C7">
      <w:r w:rsidRPr="0063704C">
        <w:t xml:space="preserve">The NPS recommends that MPCA evaluate statutory factor two, </w:t>
      </w:r>
      <w:r w:rsidRPr="0063704C">
        <w:rPr>
          <w:i/>
          <w:iCs/>
        </w:rPr>
        <w:t>Time Necessary for Compliance</w:t>
      </w:r>
      <w:r w:rsidRPr="0063704C">
        <w:t xml:space="preserve">, for addition of DSI and SCR for </w:t>
      </w:r>
      <w:r w:rsidR="00E9437D">
        <w:t>both</w:t>
      </w:r>
      <w:r w:rsidRPr="0063704C">
        <w:t xml:space="preserve"> boilers. Review of statutory factors three and four finds no unusual </w:t>
      </w:r>
      <w:r w:rsidRPr="0063704C">
        <w:rPr>
          <w:i/>
          <w:iCs/>
        </w:rPr>
        <w:t>Energy and Non-Air Quality Environmental Impacts</w:t>
      </w:r>
      <w:r w:rsidRPr="0063704C">
        <w:t xml:space="preserve"> related to DSI or SCR and </w:t>
      </w:r>
      <w:r w:rsidRPr="0063704C">
        <w:rPr>
          <w:i/>
          <w:iCs/>
        </w:rPr>
        <w:t>Remaining Useful Life</w:t>
      </w:r>
      <w:r w:rsidRPr="0063704C">
        <w:t xml:space="preserve"> is not an issue.</w:t>
      </w:r>
    </w:p>
    <w:p w14:paraId="027790C9" w14:textId="550924F6" w:rsidR="00E9437D" w:rsidRPr="00E9437D" w:rsidRDefault="51F6F34A" w:rsidP="006734C7">
      <w:r>
        <w:t>In conclusion, based on the four factors, the NPS recommends that MPCA require the addition of DSI with trona and a new baghouse as well as SCR to both boilers analyzed at ACSC--</w:t>
      </w:r>
      <w:r w:rsidR="5F291528">
        <w:t>EGF</w:t>
      </w:r>
      <w:r>
        <w:t xml:space="preserve">. </w:t>
      </w:r>
    </w:p>
    <w:p w14:paraId="00313F6C" w14:textId="10C814C2" w:rsidR="00EA0940" w:rsidRPr="00E9437D" w:rsidRDefault="00D5365B" w:rsidP="00707FF9">
      <w:pPr>
        <w:pStyle w:val="ListParagraph"/>
      </w:pPr>
      <w:r w:rsidRPr="00E9437D">
        <w:t>The addition of DSI with milled trona and replacement of the existing ESPs with fabric filtration on all three boilers could reduce SO</w:t>
      </w:r>
      <w:r w:rsidRPr="00E9437D">
        <w:rPr>
          <w:vertAlign w:val="subscript"/>
        </w:rPr>
        <w:t>2</w:t>
      </w:r>
      <w:r w:rsidRPr="00E9437D">
        <w:t xml:space="preserve"> emissions from this facility by </w:t>
      </w:r>
      <w:r w:rsidR="00E9437D">
        <w:t>over</w:t>
      </w:r>
      <w:r w:rsidRPr="00E9437D">
        <w:t xml:space="preserve"> </w:t>
      </w:r>
      <w:r w:rsidR="00E9437D">
        <w:t>7</w:t>
      </w:r>
      <w:r w:rsidRPr="00E9437D">
        <w:t xml:space="preserve">00 tons/year for </w:t>
      </w:r>
      <w:r w:rsidR="00E9437D">
        <w:t>about $4,100/ton</w:t>
      </w:r>
      <w:r w:rsidRPr="00E9437D">
        <w:t>. If the ESPs are retained (which MPCA did not evaluate), about 3</w:t>
      </w:r>
      <w:r w:rsidR="00E9437D">
        <w:t>6</w:t>
      </w:r>
      <w:r w:rsidRPr="00E9437D">
        <w:t>0 tons of SO</w:t>
      </w:r>
      <w:r w:rsidRPr="00E9437D">
        <w:rPr>
          <w:vertAlign w:val="subscript"/>
        </w:rPr>
        <w:t>2</w:t>
      </w:r>
      <w:r w:rsidRPr="00E9437D">
        <w:t xml:space="preserve"> could be removed annually for $</w:t>
      </w:r>
      <w:r w:rsidR="00E9437D">
        <w:t>5,6</w:t>
      </w:r>
      <w:r w:rsidRPr="00E9437D">
        <w:t xml:space="preserve">00/ton. The cost-effectiveness of both of these DSI options is less than half the MPCA estimates and well below the MPCA cost-effectiveness threshold. </w:t>
      </w:r>
    </w:p>
    <w:p w14:paraId="7B07286D" w14:textId="71A3840D" w:rsidR="00EA0940" w:rsidRPr="00E9437D" w:rsidRDefault="005202A6" w:rsidP="00707FF9">
      <w:pPr>
        <w:pStyle w:val="ListParagraph"/>
      </w:pPr>
      <w:r>
        <w:t>NPS</w:t>
      </w:r>
      <w:r w:rsidR="00D5365B" w:rsidRPr="00E9437D">
        <w:t xml:space="preserve"> estimate</w:t>
      </w:r>
      <w:r>
        <w:t>s</w:t>
      </w:r>
      <w:r w:rsidR="00D5365B" w:rsidRPr="00E9437D">
        <w:t xml:space="preserve"> that, based upon CCM guidance, SCR could reduce NO</w:t>
      </w:r>
      <w:r w:rsidR="00D5365B" w:rsidRPr="00E9437D">
        <w:rPr>
          <w:vertAlign w:val="subscript"/>
        </w:rPr>
        <w:t>x</w:t>
      </w:r>
      <w:r w:rsidR="00D5365B" w:rsidRPr="00E9437D">
        <w:t xml:space="preserve"> emissions from this facility by </w:t>
      </w:r>
      <w:r w:rsidR="00502D59">
        <w:t>almost</w:t>
      </w:r>
      <w:r w:rsidR="00D5365B" w:rsidRPr="00E9437D">
        <w:t xml:space="preserve"> 300 tons/year for </w:t>
      </w:r>
      <w:r w:rsidR="00502D59">
        <w:t>$5,100</w:t>
      </w:r>
      <w:r w:rsidR="00D5365B" w:rsidRPr="00E9437D">
        <w:t xml:space="preserve">/ton. </w:t>
      </w:r>
    </w:p>
    <w:p w14:paraId="5CA6E2F8" w14:textId="0E29EFE0" w:rsidR="00E9437D" w:rsidRPr="00E9437D" w:rsidRDefault="00E9437D" w:rsidP="006734C7">
      <w:r w:rsidRPr="00E9437D">
        <w:t xml:space="preserve">The NPS recommends that MPCA require the addition of DSI with milled trona and a new baghouse as well as SCR on </w:t>
      </w:r>
      <w:r>
        <w:t>both boilers</w:t>
      </w:r>
      <w:r w:rsidRPr="00E9437D">
        <w:t xml:space="preserve"> at American Crystal Sugar – </w:t>
      </w:r>
      <w:r>
        <w:t>East Grand Forks</w:t>
      </w:r>
      <w:r w:rsidRPr="00E9437D">
        <w:t>. By requiring implementation of identified controls MPCA will be reducing haze-causing emissions and advancing incremental improvement of visibility at Voyageurs and Isle Royale National Parks as well as other Class I areas in the region.</w:t>
      </w:r>
    </w:p>
    <w:p w14:paraId="71FC989C" w14:textId="77777777" w:rsidR="00E9437D" w:rsidRDefault="00E9437D" w:rsidP="00B1738B">
      <w:pPr>
        <w:spacing w:line="240" w:lineRule="auto"/>
        <w:contextualSpacing/>
      </w:pPr>
    </w:p>
    <w:p w14:paraId="6AE36FB8" w14:textId="59293FC6" w:rsidR="00867FDB" w:rsidRDefault="00867FDB">
      <w:pPr>
        <w:pStyle w:val="Heading2"/>
      </w:pPr>
      <w:bookmarkStart w:id="29" w:name="_Hlk107318977"/>
      <w:bookmarkStart w:id="30" w:name="_Toc115775430"/>
      <w:r w:rsidRPr="002D3687">
        <w:t>Southern Minnesota Beet Sugar Cooperative</w:t>
      </w:r>
      <w:r w:rsidR="004F4540">
        <w:rPr>
          <w:rStyle w:val="FootnoteReference"/>
        </w:rPr>
        <w:footnoteReference w:id="14"/>
      </w:r>
      <w:bookmarkEnd w:id="30"/>
    </w:p>
    <w:bookmarkEnd w:id="29"/>
    <w:p w14:paraId="39FA1FF4" w14:textId="77777777" w:rsidR="00867FDB" w:rsidRDefault="00867FDB" w:rsidP="00B1738B">
      <w:pPr>
        <w:pStyle w:val="Heading3"/>
        <w:spacing w:line="240" w:lineRule="auto"/>
        <w:contextualSpacing/>
      </w:pPr>
      <w:r>
        <w:t xml:space="preserve">Summary of NPS Recommendations for </w:t>
      </w:r>
      <w:r w:rsidRPr="00B71EA4">
        <w:t>Southern Minnesota Beet Sugar Cooperative</w:t>
      </w:r>
    </w:p>
    <w:p w14:paraId="54AF99E1" w14:textId="43FF3E52" w:rsidR="00867FDB" w:rsidRDefault="00867FDB" w:rsidP="00707FF9">
      <w:r>
        <w:t>NPS review of the four-factor analysis conducted for Southern Minnesota Beet Sugar Cooperative (</w:t>
      </w:r>
      <w:r w:rsidRPr="000E570C">
        <w:t>SMBSC</w:t>
      </w:r>
      <w:r>
        <w:t>) finds that there are technically</w:t>
      </w:r>
      <w:r w:rsidR="005F1E99">
        <w:t>-</w:t>
      </w:r>
      <w:r>
        <w:t xml:space="preserve">feasible and cost-effective opportunities available to further control </w:t>
      </w:r>
      <w:r w:rsidRPr="00A9462F">
        <w:t>SO</w:t>
      </w:r>
      <w:r w:rsidRPr="00A9462F">
        <w:rPr>
          <w:vertAlign w:val="subscript"/>
        </w:rPr>
        <w:t>2</w:t>
      </w:r>
      <w:r>
        <w:t xml:space="preserve"> and </w:t>
      </w:r>
      <w:r w:rsidRPr="00A9462F">
        <w:t>NO</w:t>
      </w:r>
      <w:r>
        <w:rPr>
          <w:vertAlign w:val="subscript"/>
        </w:rPr>
        <w:t>x</w:t>
      </w:r>
      <w:r>
        <w:t xml:space="preserve"> emissions from Boiler 1. NPS analyses show that the cost of control is more economical than estimated by MPCA when analyses are adjusted in accordance with the EPA Control Cost Manual (CCM).</w:t>
      </w:r>
    </w:p>
    <w:p w14:paraId="05F87ECE" w14:textId="14A35798" w:rsidR="00867FDB" w:rsidRDefault="00867FDB" w:rsidP="00707FF9">
      <w:r>
        <w:t xml:space="preserve">The NPS recommends that </w:t>
      </w:r>
      <w:r w:rsidRPr="00FD476A">
        <w:t xml:space="preserve">MPCA </w:t>
      </w:r>
      <w:r w:rsidRPr="00BF7652">
        <w:t>require</w:t>
      </w:r>
      <w:r>
        <w:t xml:space="preserve"> the</w:t>
      </w:r>
      <w:r w:rsidRPr="00BF7652">
        <w:t xml:space="preserve"> addition of cost-effective control strategies that provide the greatest emission reductions. The </w:t>
      </w:r>
      <w:r w:rsidR="00F20D55">
        <w:t>Spray Dry Absorber/Circulating Dry Scrubber (</w:t>
      </w:r>
      <w:r w:rsidRPr="00BF7652">
        <w:t>SDA/CDS</w:t>
      </w:r>
      <w:r w:rsidR="00F20D55">
        <w:t>)</w:t>
      </w:r>
      <w:r w:rsidRPr="00BF7652">
        <w:t xml:space="preserve"> option could remove </w:t>
      </w:r>
      <w:r w:rsidR="006339BB">
        <w:t>70</w:t>
      </w:r>
      <w:r w:rsidRPr="00BF7652">
        <w:t xml:space="preserve">0 </w:t>
      </w:r>
      <w:r>
        <w:t>tons/year</w:t>
      </w:r>
      <w:r w:rsidRPr="00BF7652">
        <w:t xml:space="preserve"> of </w:t>
      </w:r>
      <w:r w:rsidRPr="00A9462F">
        <w:t>SO</w:t>
      </w:r>
      <w:r w:rsidRPr="00A9462F">
        <w:rPr>
          <w:vertAlign w:val="subscript"/>
        </w:rPr>
        <w:t>2</w:t>
      </w:r>
      <w:r w:rsidRPr="00BF7652">
        <w:t xml:space="preserve"> at an annual cost of $</w:t>
      </w:r>
      <w:r w:rsidR="006339BB">
        <w:t>4.5</w:t>
      </w:r>
      <w:r w:rsidRPr="00BF7652">
        <w:t xml:space="preserve"> million for a cost-effectiveness value of less than $</w:t>
      </w:r>
      <w:r w:rsidR="006339BB">
        <w:t>6,5</w:t>
      </w:r>
      <w:r w:rsidRPr="00BF7652">
        <w:t>00/ton</w:t>
      </w:r>
      <w:r>
        <w:t>. NPS</w:t>
      </w:r>
      <w:r w:rsidRPr="00BF7652">
        <w:t xml:space="preserve"> estimate</w:t>
      </w:r>
      <w:r>
        <w:t>s indicate</w:t>
      </w:r>
      <w:r w:rsidRPr="00BF7652">
        <w:t xml:space="preserve"> that addition of </w:t>
      </w:r>
      <w:r w:rsidR="00F20D55">
        <w:t>Selective Catalytic Reduction (</w:t>
      </w:r>
      <w:r w:rsidRPr="00BF7652">
        <w:t>SCR</w:t>
      </w:r>
      <w:r w:rsidR="00F20D55">
        <w:t>)</w:t>
      </w:r>
      <w:r w:rsidRPr="00BF7652">
        <w:t xml:space="preserve"> could reduce </w:t>
      </w:r>
      <w:r w:rsidRPr="00A9462F">
        <w:t>NO</w:t>
      </w:r>
      <w:r>
        <w:rPr>
          <w:vertAlign w:val="subscript"/>
        </w:rPr>
        <w:t>x</w:t>
      </w:r>
      <w:r w:rsidRPr="00BF7652">
        <w:t xml:space="preserve"> by 800 tons</w:t>
      </w:r>
      <w:r>
        <w:t>/year</w:t>
      </w:r>
      <w:r w:rsidRPr="00BF7652">
        <w:t xml:space="preserve"> at an annual cost of $</w:t>
      </w:r>
      <w:r w:rsidR="006339BB">
        <w:t>3</w:t>
      </w:r>
      <w:r>
        <w:t>–</w:t>
      </w:r>
      <w:r w:rsidRPr="00BF7652">
        <w:t>$</w:t>
      </w:r>
      <w:r w:rsidR="006339BB">
        <w:t>4</w:t>
      </w:r>
      <w:r w:rsidRPr="00BF7652">
        <w:t xml:space="preserve"> million resulting in a cost-effective strategy</w:t>
      </w:r>
      <w:r>
        <w:t xml:space="preserve"> of</w:t>
      </w:r>
      <w:r w:rsidRPr="00BF7652">
        <w:t xml:space="preserve"> $</w:t>
      </w:r>
      <w:r w:rsidR="006339BB">
        <w:t>3,900</w:t>
      </w:r>
      <w:r>
        <w:t>–</w:t>
      </w:r>
      <w:r w:rsidRPr="00BF7652">
        <w:t>$</w:t>
      </w:r>
      <w:r w:rsidR="006339BB">
        <w:t>5,400</w:t>
      </w:r>
      <w:r w:rsidRPr="00BF7652">
        <w:t xml:space="preserve">/ton of </w:t>
      </w:r>
      <w:r w:rsidRPr="00A9462F">
        <w:t>NO</w:t>
      </w:r>
      <w:r>
        <w:rPr>
          <w:vertAlign w:val="subscript"/>
        </w:rPr>
        <w:t>x</w:t>
      </w:r>
      <w:r w:rsidRPr="00BF7652">
        <w:t xml:space="preserve"> removed.</w:t>
      </w:r>
      <w:r w:rsidR="00CC7115">
        <w:t xml:space="preserve"> All of these cost-effectiveness values are well below MPCA’s $7,600/ton acceptance threshold.</w:t>
      </w:r>
    </w:p>
    <w:p w14:paraId="7A3255F2" w14:textId="56CD9BCC" w:rsidR="00867FDB" w:rsidRPr="00A21D9E" w:rsidRDefault="00867FDB" w:rsidP="00707FF9">
      <w:r>
        <w:t>The NPS recommends that MPCA require the addition of SDA/CDS and SCR at SMBSC. By requiring implementation of identified controls</w:t>
      </w:r>
      <w:r w:rsidR="005F1E99">
        <w:t>,</w:t>
      </w:r>
      <w:r>
        <w:t xml:space="preserve"> MPCA will be reducing haze</w:t>
      </w:r>
      <w:r w:rsidR="005F1E99">
        <w:t>-</w:t>
      </w:r>
      <w:r>
        <w:t>causing emissions and advancing incremental improvement of visibility at Voyageurs and Isle Royale National Parks as well as other Class I areas in the region.</w:t>
      </w:r>
    </w:p>
    <w:p w14:paraId="03428A0C" w14:textId="034954E9" w:rsidR="00867FDB" w:rsidRDefault="00867FDB" w:rsidP="00B1738B">
      <w:pPr>
        <w:pStyle w:val="Heading3"/>
        <w:spacing w:line="240" w:lineRule="auto"/>
        <w:contextualSpacing/>
      </w:pPr>
      <w:r>
        <w:t>Facility Characteristics</w:t>
      </w:r>
    </w:p>
    <w:p w14:paraId="137BCFAA" w14:textId="2D949912" w:rsidR="00867FDB" w:rsidRDefault="00867FDB" w:rsidP="00707FF9">
      <w:r w:rsidRPr="000E570C">
        <w:t>SMBSC processes harvested sugar beets into beet sugar used in consumer food products. The harvested beets are processed through a series of steps including washing, beet slice, diffusion, carbonation, evaporation, and crystallization. To extract and purify the sugar, many of these processes rely upon steam. SMBSC’s Boiler 1 generates steam needed for beet processing. The boiler also generates steam for SMBSC’s turbine for electricity generation.</w:t>
      </w:r>
    </w:p>
    <w:p w14:paraId="0FDA67F4" w14:textId="3094C6B0" w:rsidR="00867FDB" w:rsidRDefault="00867FDB" w:rsidP="00707FF9">
      <w:r w:rsidRPr="000E570C">
        <w:t>Boiler 1 is a Babcock and Wilcox Stirling boiler installed in 1975</w:t>
      </w:r>
      <w:r w:rsidR="00CC7115">
        <w:t xml:space="preserve"> with a </w:t>
      </w:r>
      <w:r w:rsidR="00CC7115" w:rsidRPr="007F266E">
        <w:t xml:space="preserve">maximum rated </w:t>
      </w:r>
      <w:r w:rsidR="00CC7115">
        <w:t xml:space="preserve">heat input of 472.4 </w:t>
      </w:r>
      <w:r w:rsidR="00CC7115" w:rsidRPr="007F266E">
        <w:t>million British thermal units per hour (</w:t>
      </w:r>
      <w:proofErr w:type="spellStart"/>
      <w:r w:rsidR="00CC7115" w:rsidRPr="007F266E">
        <w:t>mmBtu</w:t>
      </w:r>
      <w:proofErr w:type="spellEnd"/>
      <w:r w:rsidR="00CC7115" w:rsidRPr="007F266E">
        <w:t>/</w:t>
      </w:r>
      <w:proofErr w:type="spellStart"/>
      <w:r w:rsidR="00CC7115" w:rsidRPr="007F266E">
        <w:t>hr</w:t>
      </w:r>
      <w:proofErr w:type="spellEnd"/>
      <w:r w:rsidR="00CC7115" w:rsidRPr="007F266E">
        <w:t xml:space="preserve">). </w:t>
      </w:r>
      <w:r w:rsidRPr="000E570C">
        <w:t xml:space="preserve">The boiler fires sub- bituminous coal as the primary fuel source and </w:t>
      </w:r>
      <w:r w:rsidR="005F1E99">
        <w:t xml:space="preserve">particulate </w:t>
      </w:r>
      <w:r w:rsidRPr="000E570C">
        <w:t>is controlled by a high-efficiency electrostatic precipitator</w:t>
      </w:r>
      <w:r w:rsidR="005F1E99">
        <w:t xml:space="preserve"> (ESP)</w:t>
      </w:r>
      <w:r w:rsidRPr="000E570C">
        <w:t xml:space="preserve">. The flue gas from the </w:t>
      </w:r>
      <w:r w:rsidR="005F1E99">
        <w:t>ESP</w:t>
      </w:r>
      <w:r w:rsidRPr="000E570C">
        <w:t xml:space="preserve"> is routed to a single stack. The boiler </w:t>
      </w:r>
      <w:r w:rsidR="005F1E99">
        <w:t>has</w:t>
      </w:r>
      <w:r w:rsidRPr="000E570C">
        <w:t xml:space="preserve"> a continuous opacity monitor and continuous emissions monitors for </w:t>
      </w:r>
      <w:r w:rsidRPr="00A9462F">
        <w:t>NO</w:t>
      </w:r>
      <w:r>
        <w:rPr>
          <w:vertAlign w:val="subscript"/>
        </w:rPr>
        <w:t>x</w:t>
      </w:r>
      <w:r w:rsidRPr="000E570C">
        <w:t xml:space="preserve">, </w:t>
      </w:r>
      <w:r w:rsidRPr="00A9462F">
        <w:t>SO</w:t>
      </w:r>
      <w:r w:rsidRPr="00A9462F">
        <w:rPr>
          <w:vertAlign w:val="subscript"/>
        </w:rPr>
        <w:t>2</w:t>
      </w:r>
      <w:r w:rsidRPr="000E570C">
        <w:t>, and O</w:t>
      </w:r>
      <w:r w:rsidRPr="005F1E99">
        <w:rPr>
          <w:vertAlign w:val="subscript"/>
        </w:rPr>
        <w:t>2</w:t>
      </w:r>
      <w:r w:rsidRPr="000E570C">
        <w:t>.</w:t>
      </w:r>
    </w:p>
    <w:p w14:paraId="586F02B8" w14:textId="55536A70" w:rsidR="00867FDB" w:rsidRDefault="00867FDB" w:rsidP="00707FF9">
      <w:r w:rsidRPr="000E570C">
        <w:t>The facility is located near Renville, MN, about 435 km south-southwest of Voyageurs National Park, a Class I area administered by the NPS.</w:t>
      </w:r>
    </w:p>
    <w:p w14:paraId="18AA306A" w14:textId="7ECD78A6" w:rsidR="00867FDB" w:rsidRDefault="00867FDB" w:rsidP="00B1738B">
      <w:pPr>
        <w:pStyle w:val="Heading3"/>
        <w:spacing w:line="240" w:lineRule="auto"/>
        <w:contextualSpacing/>
      </w:pPr>
      <w:r>
        <w:t>Overarching Cost Issues</w:t>
      </w:r>
    </w:p>
    <w:p w14:paraId="5BE616E9" w14:textId="77777777" w:rsidR="00867FDB" w:rsidRDefault="00867FDB" w:rsidP="00B1738B">
      <w:pPr>
        <w:spacing w:line="240" w:lineRule="auto"/>
        <w:contextualSpacing/>
        <w:rPr>
          <w:b/>
          <w:bCs/>
        </w:rPr>
      </w:pPr>
      <w:r>
        <w:t xml:space="preserve">In response to earlier informal four-factor feedback SBMSC said </w:t>
      </w:r>
      <w:r w:rsidRPr="00F20D55">
        <w:t>(SMBSC July 23, 2021):</w:t>
      </w:r>
    </w:p>
    <w:p w14:paraId="5CF885C1" w14:textId="7099EB55" w:rsidR="00867FDB" w:rsidRPr="00744173" w:rsidRDefault="00867FDB" w:rsidP="00B1738B">
      <w:pPr>
        <w:pStyle w:val="Quote"/>
        <w:spacing w:line="240" w:lineRule="auto"/>
        <w:contextualSpacing/>
      </w:pPr>
      <w:r w:rsidRPr="00744173">
        <w:t>FLMs stated that reagent, utility, and labor costs were inflated with no basis. The basis for these parameters and the year of the estimate is listed in Appendix A of the FFA, which are reasonable representations of costs SMBSC may occur. Values were scaled up to 2020 dollars from the applicable source year assuming 3% inflation each year.</w:t>
      </w:r>
    </w:p>
    <w:p w14:paraId="64D5B34E" w14:textId="49FAFFC7" w:rsidR="00867FDB" w:rsidRDefault="00867FDB" w:rsidP="00B1738B">
      <w:pPr>
        <w:spacing w:line="240" w:lineRule="auto"/>
        <w:contextualSpacing/>
      </w:pPr>
      <w:r w:rsidRPr="00011DCB">
        <w:t>The NPS maintains that</w:t>
      </w:r>
      <w:r w:rsidRPr="00744173">
        <w:t xml:space="preserve"> SMBSC (and, in many cases, MPCA) increased </w:t>
      </w:r>
      <w:r w:rsidR="00CC7115">
        <w:t>many</w:t>
      </w:r>
      <w:r w:rsidRPr="00744173">
        <w:t xml:space="preserve"> of these costs above their default values. The CCM only applies an inflation factor to Capital Costs. Instead, Operating Costs should be based upon site-specific costs or CCM defaults. None of </w:t>
      </w:r>
      <w:r w:rsidR="004F4540">
        <w:t>the</w:t>
      </w:r>
      <w:r w:rsidRPr="00744173">
        <w:t xml:space="preserve"> costs </w:t>
      </w:r>
      <w:r w:rsidR="004F4540">
        <w:t>used by SMBSC or MPCA are</w:t>
      </w:r>
      <w:r w:rsidRPr="00744173">
        <w:t xml:space="preserve"> specific to this facility. Escalation</w:t>
      </w:r>
      <w:r w:rsidR="004F4540">
        <w:t xml:space="preserve"> of</w:t>
      </w:r>
      <w:r w:rsidRPr="00744173">
        <w:t xml:space="preserve"> costs of reagent, electricity, and labor into the future is not allowed by EPA’s overnight costing method. In the absence of site-specific costs, </w:t>
      </w:r>
      <w:r>
        <w:t>NPS analyses use</w:t>
      </w:r>
      <w:r w:rsidRPr="00744173">
        <w:t xml:space="preserve"> the CCM and </w:t>
      </w:r>
      <w:r w:rsidR="005F1E99">
        <w:t xml:space="preserve">Integrated </w:t>
      </w:r>
      <w:r w:rsidR="00986600">
        <w:t>P</w:t>
      </w:r>
      <w:r w:rsidR="005F1E99">
        <w:t>lanning Model (</w:t>
      </w:r>
      <w:r w:rsidRPr="00744173">
        <w:t>IPM</w:t>
      </w:r>
      <w:r w:rsidR="005F1E99">
        <w:t>)</w:t>
      </w:r>
      <w:r w:rsidRPr="00744173">
        <w:t xml:space="preserve"> default values.</w:t>
      </w:r>
    </w:p>
    <w:p w14:paraId="3B80E888" w14:textId="67082172" w:rsidR="00867FDB" w:rsidRDefault="00867FDB" w:rsidP="00B1738B">
      <w:pPr>
        <w:pStyle w:val="Heading3"/>
        <w:spacing w:line="240" w:lineRule="auto"/>
        <w:contextualSpacing/>
      </w:pPr>
      <w:r w:rsidRPr="00A9462F">
        <w:t>SO</w:t>
      </w:r>
      <w:r w:rsidRPr="00A9462F">
        <w:rPr>
          <w:vertAlign w:val="subscript"/>
        </w:rPr>
        <w:t>2</w:t>
      </w:r>
      <w:r>
        <w:t xml:space="preserve"> Four-factor Analysis</w:t>
      </w:r>
    </w:p>
    <w:p w14:paraId="5B65711C" w14:textId="2506F29A" w:rsidR="00867FDB" w:rsidRDefault="00867FDB" w:rsidP="00B1738B">
      <w:pPr>
        <w:pStyle w:val="Heading4"/>
        <w:spacing w:line="240" w:lineRule="auto"/>
        <w:contextualSpacing/>
      </w:pPr>
      <w:r>
        <w:t>Control Selection &amp; Efficiency</w:t>
      </w:r>
    </w:p>
    <w:p w14:paraId="5F2A92C7" w14:textId="77777777" w:rsidR="00867FDB" w:rsidRPr="00C37ED0" w:rsidRDefault="00867FDB" w:rsidP="00B1738B">
      <w:pPr>
        <w:pStyle w:val="Heading5"/>
        <w:spacing w:line="240" w:lineRule="auto"/>
        <w:contextualSpacing/>
      </w:pPr>
      <w:r w:rsidRPr="00C37ED0">
        <w:t>Basis for the Exclusion of Wet Flue Gas Desulfurization from the FFA</w:t>
      </w:r>
    </w:p>
    <w:p w14:paraId="6481BA50" w14:textId="2CA9279B" w:rsidR="00867FDB" w:rsidRPr="00C37ED0" w:rsidRDefault="00867FDB" w:rsidP="00B1738B">
      <w:pPr>
        <w:spacing w:line="240" w:lineRule="auto"/>
        <w:contextualSpacing/>
      </w:pPr>
      <w:r w:rsidRPr="00410A6D">
        <w:t>In response to earlier input</w:t>
      </w:r>
      <w:r w:rsidR="00F42550">
        <w:t>,</w:t>
      </w:r>
      <w:r w:rsidRPr="00410A6D">
        <w:t xml:space="preserve"> </w:t>
      </w:r>
      <w:r w:rsidRPr="005346A8">
        <w:t>SMBSC</w:t>
      </w:r>
      <w:r w:rsidRPr="00410A6D">
        <w:t xml:space="preserve"> (</w:t>
      </w:r>
      <w:r w:rsidRPr="005346A8">
        <w:t>July 23, 2021</w:t>
      </w:r>
      <w:r w:rsidRPr="00410A6D">
        <w:t>)</w:t>
      </w:r>
      <w:r>
        <w:t xml:space="preserve"> explained that a</w:t>
      </w:r>
      <w:r w:rsidRPr="00C37ED0">
        <w:t xml:space="preserve"> wet flue gas desulfurization </w:t>
      </w:r>
      <w:r w:rsidR="00F20D55">
        <w:t xml:space="preserve">(FGD) </w:t>
      </w:r>
      <w:r w:rsidRPr="00C37ED0">
        <w:t xml:space="preserve">scrubber was not considered for the FFA because captured </w:t>
      </w:r>
      <w:r w:rsidRPr="00A9462F">
        <w:t>SO</w:t>
      </w:r>
      <w:r w:rsidRPr="00A9462F">
        <w:rPr>
          <w:vertAlign w:val="subscript"/>
        </w:rPr>
        <w:t>2</w:t>
      </w:r>
      <w:r w:rsidRPr="00C37ED0">
        <w:t xml:space="preserve"> would increase sulfate and potentially mercury wastewater loading. </w:t>
      </w:r>
      <w:r>
        <w:t>Further</w:t>
      </w:r>
      <w:r w:rsidR="004F4540">
        <w:t>,</w:t>
      </w:r>
      <w:r>
        <w:t xml:space="preserve"> SMBSC raised concerns about a</w:t>
      </w:r>
      <w:r w:rsidRPr="00C37ED0">
        <w:t xml:space="preserve"> new wastewater stream </w:t>
      </w:r>
      <w:r>
        <w:t>requiring additional</w:t>
      </w:r>
      <w:r w:rsidRPr="00C37ED0">
        <w:t xml:space="preserve"> wastewater treatment and </w:t>
      </w:r>
      <w:r>
        <w:t>consuming</w:t>
      </w:r>
      <w:r w:rsidRPr="00C37ED0">
        <w:t xml:space="preserve"> significant amounts of energy.</w:t>
      </w:r>
      <w:r w:rsidR="006339BB">
        <w:t xml:space="preserve"> </w:t>
      </w:r>
      <w:r w:rsidRPr="00A21F91">
        <w:t>The NPS analyses</w:t>
      </w:r>
      <w:r w:rsidRPr="00C37ED0">
        <w:t xml:space="preserve"> estimated that Wet FGD would cost almost $1</w:t>
      </w:r>
      <w:r w:rsidR="006339BB">
        <w:t>2</w:t>
      </w:r>
      <w:r w:rsidRPr="00C37ED0">
        <w:t>,000/ton</w:t>
      </w:r>
      <w:r>
        <w:t xml:space="preserve"> </w:t>
      </w:r>
      <w:r w:rsidRPr="00C37ED0">
        <w:t>(see attached Wet FGD workbook)</w:t>
      </w:r>
      <w:r w:rsidR="00986600">
        <w:t xml:space="preserve"> and is not cost-effective</w:t>
      </w:r>
      <w:r>
        <w:t xml:space="preserve">. </w:t>
      </w:r>
    </w:p>
    <w:p w14:paraId="73122CB7" w14:textId="68B21DCF" w:rsidR="00867FDB" w:rsidRPr="0002358B" w:rsidRDefault="00867FDB" w:rsidP="00B1738B">
      <w:pPr>
        <w:pStyle w:val="Heading5"/>
        <w:spacing w:line="240" w:lineRule="auto"/>
        <w:contextualSpacing/>
      </w:pPr>
      <w:r w:rsidRPr="0002358B">
        <w:t>SDA</w:t>
      </w:r>
      <w:r w:rsidRPr="0002358B">
        <w:rPr>
          <w:spacing w:val="4"/>
        </w:rPr>
        <w:t xml:space="preserve"> </w:t>
      </w:r>
      <w:r w:rsidRPr="0002358B">
        <w:t>and</w:t>
      </w:r>
      <w:r w:rsidRPr="0002358B">
        <w:rPr>
          <w:spacing w:val="18"/>
        </w:rPr>
        <w:t xml:space="preserve"> </w:t>
      </w:r>
      <w:r w:rsidRPr="0002358B">
        <w:t>DSI</w:t>
      </w:r>
      <w:r w:rsidRPr="0002358B">
        <w:rPr>
          <w:spacing w:val="20"/>
        </w:rPr>
        <w:t xml:space="preserve"> </w:t>
      </w:r>
      <w:r w:rsidRPr="00A9462F">
        <w:t>SO</w:t>
      </w:r>
      <w:r w:rsidRPr="00A9462F">
        <w:rPr>
          <w:vertAlign w:val="subscript"/>
        </w:rPr>
        <w:t>2</w:t>
      </w:r>
      <w:r w:rsidRPr="0002358B">
        <w:rPr>
          <w:spacing w:val="48"/>
        </w:rPr>
        <w:t xml:space="preserve"> </w:t>
      </w:r>
      <w:r w:rsidRPr="0002358B">
        <w:t>Control</w:t>
      </w:r>
      <w:r w:rsidRPr="0002358B">
        <w:rPr>
          <w:spacing w:val="20"/>
        </w:rPr>
        <w:t xml:space="preserve"> </w:t>
      </w:r>
      <w:r w:rsidRPr="0002358B">
        <w:t>Efficiency</w:t>
      </w:r>
      <w:r w:rsidRPr="0002358B">
        <w:rPr>
          <w:spacing w:val="22"/>
        </w:rPr>
        <w:t xml:space="preserve"> </w:t>
      </w:r>
      <w:r w:rsidRPr="0002358B">
        <w:rPr>
          <w:spacing w:val="-2"/>
        </w:rPr>
        <w:t>Basis</w:t>
      </w:r>
    </w:p>
    <w:p w14:paraId="558DA810" w14:textId="73B7A54C" w:rsidR="00867FDB" w:rsidRDefault="00867FDB" w:rsidP="00B1738B">
      <w:pPr>
        <w:spacing w:line="240" w:lineRule="auto"/>
        <w:contextualSpacing/>
      </w:pPr>
      <w:r w:rsidRPr="00410A6D">
        <w:t>In response to earlier input</w:t>
      </w:r>
      <w:r w:rsidR="004F4540">
        <w:t>,</w:t>
      </w:r>
      <w:r w:rsidRPr="00410A6D">
        <w:t xml:space="preserve"> </w:t>
      </w:r>
      <w:r w:rsidRPr="005346A8">
        <w:t>SMBSC</w:t>
      </w:r>
      <w:r w:rsidRPr="00410A6D">
        <w:t xml:space="preserve"> (</w:t>
      </w:r>
      <w:r w:rsidRPr="005346A8">
        <w:t>July 23, 2021</w:t>
      </w:r>
      <w:r w:rsidRPr="00410A6D">
        <w:t>)</w:t>
      </w:r>
      <w:r>
        <w:t xml:space="preserve"> objected to the recommendation to use control efficiencies recommended by the updated CCM chapter, which was released following the initial four-factor analysis submission.</w:t>
      </w:r>
      <w:r w:rsidR="006339BB">
        <w:t xml:space="preserve"> </w:t>
      </w:r>
      <w:r>
        <w:t>However, l</w:t>
      </w:r>
      <w:r w:rsidRPr="009C2C43">
        <w:t xml:space="preserve">ike most air pollution issues, regional haze is a dynamic process that changes as new information is obtained. </w:t>
      </w:r>
      <w:r>
        <w:t xml:space="preserve">The NPS continues to recommend that MPCA and </w:t>
      </w:r>
      <w:r w:rsidRPr="009C2C43">
        <w:t xml:space="preserve">SMBSC </w:t>
      </w:r>
      <w:r>
        <w:t>consider</w:t>
      </w:r>
      <w:r w:rsidRPr="009C2C43">
        <w:t xml:space="preserve"> new information</w:t>
      </w:r>
      <w:r>
        <w:t xml:space="preserve"> appropriately as part of the</w:t>
      </w:r>
      <w:r w:rsidRPr="009C2C43">
        <w:t xml:space="preserve"> FLM </w:t>
      </w:r>
      <w:r>
        <w:t>and</w:t>
      </w:r>
      <w:r w:rsidRPr="009C2C43">
        <w:t xml:space="preserve"> public review and input</w:t>
      </w:r>
      <w:r>
        <w:t xml:space="preserve"> processes</w:t>
      </w:r>
      <w:r w:rsidRPr="009C2C43">
        <w:t>.</w:t>
      </w:r>
      <w:r>
        <w:t xml:space="preserve"> </w:t>
      </w:r>
      <w:r w:rsidRPr="005346A8">
        <w:t xml:space="preserve">SMBSC </w:t>
      </w:r>
      <w:r>
        <w:t>also stated:</w:t>
      </w:r>
    </w:p>
    <w:p w14:paraId="12145301" w14:textId="77777777" w:rsidR="008A4839" w:rsidRDefault="00867FDB" w:rsidP="008A4839">
      <w:pPr>
        <w:pStyle w:val="Quote"/>
        <w:spacing w:line="240" w:lineRule="auto"/>
        <w:contextualSpacing/>
        <w:rPr>
          <w:spacing w:val="-2"/>
        </w:rPr>
      </w:pPr>
      <w:r w:rsidRPr="0002358B">
        <w:t>Further, the control efficiencies are appropriate estimates. For example, the CCM states that SDA removal efficiencies range between</w:t>
      </w:r>
      <w:r w:rsidRPr="0002358B">
        <w:rPr>
          <w:spacing w:val="-3"/>
        </w:rPr>
        <w:t xml:space="preserve"> </w:t>
      </w:r>
      <w:r w:rsidRPr="0002358B">
        <w:t>85-95%.</w:t>
      </w:r>
      <w:r w:rsidRPr="0002358B">
        <w:rPr>
          <w:spacing w:val="-3"/>
        </w:rPr>
        <w:t xml:space="preserve"> </w:t>
      </w:r>
      <w:r w:rsidRPr="0002358B">
        <w:t>Higher</w:t>
      </w:r>
      <w:r w:rsidRPr="0002358B">
        <w:rPr>
          <w:spacing w:val="-2"/>
        </w:rPr>
        <w:t xml:space="preserve"> </w:t>
      </w:r>
      <w:r w:rsidRPr="0002358B">
        <w:t>control</w:t>
      </w:r>
      <w:r w:rsidRPr="0002358B">
        <w:rPr>
          <w:spacing w:val="-3"/>
        </w:rPr>
        <w:t xml:space="preserve"> </w:t>
      </w:r>
      <w:r w:rsidRPr="0002358B">
        <w:t>efficiencies</w:t>
      </w:r>
      <w:r w:rsidRPr="0002358B">
        <w:rPr>
          <w:spacing w:val="-3"/>
        </w:rPr>
        <w:t xml:space="preserve"> </w:t>
      </w:r>
      <w:r w:rsidRPr="0002358B">
        <w:t>may</w:t>
      </w:r>
      <w:r w:rsidRPr="0002358B">
        <w:rPr>
          <w:spacing w:val="-1"/>
        </w:rPr>
        <w:t xml:space="preserve"> </w:t>
      </w:r>
      <w:r w:rsidRPr="0002358B">
        <w:t>be</w:t>
      </w:r>
      <w:r w:rsidRPr="0002358B">
        <w:rPr>
          <w:spacing w:val="-4"/>
        </w:rPr>
        <w:t xml:space="preserve"> </w:t>
      </w:r>
      <w:r w:rsidRPr="0002358B">
        <w:t>possible,</w:t>
      </w:r>
      <w:r w:rsidRPr="0002358B">
        <w:rPr>
          <w:spacing w:val="-3"/>
        </w:rPr>
        <w:t xml:space="preserve"> </w:t>
      </w:r>
      <w:r w:rsidRPr="0002358B">
        <w:t>but</w:t>
      </w:r>
      <w:r w:rsidRPr="0002358B">
        <w:rPr>
          <w:spacing w:val="-3"/>
        </w:rPr>
        <w:t xml:space="preserve"> </w:t>
      </w:r>
      <w:r w:rsidRPr="0002358B">
        <w:t>SMBSC</w:t>
      </w:r>
      <w:r w:rsidRPr="0002358B">
        <w:rPr>
          <w:spacing w:val="-5"/>
        </w:rPr>
        <w:t xml:space="preserve"> </w:t>
      </w:r>
      <w:r w:rsidRPr="0002358B">
        <w:t>will</w:t>
      </w:r>
      <w:r w:rsidRPr="0002358B">
        <w:rPr>
          <w:spacing w:val="-3"/>
        </w:rPr>
        <w:t xml:space="preserve"> </w:t>
      </w:r>
      <w:r w:rsidRPr="0002358B">
        <w:t>design</w:t>
      </w:r>
      <w:r w:rsidRPr="0002358B">
        <w:rPr>
          <w:spacing w:val="-3"/>
        </w:rPr>
        <w:t xml:space="preserve"> </w:t>
      </w:r>
      <w:r w:rsidRPr="0002358B">
        <w:t>the</w:t>
      </w:r>
      <w:r w:rsidRPr="0002358B">
        <w:rPr>
          <w:spacing w:val="-4"/>
        </w:rPr>
        <w:t xml:space="preserve"> </w:t>
      </w:r>
      <w:r w:rsidRPr="0002358B">
        <w:t xml:space="preserve">SDA equipment based on what has been demonstrated consistently in practice (i.e., 90%). Further, SMBSC burns subbituminous coal, which has the lowest available sulfur content. This may inhibit the SDA’s ability to achieve higher control efficiencies with a lower </w:t>
      </w:r>
      <w:r w:rsidRPr="00A9462F">
        <w:t>SO</w:t>
      </w:r>
      <w:r w:rsidRPr="00A9462F">
        <w:rPr>
          <w:vertAlign w:val="subscript"/>
        </w:rPr>
        <w:t>2</w:t>
      </w:r>
      <w:r w:rsidRPr="0002358B">
        <w:rPr>
          <w:spacing w:val="31"/>
        </w:rPr>
        <w:t xml:space="preserve"> </w:t>
      </w:r>
      <w:r w:rsidRPr="0002358B">
        <w:t>inlet loading compared</w:t>
      </w:r>
      <w:r w:rsidRPr="0002358B">
        <w:rPr>
          <w:spacing w:val="-2"/>
        </w:rPr>
        <w:t xml:space="preserve"> </w:t>
      </w:r>
      <w:r w:rsidRPr="0002358B">
        <w:t>to</w:t>
      </w:r>
      <w:r w:rsidRPr="0002358B">
        <w:rPr>
          <w:spacing w:val="-2"/>
        </w:rPr>
        <w:t xml:space="preserve"> </w:t>
      </w:r>
      <w:r w:rsidRPr="0002358B">
        <w:t>other</w:t>
      </w:r>
      <w:r w:rsidRPr="0002358B">
        <w:rPr>
          <w:spacing w:val="-3"/>
        </w:rPr>
        <w:t xml:space="preserve"> </w:t>
      </w:r>
      <w:r w:rsidRPr="0002358B">
        <w:t>coal</w:t>
      </w:r>
      <w:r w:rsidRPr="0002358B">
        <w:rPr>
          <w:spacing w:val="-2"/>
        </w:rPr>
        <w:t xml:space="preserve"> </w:t>
      </w:r>
      <w:r w:rsidRPr="0002358B">
        <w:t>boilers.</w:t>
      </w:r>
      <w:r w:rsidRPr="0002358B">
        <w:rPr>
          <w:spacing w:val="-2"/>
        </w:rPr>
        <w:t xml:space="preserve"> </w:t>
      </w:r>
      <w:r w:rsidRPr="0002358B">
        <w:t>SMBSC</w:t>
      </w:r>
      <w:r w:rsidRPr="0002358B">
        <w:rPr>
          <w:spacing w:val="-2"/>
        </w:rPr>
        <w:t xml:space="preserve"> </w:t>
      </w:r>
      <w:r w:rsidRPr="0002358B">
        <w:t>estimated</w:t>
      </w:r>
      <w:r w:rsidRPr="0002358B">
        <w:rPr>
          <w:spacing w:val="-2"/>
        </w:rPr>
        <w:t xml:space="preserve"> </w:t>
      </w:r>
      <w:r w:rsidRPr="0002358B">
        <w:t>a</w:t>
      </w:r>
      <w:r w:rsidRPr="0002358B">
        <w:rPr>
          <w:spacing w:val="-3"/>
        </w:rPr>
        <w:t xml:space="preserve"> </w:t>
      </w:r>
      <w:r w:rsidRPr="0002358B">
        <w:t>70%</w:t>
      </w:r>
      <w:r w:rsidRPr="0002358B">
        <w:rPr>
          <w:spacing w:val="-3"/>
        </w:rPr>
        <w:t xml:space="preserve"> </w:t>
      </w:r>
      <w:r w:rsidRPr="0002358B">
        <w:t>control</w:t>
      </w:r>
      <w:r w:rsidRPr="0002358B">
        <w:rPr>
          <w:spacing w:val="-2"/>
        </w:rPr>
        <w:t xml:space="preserve"> </w:t>
      </w:r>
      <w:r w:rsidRPr="0002358B">
        <w:t>efficiency for</w:t>
      </w:r>
      <w:r w:rsidRPr="0002358B">
        <w:rPr>
          <w:spacing w:val="-3"/>
        </w:rPr>
        <w:t xml:space="preserve"> </w:t>
      </w:r>
      <w:r w:rsidRPr="0002358B">
        <w:t>DSI,</w:t>
      </w:r>
      <w:r w:rsidRPr="0002358B">
        <w:rPr>
          <w:spacing w:val="-2"/>
        </w:rPr>
        <w:t xml:space="preserve"> </w:t>
      </w:r>
      <w:r w:rsidRPr="0002358B">
        <w:t>which</w:t>
      </w:r>
      <w:r w:rsidRPr="0002358B">
        <w:rPr>
          <w:spacing w:val="-2"/>
        </w:rPr>
        <w:t xml:space="preserve"> </w:t>
      </w:r>
      <w:r w:rsidRPr="0002358B">
        <w:t xml:space="preserve">may even be too high. Even the updated CCM estimates that DSI can achieve a 50-70% </w:t>
      </w:r>
      <w:r w:rsidRPr="00A9462F">
        <w:t>SO</w:t>
      </w:r>
      <w:r w:rsidRPr="00A9462F">
        <w:rPr>
          <w:vertAlign w:val="subscript"/>
        </w:rPr>
        <w:t>2</w:t>
      </w:r>
      <w:r w:rsidRPr="0002358B">
        <w:rPr>
          <w:spacing w:val="40"/>
        </w:rPr>
        <w:t xml:space="preserve"> </w:t>
      </w:r>
      <w:r w:rsidRPr="0002358B">
        <w:rPr>
          <w:spacing w:val="-2"/>
        </w:rPr>
        <w:t>reduction.</w:t>
      </w:r>
    </w:p>
    <w:p w14:paraId="784F9E01" w14:textId="77777777" w:rsidR="008A4839" w:rsidRDefault="008A4839" w:rsidP="008A4839">
      <w:pPr>
        <w:pStyle w:val="Quote"/>
        <w:spacing w:line="240" w:lineRule="auto"/>
        <w:contextualSpacing/>
        <w:rPr>
          <w:spacing w:val="-2"/>
        </w:rPr>
      </w:pPr>
    </w:p>
    <w:p w14:paraId="7557AED2" w14:textId="30C107A9" w:rsidR="00867FDB" w:rsidRPr="008A4839" w:rsidRDefault="00867FDB" w:rsidP="008A4839">
      <w:pPr>
        <w:pStyle w:val="Quote"/>
        <w:spacing w:line="240" w:lineRule="auto"/>
        <w:contextualSpacing/>
        <w:rPr>
          <w:spacing w:val="-2"/>
        </w:rPr>
      </w:pPr>
      <w:r w:rsidRPr="0002358B">
        <w:t>SMBSC</w:t>
      </w:r>
      <w:r w:rsidRPr="0002358B">
        <w:rPr>
          <w:spacing w:val="-4"/>
        </w:rPr>
        <w:t xml:space="preserve"> </w:t>
      </w:r>
      <w:r w:rsidRPr="0002358B">
        <w:t>will</w:t>
      </w:r>
      <w:r w:rsidRPr="0002358B">
        <w:rPr>
          <w:spacing w:val="-4"/>
        </w:rPr>
        <w:t xml:space="preserve"> </w:t>
      </w:r>
      <w:r w:rsidRPr="0002358B">
        <w:t>adjust</w:t>
      </w:r>
      <w:r w:rsidRPr="0002358B">
        <w:rPr>
          <w:spacing w:val="-4"/>
        </w:rPr>
        <w:t xml:space="preserve"> </w:t>
      </w:r>
      <w:r w:rsidRPr="0002358B">
        <w:t>the</w:t>
      </w:r>
      <w:r w:rsidRPr="0002358B">
        <w:rPr>
          <w:spacing w:val="-5"/>
        </w:rPr>
        <w:t xml:space="preserve"> </w:t>
      </w:r>
      <w:r w:rsidRPr="00A9462F">
        <w:t>SO</w:t>
      </w:r>
      <w:r w:rsidRPr="00A9462F">
        <w:rPr>
          <w:vertAlign w:val="subscript"/>
        </w:rPr>
        <w:t>2</w:t>
      </w:r>
      <w:r w:rsidRPr="0002358B">
        <w:rPr>
          <w:spacing w:val="17"/>
        </w:rPr>
        <w:t xml:space="preserve"> </w:t>
      </w:r>
      <w:r w:rsidRPr="0002358B">
        <w:t>control</w:t>
      </w:r>
      <w:r w:rsidRPr="0002358B">
        <w:rPr>
          <w:spacing w:val="-4"/>
        </w:rPr>
        <w:t xml:space="preserve"> </w:t>
      </w:r>
      <w:r w:rsidRPr="0002358B">
        <w:t>efficiency</w:t>
      </w:r>
      <w:r w:rsidRPr="0002358B">
        <w:rPr>
          <w:spacing w:val="-4"/>
        </w:rPr>
        <w:t xml:space="preserve"> </w:t>
      </w:r>
      <w:r w:rsidRPr="0002358B">
        <w:t>based</w:t>
      </w:r>
      <w:r w:rsidRPr="0002358B">
        <w:rPr>
          <w:spacing w:val="-4"/>
        </w:rPr>
        <w:t xml:space="preserve"> </w:t>
      </w:r>
      <w:r w:rsidRPr="0002358B">
        <w:t>on</w:t>
      </w:r>
      <w:r w:rsidRPr="0002358B">
        <w:rPr>
          <w:spacing w:val="-4"/>
        </w:rPr>
        <w:t xml:space="preserve"> </w:t>
      </w:r>
      <w:r w:rsidRPr="0002358B">
        <w:t>responses</w:t>
      </w:r>
      <w:r w:rsidRPr="0002358B">
        <w:rPr>
          <w:spacing w:val="-2"/>
        </w:rPr>
        <w:t xml:space="preserve"> </w:t>
      </w:r>
      <w:r w:rsidRPr="0002358B">
        <w:t>from</w:t>
      </w:r>
      <w:r w:rsidRPr="0002358B">
        <w:rPr>
          <w:spacing w:val="-4"/>
        </w:rPr>
        <w:t xml:space="preserve"> </w:t>
      </w:r>
      <w:r w:rsidRPr="0002358B">
        <w:t>equipment</w:t>
      </w:r>
      <w:r w:rsidRPr="0002358B">
        <w:rPr>
          <w:spacing w:val="-4"/>
        </w:rPr>
        <w:t xml:space="preserve"> </w:t>
      </w:r>
      <w:r w:rsidRPr="0002358B">
        <w:t>vendors</w:t>
      </w:r>
      <w:r w:rsidRPr="0002358B">
        <w:rPr>
          <w:spacing w:val="-4"/>
        </w:rPr>
        <w:t xml:space="preserve"> </w:t>
      </w:r>
      <w:r w:rsidRPr="0002358B">
        <w:t>if applicable.</w:t>
      </w:r>
    </w:p>
    <w:p w14:paraId="6249F44D" w14:textId="20C6000F" w:rsidR="00867FDB" w:rsidRDefault="00867FDB" w:rsidP="00B1738B">
      <w:pPr>
        <w:tabs>
          <w:tab w:val="left" w:pos="970"/>
        </w:tabs>
        <w:spacing w:line="240" w:lineRule="auto"/>
        <w:contextualSpacing/>
        <w:rPr>
          <w:rStyle w:val="QuoteChar"/>
        </w:rPr>
      </w:pPr>
      <w:r>
        <w:t xml:space="preserve">According to Barr, the SMSBC consultant: </w:t>
      </w:r>
      <w:r w:rsidRPr="00475F6D">
        <w:rPr>
          <w:rStyle w:val="QuoteChar"/>
        </w:rPr>
        <w:t>The dry sorbent injection system requires the installation of a baghouse to accommodate the additional particulate matter from the injected sorbent and reaction byproducts.</w:t>
      </w:r>
    </w:p>
    <w:p w14:paraId="66FD0E6C" w14:textId="77777777" w:rsidR="00986600" w:rsidRPr="006A79E5" w:rsidRDefault="00986600" w:rsidP="00B1738B">
      <w:pPr>
        <w:tabs>
          <w:tab w:val="left" w:pos="970"/>
        </w:tabs>
        <w:spacing w:line="240" w:lineRule="auto"/>
        <w:contextualSpacing/>
      </w:pPr>
    </w:p>
    <w:p w14:paraId="52F699EA" w14:textId="66C985A2" w:rsidR="00867FDB" w:rsidRDefault="004F4540" w:rsidP="00B1738B">
      <w:pPr>
        <w:spacing w:line="240" w:lineRule="auto"/>
        <w:contextualSpacing/>
      </w:pPr>
      <w:r>
        <w:t xml:space="preserve">Barr provided no evidence to support its speculation and </w:t>
      </w:r>
      <w:r w:rsidR="00867FDB">
        <w:t>NPS reviewers hold</w:t>
      </w:r>
      <w:r w:rsidR="00867FDB" w:rsidRPr="00FB7047">
        <w:t xml:space="preserve"> that </w:t>
      </w:r>
      <w:r w:rsidR="00F20D55">
        <w:t>Dry Sorbent Injection (</w:t>
      </w:r>
      <w:r w:rsidR="00867FDB" w:rsidRPr="00FB7047">
        <w:t>DSI</w:t>
      </w:r>
      <w:r w:rsidR="00F20D55">
        <w:t>)</w:t>
      </w:r>
      <w:r w:rsidR="00867FDB" w:rsidRPr="00FB7047">
        <w:t xml:space="preserve"> can be added without replacing the ESP with a baghouse. The </w:t>
      </w:r>
      <w:r w:rsidR="00F20D55">
        <w:t>Sargent &amp; Lundy (</w:t>
      </w:r>
      <w:r w:rsidR="00867FDB" w:rsidRPr="00FB7047">
        <w:t>S&amp;L</w:t>
      </w:r>
      <w:r w:rsidR="00F20D55">
        <w:t>)</w:t>
      </w:r>
      <w:r w:rsidR="00867FDB" w:rsidRPr="00FB7047">
        <w:t xml:space="preserve"> DSI </w:t>
      </w:r>
      <w:r w:rsidR="00F20D55">
        <w:t xml:space="preserve">IPM </w:t>
      </w:r>
      <w:r w:rsidR="00867FDB" w:rsidRPr="00FB7047">
        <w:t xml:space="preserve">documentation states, </w:t>
      </w:r>
      <w:r w:rsidR="00867FDB" w:rsidRPr="0001186C">
        <w:rPr>
          <w:rStyle w:val="QuoteChar"/>
        </w:rPr>
        <w:t xml:space="preserve">“Trona, when captured in an ESP, typically removes 40 to 50% of </w:t>
      </w:r>
      <w:r w:rsidR="00867FDB" w:rsidRPr="00A9462F">
        <w:t>SO</w:t>
      </w:r>
      <w:r w:rsidR="00867FDB" w:rsidRPr="00A9462F">
        <w:rPr>
          <w:vertAlign w:val="subscript"/>
        </w:rPr>
        <w:t>2</w:t>
      </w:r>
      <w:r w:rsidR="00867FDB" w:rsidRPr="0001186C">
        <w:rPr>
          <w:rStyle w:val="QuoteChar"/>
        </w:rPr>
        <w:t xml:space="preserve"> without an increase in particulate emissions…”</w:t>
      </w:r>
      <w:r w:rsidR="00867FDB" w:rsidRPr="00FB7047">
        <w:t xml:space="preserve"> </w:t>
      </w:r>
      <w:r w:rsidR="00867FDB">
        <w:t>NPS analyses</w:t>
      </w:r>
      <w:r w:rsidR="00867FDB" w:rsidRPr="00FB7047">
        <w:t xml:space="preserve"> assumed that DSI could be added without replacing the ESP and achieve 40% control</w:t>
      </w:r>
      <w:r w:rsidR="00986600">
        <w:t xml:space="preserve"> (down to 0.10 </w:t>
      </w:r>
      <w:proofErr w:type="spellStart"/>
      <w:r w:rsidR="00986600">
        <w:t>lb</w:t>
      </w:r>
      <w:proofErr w:type="spellEnd"/>
      <w:r w:rsidR="00986600">
        <w:t>/</w:t>
      </w:r>
      <w:proofErr w:type="spellStart"/>
      <w:r w:rsidR="00986600">
        <w:t>mmBtu</w:t>
      </w:r>
      <w:proofErr w:type="spellEnd"/>
      <w:r w:rsidR="00986600">
        <w:t>)</w:t>
      </w:r>
      <w:r w:rsidR="00867FDB" w:rsidRPr="00FB7047">
        <w:t>.</w:t>
      </w:r>
      <w:r w:rsidR="00986600">
        <w:rPr>
          <w:rStyle w:val="FootnoteReference"/>
        </w:rPr>
        <w:footnoteReference w:id="15"/>
      </w:r>
      <w:r w:rsidR="00867FDB" w:rsidRPr="00FB7047">
        <w:t xml:space="preserve"> </w:t>
      </w:r>
      <w:r w:rsidR="00867FDB">
        <w:t>In the absence of a</w:t>
      </w:r>
      <w:r w:rsidR="00867FDB" w:rsidRPr="00FB7047">
        <w:t xml:space="preserve"> vendor estimate</w:t>
      </w:r>
      <w:r w:rsidR="008A4839">
        <w:t>,</w:t>
      </w:r>
      <w:r w:rsidR="00867FDB" w:rsidRPr="00FB7047">
        <w:t xml:space="preserve"> </w:t>
      </w:r>
      <w:r w:rsidR="00867FDB">
        <w:t>NPS analyses</w:t>
      </w:r>
      <w:r w:rsidR="00867FDB" w:rsidRPr="00FB7047">
        <w:t xml:space="preserve"> conservatively assumed 80% control for DSI </w:t>
      </w:r>
      <w:r w:rsidR="00986600">
        <w:t xml:space="preserve">(down to 0.08 </w:t>
      </w:r>
      <w:proofErr w:type="spellStart"/>
      <w:r w:rsidR="00986600">
        <w:t>lb</w:t>
      </w:r>
      <w:proofErr w:type="spellEnd"/>
      <w:r w:rsidR="00986600">
        <w:t>/</w:t>
      </w:r>
      <w:proofErr w:type="spellStart"/>
      <w:r w:rsidR="00986600">
        <w:t>mmBtu</w:t>
      </w:r>
      <w:proofErr w:type="spellEnd"/>
      <w:r w:rsidR="00986600">
        <w:t xml:space="preserve">) </w:t>
      </w:r>
      <w:r w:rsidR="00867FDB" w:rsidRPr="00FB7047">
        <w:t>with milled trona and a new baghouse.</w:t>
      </w:r>
      <w:r w:rsidR="00986600">
        <w:rPr>
          <w:rStyle w:val="FootnoteReference"/>
        </w:rPr>
        <w:footnoteReference w:id="16"/>
      </w:r>
      <w:r w:rsidR="00867FDB" w:rsidRPr="00FB7047">
        <w:t xml:space="preserve"> </w:t>
      </w:r>
      <w:r w:rsidR="008A4839">
        <w:t>(</w:t>
      </w:r>
      <w:r w:rsidR="00867FDB" w:rsidRPr="00FB7047">
        <w:t>The IPM model estimates up to 90% control for this strategy.</w:t>
      </w:r>
      <w:r w:rsidR="008A4839">
        <w:t>)</w:t>
      </w:r>
    </w:p>
    <w:p w14:paraId="37F0B867" w14:textId="4938235F" w:rsidR="007D395A" w:rsidRPr="00E56A09" w:rsidRDefault="007D395A" w:rsidP="007D395A">
      <w:pPr>
        <w:pStyle w:val="Caption"/>
        <w:contextualSpacing/>
      </w:pPr>
      <w:r>
        <w:t xml:space="preserve">Table </w:t>
      </w:r>
      <w:r>
        <w:fldChar w:fldCharType="begin"/>
      </w:r>
      <w:r>
        <w:instrText>SEQ Table \* ARABIC</w:instrText>
      </w:r>
      <w:r>
        <w:fldChar w:fldCharType="separate"/>
      </w:r>
      <w:r w:rsidR="00A402DD">
        <w:rPr>
          <w:noProof/>
        </w:rPr>
        <w:t>8</w:t>
      </w:r>
      <w:r>
        <w:fldChar w:fldCharType="end"/>
      </w:r>
      <w:r>
        <w:t xml:space="preserve">. Examples of </w:t>
      </w:r>
      <w:r w:rsidRPr="00311D48">
        <w:t>coal-fired Electric Generating Units (EGUs) with DSI</w:t>
      </w:r>
      <w:r>
        <w:t>, CAMD 2021</w:t>
      </w:r>
    </w:p>
    <w:tbl>
      <w:tblPr>
        <w:tblW w:w="5000" w:type="pct"/>
        <w:tblLook w:val="04A0" w:firstRow="1" w:lastRow="0" w:firstColumn="1" w:lastColumn="0" w:noHBand="0" w:noVBand="1"/>
      </w:tblPr>
      <w:tblGrid>
        <w:gridCol w:w="606"/>
        <w:gridCol w:w="1219"/>
        <w:gridCol w:w="581"/>
        <w:gridCol w:w="656"/>
        <w:gridCol w:w="1121"/>
        <w:gridCol w:w="1049"/>
        <w:gridCol w:w="1916"/>
        <w:gridCol w:w="2192"/>
      </w:tblGrid>
      <w:tr w:rsidR="007D395A" w:rsidRPr="00E56A09" w14:paraId="4283209A" w14:textId="77777777" w:rsidTr="3328C818">
        <w:trPr>
          <w:trHeight w:val="889"/>
        </w:trPr>
        <w:tc>
          <w:tcPr>
            <w:tcW w:w="31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8DF25D4" w14:textId="77777777" w:rsidR="007D395A" w:rsidRPr="000B673A" w:rsidRDefault="007D395A" w:rsidP="00EA0940">
            <w:pPr>
              <w:pStyle w:val="Table-Text"/>
              <w:spacing w:line="240" w:lineRule="auto"/>
              <w:contextualSpacing/>
              <w:rPr>
                <w:b/>
                <w:bCs/>
              </w:rPr>
            </w:pPr>
            <w:r w:rsidRPr="000B673A">
              <w:rPr>
                <w:b/>
                <w:bCs/>
              </w:rPr>
              <w:t>State</w:t>
            </w:r>
          </w:p>
        </w:tc>
        <w:tc>
          <w:tcPr>
            <w:tcW w:w="658" w:type="pct"/>
            <w:tcBorders>
              <w:top w:val="single" w:sz="8" w:space="0" w:color="auto"/>
              <w:left w:val="nil"/>
              <w:bottom w:val="single" w:sz="8" w:space="0" w:color="auto"/>
              <w:right w:val="single" w:sz="4" w:space="0" w:color="auto"/>
            </w:tcBorders>
            <w:shd w:val="clear" w:color="auto" w:fill="auto"/>
            <w:vAlign w:val="center"/>
            <w:hideMark/>
          </w:tcPr>
          <w:p w14:paraId="13BB0AC3" w14:textId="77777777" w:rsidR="007D395A" w:rsidRPr="000B673A" w:rsidRDefault="007D395A" w:rsidP="00EA0940">
            <w:pPr>
              <w:pStyle w:val="Table-Text"/>
              <w:spacing w:line="240" w:lineRule="auto"/>
              <w:contextualSpacing/>
              <w:rPr>
                <w:b/>
                <w:bCs/>
              </w:rPr>
            </w:pPr>
            <w:r w:rsidRPr="000B673A">
              <w:rPr>
                <w:b/>
                <w:bCs/>
              </w:rPr>
              <w:t>Facility Name</w:t>
            </w:r>
          </w:p>
        </w:tc>
        <w:tc>
          <w:tcPr>
            <w:tcW w:w="308" w:type="pct"/>
            <w:tcBorders>
              <w:top w:val="single" w:sz="8" w:space="0" w:color="auto"/>
              <w:left w:val="nil"/>
              <w:bottom w:val="single" w:sz="8" w:space="0" w:color="auto"/>
              <w:right w:val="single" w:sz="4" w:space="0" w:color="auto"/>
            </w:tcBorders>
            <w:shd w:val="clear" w:color="auto" w:fill="auto"/>
            <w:vAlign w:val="center"/>
            <w:hideMark/>
          </w:tcPr>
          <w:p w14:paraId="09989F07" w14:textId="77777777" w:rsidR="007D395A" w:rsidRPr="000B673A" w:rsidRDefault="007D395A" w:rsidP="00EA0940">
            <w:pPr>
              <w:pStyle w:val="Table-Text"/>
              <w:spacing w:line="240" w:lineRule="auto"/>
              <w:contextualSpacing/>
              <w:rPr>
                <w:b/>
                <w:bCs/>
              </w:rPr>
            </w:pPr>
            <w:r w:rsidRPr="000B673A">
              <w:rPr>
                <w:b/>
                <w:bCs/>
              </w:rPr>
              <w:t>Unit ID</w:t>
            </w:r>
          </w:p>
        </w:tc>
        <w:tc>
          <w:tcPr>
            <w:tcW w:w="344" w:type="pct"/>
            <w:tcBorders>
              <w:top w:val="single" w:sz="8" w:space="0" w:color="auto"/>
              <w:left w:val="nil"/>
              <w:bottom w:val="single" w:sz="8" w:space="0" w:color="auto"/>
              <w:right w:val="single" w:sz="4" w:space="0" w:color="auto"/>
            </w:tcBorders>
            <w:shd w:val="clear" w:color="auto" w:fill="auto"/>
            <w:vAlign w:val="center"/>
            <w:hideMark/>
          </w:tcPr>
          <w:p w14:paraId="3F198E42" w14:textId="77777777" w:rsidR="007D395A" w:rsidRPr="000B673A" w:rsidRDefault="007D395A" w:rsidP="00EA0940">
            <w:pPr>
              <w:pStyle w:val="Table-Text"/>
              <w:spacing w:line="240" w:lineRule="auto"/>
              <w:contextualSpacing/>
              <w:rPr>
                <w:b/>
                <w:bCs/>
              </w:rPr>
            </w:pPr>
            <w:r w:rsidRPr="000B673A">
              <w:rPr>
                <w:b/>
                <w:bCs/>
              </w:rPr>
              <w:t>SO</w:t>
            </w:r>
            <w:r w:rsidRPr="000B673A">
              <w:rPr>
                <w:b/>
                <w:bCs/>
                <w:vertAlign w:val="subscript"/>
              </w:rPr>
              <w:t>2</w:t>
            </w:r>
            <w:r w:rsidRPr="000B673A">
              <w:rPr>
                <w:b/>
                <w:bCs/>
              </w:rPr>
              <w:t xml:space="preserve"> (tons)</w:t>
            </w:r>
          </w:p>
        </w:tc>
        <w:tc>
          <w:tcPr>
            <w:tcW w:w="597" w:type="pct"/>
            <w:tcBorders>
              <w:top w:val="single" w:sz="8" w:space="0" w:color="auto"/>
              <w:left w:val="nil"/>
              <w:bottom w:val="single" w:sz="8" w:space="0" w:color="auto"/>
              <w:right w:val="single" w:sz="4" w:space="0" w:color="auto"/>
            </w:tcBorders>
            <w:shd w:val="clear" w:color="auto" w:fill="auto"/>
            <w:vAlign w:val="center"/>
            <w:hideMark/>
          </w:tcPr>
          <w:p w14:paraId="52735517" w14:textId="77777777" w:rsidR="007D395A" w:rsidRPr="000B673A" w:rsidRDefault="007D395A" w:rsidP="00EA0940">
            <w:pPr>
              <w:pStyle w:val="Table-Text"/>
              <w:spacing w:line="240" w:lineRule="auto"/>
              <w:contextualSpacing/>
              <w:rPr>
                <w:b/>
                <w:bCs/>
              </w:rPr>
            </w:pPr>
            <w:r w:rsidRPr="000B673A">
              <w:rPr>
                <w:b/>
                <w:bCs/>
              </w:rPr>
              <w:t>Calculated  Avg. SO</w:t>
            </w:r>
            <w:r w:rsidRPr="000B673A">
              <w:rPr>
                <w:b/>
                <w:bCs/>
                <w:vertAlign w:val="subscript"/>
              </w:rPr>
              <w:t>2</w:t>
            </w:r>
            <w:r w:rsidRPr="000B673A">
              <w:rPr>
                <w:b/>
                <w:bCs/>
              </w:rPr>
              <w:t xml:space="preserve"> Rate (</w:t>
            </w:r>
            <w:proofErr w:type="spellStart"/>
            <w:r w:rsidRPr="000B673A">
              <w:rPr>
                <w:b/>
                <w:bCs/>
              </w:rPr>
              <w:t>lb</w:t>
            </w:r>
            <w:proofErr w:type="spellEnd"/>
            <w:r w:rsidRPr="000B673A">
              <w:rPr>
                <w:b/>
                <w:bCs/>
              </w:rPr>
              <w:t>/MMBtu)</w:t>
            </w:r>
          </w:p>
        </w:tc>
        <w:tc>
          <w:tcPr>
            <w:tcW w:w="567" w:type="pct"/>
            <w:tcBorders>
              <w:top w:val="single" w:sz="8" w:space="0" w:color="auto"/>
              <w:left w:val="nil"/>
              <w:bottom w:val="single" w:sz="8" w:space="0" w:color="auto"/>
              <w:right w:val="single" w:sz="4" w:space="0" w:color="auto"/>
            </w:tcBorders>
            <w:shd w:val="clear" w:color="auto" w:fill="auto"/>
            <w:vAlign w:val="center"/>
            <w:hideMark/>
          </w:tcPr>
          <w:p w14:paraId="2D942867" w14:textId="77777777" w:rsidR="007D395A" w:rsidRPr="000B673A" w:rsidRDefault="007D395A" w:rsidP="00EA0940">
            <w:pPr>
              <w:pStyle w:val="Table-Text"/>
              <w:spacing w:line="240" w:lineRule="auto"/>
              <w:contextualSpacing/>
              <w:rPr>
                <w:b/>
                <w:bCs/>
              </w:rPr>
            </w:pPr>
            <w:r w:rsidRPr="000B673A">
              <w:rPr>
                <w:b/>
                <w:bCs/>
              </w:rPr>
              <w:t>Heat Input (MMBtu)</w:t>
            </w:r>
          </w:p>
        </w:tc>
        <w:tc>
          <w:tcPr>
            <w:tcW w:w="1031" w:type="pct"/>
            <w:tcBorders>
              <w:top w:val="single" w:sz="8" w:space="0" w:color="auto"/>
              <w:left w:val="nil"/>
              <w:bottom w:val="single" w:sz="8" w:space="0" w:color="auto"/>
              <w:right w:val="single" w:sz="4" w:space="0" w:color="auto"/>
            </w:tcBorders>
            <w:shd w:val="clear" w:color="auto" w:fill="auto"/>
            <w:vAlign w:val="center"/>
            <w:hideMark/>
          </w:tcPr>
          <w:p w14:paraId="27DEB11D" w14:textId="77777777" w:rsidR="007D395A" w:rsidRPr="000B673A" w:rsidRDefault="007D395A" w:rsidP="00EA0940">
            <w:pPr>
              <w:pStyle w:val="Table-Text"/>
              <w:spacing w:line="240" w:lineRule="auto"/>
              <w:contextualSpacing/>
              <w:rPr>
                <w:b/>
                <w:bCs/>
              </w:rPr>
            </w:pPr>
            <w:r w:rsidRPr="000B673A">
              <w:rPr>
                <w:b/>
                <w:bCs/>
              </w:rPr>
              <w:t>Unit Type</w:t>
            </w:r>
          </w:p>
        </w:tc>
        <w:tc>
          <w:tcPr>
            <w:tcW w:w="1180" w:type="pct"/>
            <w:tcBorders>
              <w:top w:val="single" w:sz="8" w:space="0" w:color="auto"/>
              <w:left w:val="nil"/>
              <w:bottom w:val="single" w:sz="8" w:space="0" w:color="auto"/>
              <w:right w:val="single" w:sz="8" w:space="0" w:color="auto"/>
            </w:tcBorders>
            <w:shd w:val="clear" w:color="auto" w:fill="auto"/>
            <w:vAlign w:val="center"/>
            <w:hideMark/>
          </w:tcPr>
          <w:p w14:paraId="253D7A22" w14:textId="77777777" w:rsidR="007D395A" w:rsidRPr="000B673A" w:rsidRDefault="007D395A" w:rsidP="00EA0940">
            <w:pPr>
              <w:pStyle w:val="Table-Text"/>
              <w:spacing w:line="240" w:lineRule="auto"/>
              <w:contextualSpacing/>
              <w:rPr>
                <w:b/>
                <w:bCs/>
              </w:rPr>
            </w:pPr>
            <w:r w:rsidRPr="000B673A">
              <w:rPr>
                <w:b/>
                <w:bCs/>
              </w:rPr>
              <w:t>PM Control(s)</w:t>
            </w:r>
          </w:p>
        </w:tc>
      </w:tr>
      <w:tr w:rsidR="007D395A" w:rsidRPr="00E56A09" w14:paraId="0BBD32BB"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B867AE7" w14:textId="77777777" w:rsidR="007D395A" w:rsidRPr="00E56A09" w:rsidRDefault="2CA6BA76" w:rsidP="3328C818">
            <w:pPr>
              <w:pStyle w:val="Table-Text"/>
              <w:spacing w:line="240" w:lineRule="auto"/>
              <w:contextualSpacing/>
              <w:jc w:val="center"/>
            </w:pPr>
            <w:r>
              <w:t>MN</w:t>
            </w:r>
          </w:p>
        </w:tc>
        <w:tc>
          <w:tcPr>
            <w:tcW w:w="658" w:type="pct"/>
            <w:tcBorders>
              <w:top w:val="nil"/>
              <w:left w:val="nil"/>
              <w:bottom w:val="single" w:sz="4" w:space="0" w:color="auto"/>
              <w:right w:val="single" w:sz="4" w:space="0" w:color="auto"/>
            </w:tcBorders>
            <w:shd w:val="clear" w:color="auto" w:fill="auto"/>
            <w:noWrap/>
            <w:vAlign w:val="center"/>
            <w:hideMark/>
          </w:tcPr>
          <w:p w14:paraId="3125CA48" w14:textId="77777777" w:rsidR="007D395A" w:rsidRPr="00E56A09" w:rsidRDefault="007D395A" w:rsidP="00EA0940">
            <w:pPr>
              <w:pStyle w:val="Table-Text"/>
              <w:spacing w:line="240" w:lineRule="auto"/>
              <w:contextualSpacing/>
            </w:pPr>
            <w:r w:rsidRPr="00E56A09">
              <w:t>Boswell</w:t>
            </w:r>
          </w:p>
        </w:tc>
        <w:tc>
          <w:tcPr>
            <w:tcW w:w="308" w:type="pct"/>
            <w:tcBorders>
              <w:top w:val="nil"/>
              <w:left w:val="nil"/>
              <w:bottom w:val="single" w:sz="4" w:space="0" w:color="auto"/>
              <w:right w:val="single" w:sz="4" w:space="0" w:color="auto"/>
            </w:tcBorders>
            <w:shd w:val="clear" w:color="auto" w:fill="auto"/>
            <w:noWrap/>
            <w:vAlign w:val="center"/>
            <w:hideMark/>
          </w:tcPr>
          <w:p w14:paraId="11CE083F" w14:textId="77777777" w:rsidR="007D395A" w:rsidRPr="00E56A09" w:rsidRDefault="2CA6BA76" w:rsidP="3328C818">
            <w:pPr>
              <w:pStyle w:val="Table-Text"/>
              <w:spacing w:line="240" w:lineRule="auto"/>
              <w:contextualSpacing/>
              <w:jc w:val="center"/>
            </w:pPr>
            <w:r>
              <w:t>4</w:t>
            </w:r>
          </w:p>
        </w:tc>
        <w:tc>
          <w:tcPr>
            <w:tcW w:w="344" w:type="pct"/>
            <w:tcBorders>
              <w:top w:val="nil"/>
              <w:left w:val="nil"/>
              <w:bottom w:val="single" w:sz="4" w:space="0" w:color="auto"/>
              <w:right w:val="single" w:sz="4" w:space="0" w:color="auto"/>
            </w:tcBorders>
            <w:shd w:val="clear" w:color="auto" w:fill="auto"/>
            <w:noWrap/>
            <w:vAlign w:val="center"/>
            <w:hideMark/>
          </w:tcPr>
          <w:p w14:paraId="281F156E" w14:textId="77777777" w:rsidR="007D395A" w:rsidRPr="00E56A09" w:rsidRDefault="2CA6BA76" w:rsidP="3328C818">
            <w:pPr>
              <w:pStyle w:val="Table-Text"/>
              <w:spacing w:line="240" w:lineRule="auto"/>
              <w:contextualSpacing/>
              <w:jc w:val="center"/>
            </w:pPr>
            <w:r>
              <w:t>391</w:t>
            </w:r>
          </w:p>
        </w:tc>
        <w:tc>
          <w:tcPr>
            <w:tcW w:w="597" w:type="pct"/>
            <w:tcBorders>
              <w:top w:val="nil"/>
              <w:left w:val="nil"/>
              <w:bottom w:val="single" w:sz="4" w:space="0" w:color="auto"/>
              <w:right w:val="single" w:sz="4" w:space="0" w:color="auto"/>
            </w:tcBorders>
            <w:shd w:val="clear" w:color="auto" w:fill="auto"/>
            <w:noWrap/>
            <w:vAlign w:val="center"/>
            <w:hideMark/>
          </w:tcPr>
          <w:p w14:paraId="4B85EDCF" w14:textId="77777777" w:rsidR="007D395A" w:rsidRPr="00E56A09" w:rsidRDefault="2CA6BA76" w:rsidP="3328C818">
            <w:pPr>
              <w:pStyle w:val="Table-Text"/>
              <w:spacing w:line="240" w:lineRule="auto"/>
              <w:contextualSpacing/>
              <w:jc w:val="center"/>
            </w:pPr>
            <w:r>
              <w:t>0.025</w:t>
            </w:r>
          </w:p>
        </w:tc>
        <w:tc>
          <w:tcPr>
            <w:tcW w:w="567" w:type="pct"/>
            <w:tcBorders>
              <w:top w:val="nil"/>
              <w:left w:val="nil"/>
              <w:bottom w:val="single" w:sz="4" w:space="0" w:color="auto"/>
              <w:right w:val="single" w:sz="4" w:space="0" w:color="auto"/>
            </w:tcBorders>
            <w:shd w:val="clear" w:color="auto" w:fill="auto"/>
            <w:noWrap/>
            <w:vAlign w:val="center"/>
            <w:hideMark/>
          </w:tcPr>
          <w:p w14:paraId="6C00F7A9" w14:textId="77777777" w:rsidR="007D395A" w:rsidRPr="00E56A09" w:rsidRDefault="007D395A" w:rsidP="00EA0940">
            <w:pPr>
              <w:pStyle w:val="Table-Text"/>
              <w:spacing w:line="240" w:lineRule="auto"/>
              <w:contextualSpacing/>
            </w:pPr>
            <w:r w:rsidRPr="00E56A09">
              <w:t>31,545,340</w:t>
            </w:r>
          </w:p>
        </w:tc>
        <w:tc>
          <w:tcPr>
            <w:tcW w:w="1031" w:type="pct"/>
            <w:tcBorders>
              <w:top w:val="nil"/>
              <w:left w:val="nil"/>
              <w:bottom w:val="single" w:sz="4" w:space="0" w:color="auto"/>
              <w:right w:val="single" w:sz="4" w:space="0" w:color="auto"/>
            </w:tcBorders>
            <w:shd w:val="clear" w:color="auto" w:fill="auto"/>
            <w:noWrap/>
            <w:vAlign w:val="center"/>
            <w:hideMark/>
          </w:tcPr>
          <w:p w14:paraId="7C2A09F3" w14:textId="77777777" w:rsidR="007D395A" w:rsidRPr="00E56A09" w:rsidRDefault="007D395A" w:rsidP="00EA0940">
            <w:pPr>
              <w:pStyle w:val="Table-Text"/>
              <w:spacing w:line="240" w:lineRule="auto"/>
              <w:contextualSpacing/>
            </w:pPr>
            <w:r w:rsidRPr="00E56A09">
              <w:t>Tangentially-fired</w:t>
            </w:r>
          </w:p>
        </w:tc>
        <w:tc>
          <w:tcPr>
            <w:tcW w:w="1180" w:type="pct"/>
            <w:tcBorders>
              <w:top w:val="nil"/>
              <w:left w:val="nil"/>
              <w:bottom w:val="single" w:sz="4" w:space="0" w:color="auto"/>
              <w:right w:val="single" w:sz="8" w:space="0" w:color="auto"/>
            </w:tcBorders>
            <w:shd w:val="clear" w:color="auto" w:fill="auto"/>
            <w:noWrap/>
            <w:vAlign w:val="center"/>
            <w:hideMark/>
          </w:tcPr>
          <w:p w14:paraId="73CC9D58" w14:textId="77777777" w:rsidR="007D395A" w:rsidRPr="00E56A09" w:rsidRDefault="007D395A" w:rsidP="00EA0940">
            <w:pPr>
              <w:pStyle w:val="Table-Text"/>
              <w:spacing w:line="240" w:lineRule="auto"/>
              <w:contextualSpacing/>
            </w:pPr>
            <w:r w:rsidRPr="00E56A09">
              <w:t>Baghouse</w:t>
            </w:r>
          </w:p>
        </w:tc>
      </w:tr>
      <w:tr w:rsidR="007D395A" w:rsidRPr="00E56A09" w14:paraId="63724E2A"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44FE9DA" w14:textId="77777777" w:rsidR="007D395A" w:rsidRPr="00E56A09" w:rsidRDefault="2CA6BA76" w:rsidP="3328C818">
            <w:pPr>
              <w:pStyle w:val="Table-Text"/>
              <w:spacing w:line="240" w:lineRule="auto"/>
              <w:contextualSpacing/>
              <w:jc w:val="center"/>
            </w:pPr>
            <w:r>
              <w:t>MI</w:t>
            </w:r>
          </w:p>
        </w:tc>
        <w:tc>
          <w:tcPr>
            <w:tcW w:w="658" w:type="pct"/>
            <w:tcBorders>
              <w:top w:val="nil"/>
              <w:left w:val="nil"/>
              <w:bottom w:val="single" w:sz="4" w:space="0" w:color="auto"/>
              <w:right w:val="single" w:sz="4" w:space="0" w:color="auto"/>
            </w:tcBorders>
            <w:shd w:val="clear" w:color="auto" w:fill="auto"/>
            <w:noWrap/>
            <w:vAlign w:val="center"/>
            <w:hideMark/>
          </w:tcPr>
          <w:p w14:paraId="38CB39B2" w14:textId="77777777" w:rsidR="007D395A" w:rsidRPr="00E56A09" w:rsidRDefault="007D395A" w:rsidP="00EA0940">
            <w:pPr>
              <w:pStyle w:val="Table-Text"/>
              <w:spacing w:line="240" w:lineRule="auto"/>
              <w:contextualSpacing/>
            </w:pPr>
            <w:r w:rsidRPr="00E56A09">
              <w:t>J H Campbell</w:t>
            </w:r>
          </w:p>
        </w:tc>
        <w:tc>
          <w:tcPr>
            <w:tcW w:w="308" w:type="pct"/>
            <w:tcBorders>
              <w:top w:val="nil"/>
              <w:left w:val="nil"/>
              <w:bottom w:val="single" w:sz="4" w:space="0" w:color="auto"/>
              <w:right w:val="single" w:sz="4" w:space="0" w:color="auto"/>
            </w:tcBorders>
            <w:shd w:val="clear" w:color="auto" w:fill="auto"/>
            <w:noWrap/>
            <w:vAlign w:val="center"/>
            <w:hideMark/>
          </w:tcPr>
          <w:p w14:paraId="677131E9" w14:textId="77777777" w:rsidR="007D395A" w:rsidRPr="00E56A09" w:rsidRDefault="2CA6BA76" w:rsidP="3328C818">
            <w:pPr>
              <w:pStyle w:val="Table-Text"/>
              <w:spacing w:line="240" w:lineRule="auto"/>
              <w:contextualSpacing/>
              <w:jc w:val="center"/>
            </w:pPr>
            <w:r>
              <w:t>1</w:t>
            </w:r>
          </w:p>
        </w:tc>
        <w:tc>
          <w:tcPr>
            <w:tcW w:w="344" w:type="pct"/>
            <w:tcBorders>
              <w:top w:val="nil"/>
              <w:left w:val="nil"/>
              <w:bottom w:val="single" w:sz="4" w:space="0" w:color="auto"/>
              <w:right w:val="single" w:sz="4" w:space="0" w:color="auto"/>
            </w:tcBorders>
            <w:shd w:val="clear" w:color="auto" w:fill="auto"/>
            <w:noWrap/>
            <w:vAlign w:val="center"/>
            <w:hideMark/>
          </w:tcPr>
          <w:p w14:paraId="7C94A616" w14:textId="77777777" w:rsidR="007D395A" w:rsidRPr="00E56A09" w:rsidRDefault="2CA6BA76" w:rsidP="3328C818">
            <w:pPr>
              <w:pStyle w:val="Table-Text"/>
              <w:spacing w:line="240" w:lineRule="auto"/>
              <w:contextualSpacing/>
              <w:jc w:val="center"/>
            </w:pPr>
            <w:r>
              <w:t>2,758</w:t>
            </w:r>
          </w:p>
        </w:tc>
        <w:tc>
          <w:tcPr>
            <w:tcW w:w="597" w:type="pct"/>
            <w:tcBorders>
              <w:top w:val="nil"/>
              <w:left w:val="nil"/>
              <w:bottom w:val="single" w:sz="4" w:space="0" w:color="auto"/>
              <w:right w:val="single" w:sz="4" w:space="0" w:color="auto"/>
            </w:tcBorders>
            <w:shd w:val="clear" w:color="auto" w:fill="auto"/>
            <w:noWrap/>
            <w:vAlign w:val="center"/>
            <w:hideMark/>
          </w:tcPr>
          <w:p w14:paraId="6DB49027" w14:textId="77777777" w:rsidR="007D395A" w:rsidRPr="00E56A09" w:rsidRDefault="2CA6BA76" w:rsidP="3328C818">
            <w:pPr>
              <w:pStyle w:val="Table-Text"/>
              <w:spacing w:line="240" w:lineRule="auto"/>
              <w:contextualSpacing/>
              <w:jc w:val="center"/>
            </w:pPr>
            <w:r>
              <w:t>0.275</w:t>
            </w:r>
          </w:p>
        </w:tc>
        <w:tc>
          <w:tcPr>
            <w:tcW w:w="567" w:type="pct"/>
            <w:tcBorders>
              <w:top w:val="nil"/>
              <w:left w:val="nil"/>
              <w:bottom w:val="single" w:sz="4" w:space="0" w:color="auto"/>
              <w:right w:val="single" w:sz="4" w:space="0" w:color="auto"/>
            </w:tcBorders>
            <w:shd w:val="clear" w:color="auto" w:fill="auto"/>
            <w:noWrap/>
            <w:vAlign w:val="center"/>
            <w:hideMark/>
          </w:tcPr>
          <w:p w14:paraId="430B133E" w14:textId="77777777" w:rsidR="007D395A" w:rsidRPr="00E56A09" w:rsidRDefault="007D395A" w:rsidP="00EA0940">
            <w:pPr>
              <w:pStyle w:val="Table-Text"/>
              <w:spacing w:line="240" w:lineRule="auto"/>
              <w:contextualSpacing/>
            </w:pPr>
            <w:r w:rsidRPr="00E56A09">
              <w:t>20,090,010</w:t>
            </w:r>
          </w:p>
        </w:tc>
        <w:tc>
          <w:tcPr>
            <w:tcW w:w="1031" w:type="pct"/>
            <w:tcBorders>
              <w:top w:val="nil"/>
              <w:left w:val="nil"/>
              <w:bottom w:val="single" w:sz="4" w:space="0" w:color="auto"/>
              <w:right w:val="single" w:sz="4" w:space="0" w:color="auto"/>
            </w:tcBorders>
            <w:shd w:val="clear" w:color="auto" w:fill="auto"/>
            <w:noWrap/>
            <w:vAlign w:val="center"/>
            <w:hideMark/>
          </w:tcPr>
          <w:p w14:paraId="1AEDFABB" w14:textId="77777777" w:rsidR="007D395A" w:rsidRPr="00E56A09" w:rsidRDefault="007D395A" w:rsidP="00EA0940">
            <w:pPr>
              <w:pStyle w:val="Table-Text"/>
              <w:spacing w:line="240" w:lineRule="auto"/>
              <w:contextualSpacing/>
            </w:pPr>
            <w:r w:rsidRPr="00E56A09">
              <w:t>Tangentially-fired</w:t>
            </w:r>
          </w:p>
        </w:tc>
        <w:tc>
          <w:tcPr>
            <w:tcW w:w="1180" w:type="pct"/>
            <w:tcBorders>
              <w:top w:val="nil"/>
              <w:left w:val="nil"/>
              <w:bottom w:val="single" w:sz="4" w:space="0" w:color="auto"/>
              <w:right w:val="single" w:sz="8" w:space="0" w:color="auto"/>
            </w:tcBorders>
            <w:shd w:val="clear" w:color="auto" w:fill="auto"/>
            <w:noWrap/>
            <w:vAlign w:val="center"/>
            <w:hideMark/>
          </w:tcPr>
          <w:p w14:paraId="36B89D2B" w14:textId="77777777" w:rsidR="007D395A" w:rsidRPr="00E56A09" w:rsidRDefault="007D395A" w:rsidP="00EA0940">
            <w:pPr>
              <w:pStyle w:val="Table-Text"/>
              <w:spacing w:line="240" w:lineRule="auto"/>
              <w:contextualSpacing/>
            </w:pPr>
            <w:r w:rsidRPr="00E56A09">
              <w:t>Baghouse</w:t>
            </w:r>
          </w:p>
        </w:tc>
      </w:tr>
      <w:tr w:rsidR="007D395A" w:rsidRPr="00E56A09" w14:paraId="22DAF6FB"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32D8F67" w14:textId="77777777" w:rsidR="007D395A" w:rsidRPr="00E56A09" w:rsidRDefault="2CA6BA76" w:rsidP="3328C818">
            <w:pPr>
              <w:pStyle w:val="Table-Text"/>
              <w:spacing w:line="240" w:lineRule="auto"/>
              <w:contextualSpacing/>
              <w:jc w:val="center"/>
            </w:pPr>
            <w:r>
              <w:t>MI</w:t>
            </w:r>
          </w:p>
        </w:tc>
        <w:tc>
          <w:tcPr>
            <w:tcW w:w="658" w:type="pct"/>
            <w:tcBorders>
              <w:top w:val="nil"/>
              <w:left w:val="nil"/>
              <w:bottom w:val="single" w:sz="4" w:space="0" w:color="auto"/>
              <w:right w:val="single" w:sz="4" w:space="0" w:color="auto"/>
            </w:tcBorders>
            <w:shd w:val="clear" w:color="auto" w:fill="auto"/>
            <w:noWrap/>
            <w:vAlign w:val="center"/>
            <w:hideMark/>
          </w:tcPr>
          <w:p w14:paraId="75E33CB4" w14:textId="77777777" w:rsidR="007D395A" w:rsidRPr="00E56A09" w:rsidRDefault="007D395A" w:rsidP="00EA0940">
            <w:pPr>
              <w:pStyle w:val="Table-Text"/>
              <w:spacing w:line="240" w:lineRule="auto"/>
              <w:contextualSpacing/>
            </w:pPr>
            <w:r w:rsidRPr="00E56A09">
              <w:t>J H Campbell</w:t>
            </w:r>
          </w:p>
        </w:tc>
        <w:tc>
          <w:tcPr>
            <w:tcW w:w="308" w:type="pct"/>
            <w:tcBorders>
              <w:top w:val="nil"/>
              <w:left w:val="nil"/>
              <w:bottom w:val="single" w:sz="4" w:space="0" w:color="auto"/>
              <w:right w:val="single" w:sz="4" w:space="0" w:color="auto"/>
            </w:tcBorders>
            <w:shd w:val="clear" w:color="auto" w:fill="auto"/>
            <w:noWrap/>
            <w:vAlign w:val="center"/>
            <w:hideMark/>
          </w:tcPr>
          <w:p w14:paraId="299CC0E0" w14:textId="77777777" w:rsidR="007D395A" w:rsidRPr="00E56A09" w:rsidRDefault="2CA6BA76" w:rsidP="3328C818">
            <w:pPr>
              <w:pStyle w:val="Table-Text"/>
              <w:spacing w:line="240" w:lineRule="auto"/>
              <w:contextualSpacing/>
              <w:jc w:val="center"/>
            </w:pPr>
            <w:r>
              <w:t>2</w:t>
            </w:r>
          </w:p>
        </w:tc>
        <w:tc>
          <w:tcPr>
            <w:tcW w:w="344" w:type="pct"/>
            <w:tcBorders>
              <w:top w:val="nil"/>
              <w:left w:val="nil"/>
              <w:bottom w:val="single" w:sz="4" w:space="0" w:color="auto"/>
              <w:right w:val="single" w:sz="4" w:space="0" w:color="auto"/>
            </w:tcBorders>
            <w:shd w:val="clear" w:color="auto" w:fill="auto"/>
            <w:noWrap/>
            <w:vAlign w:val="center"/>
            <w:hideMark/>
          </w:tcPr>
          <w:p w14:paraId="7DA01209" w14:textId="77777777" w:rsidR="007D395A" w:rsidRPr="00E56A09" w:rsidRDefault="2CA6BA76" w:rsidP="3328C818">
            <w:pPr>
              <w:pStyle w:val="Table-Text"/>
              <w:spacing w:line="240" w:lineRule="auto"/>
              <w:contextualSpacing/>
              <w:jc w:val="center"/>
            </w:pPr>
            <w:r>
              <w:t>2,094</w:t>
            </w:r>
          </w:p>
        </w:tc>
        <w:tc>
          <w:tcPr>
            <w:tcW w:w="597" w:type="pct"/>
            <w:tcBorders>
              <w:top w:val="nil"/>
              <w:left w:val="nil"/>
              <w:bottom w:val="single" w:sz="4" w:space="0" w:color="auto"/>
              <w:right w:val="single" w:sz="4" w:space="0" w:color="auto"/>
            </w:tcBorders>
            <w:shd w:val="clear" w:color="auto" w:fill="auto"/>
            <w:noWrap/>
            <w:vAlign w:val="center"/>
            <w:hideMark/>
          </w:tcPr>
          <w:p w14:paraId="00E0DA1C" w14:textId="77777777" w:rsidR="007D395A" w:rsidRPr="00E56A09" w:rsidRDefault="2CA6BA76" w:rsidP="3328C818">
            <w:pPr>
              <w:pStyle w:val="Table-Text"/>
              <w:spacing w:line="240" w:lineRule="auto"/>
              <w:contextualSpacing/>
              <w:jc w:val="center"/>
            </w:pPr>
            <w:r>
              <w:t>0.300</w:t>
            </w:r>
          </w:p>
        </w:tc>
        <w:tc>
          <w:tcPr>
            <w:tcW w:w="567" w:type="pct"/>
            <w:tcBorders>
              <w:top w:val="nil"/>
              <w:left w:val="nil"/>
              <w:bottom w:val="single" w:sz="4" w:space="0" w:color="auto"/>
              <w:right w:val="single" w:sz="4" w:space="0" w:color="auto"/>
            </w:tcBorders>
            <w:shd w:val="clear" w:color="auto" w:fill="auto"/>
            <w:noWrap/>
            <w:vAlign w:val="center"/>
            <w:hideMark/>
          </w:tcPr>
          <w:p w14:paraId="4D1C1AF2" w14:textId="77777777" w:rsidR="007D395A" w:rsidRPr="00E56A09" w:rsidRDefault="007D395A" w:rsidP="00EA0940">
            <w:pPr>
              <w:pStyle w:val="Table-Text"/>
              <w:spacing w:line="240" w:lineRule="auto"/>
              <w:contextualSpacing/>
            </w:pPr>
            <w:r w:rsidRPr="00E56A09">
              <w:t>13,961,840</w:t>
            </w:r>
          </w:p>
        </w:tc>
        <w:tc>
          <w:tcPr>
            <w:tcW w:w="1031" w:type="pct"/>
            <w:tcBorders>
              <w:top w:val="nil"/>
              <w:left w:val="nil"/>
              <w:bottom w:val="single" w:sz="4" w:space="0" w:color="auto"/>
              <w:right w:val="single" w:sz="4" w:space="0" w:color="auto"/>
            </w:tcBorders>
            <w:shd w:val="clear" w:color="auto" w:fill="auto"/>
            <w:noWrap/>
            <w:vAlign w:val="center"/>
            <w:hideMark/>
          </w:tcPr>
          <w:p w14:paraId="4A428749" w14:textId="77777777" w:rsidR="007D395A" w:rsidRPr="00E56A09" w:rsidRDefault="007D395A" w:rsidP="00EA0940">
            <w:pPr>
              <w:pStyle w:val="Table-Text"/>
              <w:spacing w:line="240" w:lineRule="auto"/>
              <w:contextualSpacing/>
            </w:pPr>
            <w:r w:rsidRPr="00E56A09">
              <w:t>Cell burner boiler</w:t>
            </w:r>
          </w:p>
        </w:tc>
        <w:tc>
          <w:tcPr>
            <w:tcW w:w="1180" w:type="pct"/>
            <w:tcBorders>
              <w:top w:val="nil"/>
              <w:left w:val="nil"/>
              <w:bottom w:val="single" w:sz="4" w:space="0" w:color="auto"/>
              <w:right w:val="single" w:sz="8" w:space="0" w:color="auto"/>
            </w:tcBorders>
            <w:shd w:val="clear" w:color="auto" w:fill="auto"/>
            <w:noWrap/>
            <w:vAlign w:val="center"/>
            <w:hideMark/>
          </w:tcPr>
          <w:p w14:paraId="754CEADC" w14:textId="77777777" w:rsidR="007D395A" w:rsidRPr="00E56A09" w:rsidRDefault="007D395A" w:rsidP="00EA0940">
            <w:pPr>
              <w:pStyle w:val="Table-Text"/>
              <w:spacing w:line="240" w:lineRule="auto"/>
              <w:contextualSpacing/>
            </w:pPr>
            <w:r w:rsidRPr="00E56A09">
              <w:t>Baghouse</w:t>
            </w:r>
          </w:p>
        </w:tc>
      </w:tr>
      <w:tr w:rsidR="007D395A" w:rsidRPr="00E56A09" w14:paraId="68872055"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541B4CE" w14:textId="77777777" w:rsidR="007D395A" w:rsidRPr="00E56A09" w:rsidRDefault="2CA6BA76" w:rsidP="3328C818">
            <w:pPr>
              <w:pStyle w:val="Table-Text"/>
              <w:spacing w:line="240" w:lineRule="auto"/>
              <w:contextualSpacing/>
              <w:jc w:val="center"/>
            </w:pPr>
            <w:r>
              <w:t>IN</w:t>
            </w:r>
          </w:p>
        </w:tc>
        <w:tc>
          <w:tcPr>
            <w:tcW w:w="658" w:type="pct"/>
            <w:tcBorders>
              <w:top w:val="nil"/>
              <w:left w:val="nil"/>
              <w:bottom w:val="single" w:sz="4" w:space="0" w:color="auto"/>
              <w:right w:val="single" w:sz="4" w:space="0" w:color="auto"/>
            </w:tcBorders>
            <w:shd w:val="clear" w:color="auto" w:fill="auto"/>
            <w:noWrap/>
            <w:vAlign w:val="center"/>
            <w:hideMark/>
          </w:tcPr>
          <w:p w14:paraId="04C21077" w14:textId="77777777" w:rsidR="007D395A" w:rsidRPr="00E56A09" w:rsidRDefault="007D395A" w:rsidP="00EA0940">
            <w:pPr>
              <w:pStyle w:val="Table-Text"/>
              <w:spacing w:line="240" w:lineRule="auto"/>
              <w:contextualSpacing/>
            </w:pPr>
            <w:r w:rsidRPr="00E56A09">
              <w:t>R Gallagher</w:t>
            </w:r>
          </w:p>
        </w:tc>
        <w:tc>
          <w:tcPr>
            <w:tcW w:w="308" w:type="pct"/>
            <w:tcBorders>
              <w:top w:val="nil"/>
              <w:left w:val="nil"/>
              <w:bottom w:val="single" w:sz="4" w:space="0" w:color="auto"/>
              <w:right w:val="single" w:sz="4" w:space="0" w:color="auto"/>
            </w:tcBorders>
            <w:shd w:val="clear" w:color="auto" w:fill="auto"/>
            <w:noWrap/>
            <w:vAlign w:val="center"/>
            <w:hideMark/>
          </w:tcPr>
          <w:p w14:paraId="23FE5F9A" w14:textId="77777777" w:rsidR="007D395A" w:rsidRPr="00E56A09" w:rsidRDefault="2CA6BA76" w:rsidP="3328C818">
            <w:pPr>
              <w:pStyle w:val="Table-Text"/>
              <w:spacing w:line="240" w:lineRule="auto"/>
              <w:contextualSpacing/>
              <w:jc w:val="center"/>
            </w:pPr>
            <w:r>
              <w:t>2</w:t>
            </w:r>
          </w:p>
        </w:tc>
        <w:tc>
          <w:tcPr>
            <w:tcW w:w="344" w:type="pct"/>
            <w:tcBorders>
              <w:top w:val="nil"/>
              <w:left w:val="nil"/>
              <w:bottom w:val="single" w:sz="4" w:space="0" w:color="auto"/>
              <w:right w:val="single" w:sz="4" w:space="0" w:color="auto"/>
            </w:tcBorders>
            <w:shd w:val="clear" w:color="auto" w:fill="auto"/>
            <w:noWrap/>
            <w:vAlign w:val="center"/>
            <w:hideMark/>
          </w:tcPr>
          <w:p w14:paraId="70A65D86" w14:textId="77777777" w:rsidR="007D395A" w:rsidRPr="00E56A09" w:rsidRDefault="2CA6BA76" w:rsidP="3328C818">
            <w:pPr>
              <w:pStyle w:val="Table-Text"/>
              <w:spacing w:line="240" w:lineRule="auto"/>
              <w:contextualSpacing/>
              <w:jc w:val="center"/>
            </w:pPr>
            <w:r>
              <w:t>49</w:t>
            </w:r>
          </w:p>
        </w:tc>
        <w:tc>
          <w:tcPr>
            <w:tcW w:w="597" w:type="pct"/>
            <w:tcBorders>
              <w:top w:val="nil"/>
              <w:left w:val="nil"/>
              <w:bottom w:val="single" w:sz="4" w:space="0" w:color="auto"/>
              <w:right w:val="single" w:sz="4" w:space="0" w:color="auto"/>
            </w:tcBorders>
            <w:shd w:val="clear" w:color="auto" w:fill="auto"/>
            <w:noWrap/>
            <w:vAlign w:val="center"/>
            <w:hideMark/>
          </w:tcPr>
          <w:p w14:paraId="395EE1EE" w14:textId="77777777" w:rsidR="007D395A" w:rsidRPr="00E56A09" w:rsidRDefault="2CA6BA76" w:rsidP="3328C818">
            <w:pPr>
              <w:pStyle w:val="Table-Text"/>
              <w:spacing w:line="240" w:lineRule="auto"/>
              <w:contextualSpacing/>
              <w:jc w:val="center"/>
            </w:pPr>
            <w:r>
              <w:t>0.631</w:t>
            </w:r>
          </w:p>
        </w:tc>
        <w:tc>
          <w:tcPr>
            <w:tcW w:w="567" w:type="pct"/>
            <w:tcBorders>
              <w:top w:val="nil"/>
              <w:left w:val="nil"/>
              <w:bottom w:val="single" w:sz="4" w:space="0" w:color="auto"/>
              <w:right w:val="single" w:sz="4" w:space="0" w:color="auto"/>
            </w:tcBorders>
            <w:shd w:val="clear" w:color="auto" w:fill="auto"/>
            <w:noWrap/>
            <w:vAlign w:val="center"/>
            <w:hideMark/>
          </w:tcPr>
          <w:p w14:paraId="080E31DE" w14:textId="77777777" w:rsidR="007D395A" w:rsidRPr="00E56A09" w:rsidRDefault="007D395A" w:rsidP="00EA0940">
            <w:pPr>
              <w:pStyle w:val="Table-Text"/>
              <w:spacing w:line="240" w:lineRule="auto"/>
              <w:contextualSpacing/>
            </w:pPr>
            <w:r w:rsidRPr="00E56A09">
              <w:t>154,982</w:t>
            </w:r>
          </w:p>
        </w:tc>
        <w:tc>
          <w:tcPr>
            <w:tcW w:w="1031" w:type="pct"/>
            <w:tcBorders>
              <w:top w:val="nil"/>
              <w:left w:val="nil"/>
              <w:bottom w:val="single" w:sz="4" w:space="0" w:color="auto"/>
              <w:right w:val="single" w:sz="4" w:space="0" w:color="auto"/>
            </w:tcBorders>
            <w:shd w:val="clear" w:color="auto" w:fill="auto"/>
            <w:noWrap/>
            <w:vAlign w:val="center"/>
            <w:hideMark/>
          </w:tcPr>
          <w:p w14:paraId="239BD34A" w14:textId="77777777" w:rsidR="007D395A" w:rsidRPr="00E56A09" w:rsidRDefault="007D395A" w:rsidP="00EA0940">
            <w:pPr>
              <w:pStyle w:val="Table-Text"/>
              <w:spacing w:line="240" w:lineRule="auto"/>
              <w:contextualSpacing/>
            </w:pPr>
            <w:r w:rsidRPr="00E56A09">
              <w:t>Dry bottom wall-fired</w:t>
            </w:r>
          </w:p>
        </w:tc>
        <w:tc>
          <w:tcPr>
            <w:tcW w:w="1180" w:type="pct"/>
            <w:tcBorders>
              <w:top w:val="nil"/>
              <w:left w:val="nil"/>
              <w:bottom w:val="single" w:sz="4" w:space="0" w:color="auto"/>
              <w:right w:val="single" w:sz="8" w:space="0" w:color="auto"/>
            </w:tcBorders>
            <w:shd w:val="clear" w:color="auto" w:fill="auto"/>
            <w:noWrap/>
            <w:vAlign w:val="center"/>
            <w:hideMark/>
          </w:tcPr>
          <w:p w14:paraId="2C0575DB" w14:textId="77777777" w:rsidR="007D395A" w:rsidRPr="00E56A09" w:rsidRDefault="007D395A" w:rsidP="00EA0940">
            <w:pPr>
              <w:pStyle w:val="Table-Text"/>
              <w:spacing w:line="240" w:lineRule="auto"/>
              <w:contextualSpacing/>
            </w:pPr>
            <w:r w:rsidRPr="00E56A09">
              <w:t>Baghouse (Retired 6/1/21)</w:t>
            </w:r>
          </w:p>
        </w:tc>
      </w:tr>
      <w:tr w:rsidR="007D395A" w:rsidRPr="00E56A09" w14:paraId="1567474B"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2F04B8D" w14:textId="77777777" w:rsidR="007D395A" w:rsidRPr="00E56A09" w:rsidRDefault="2CA6BA76" w:rsidP="3328C818">
            <w:pPr>
              <w:pStyle w:val="Table-Text"/>
              <w:spacing w:line="240" w:lineRule="auto"/>
              <w:contextualSpacing/>
              <w:jc w:val="center"/>
            </w:pPr>
            <w:r>
              <w:t>IN</w:t>
            </w:r>
          </w:p>
        </w:tc>
        <w:tc>
          <w:tcPr>
            <w:tcW w:w="658" w:type="pct"/>
            <w:tcBorders>
              <w:top w:val="nil"/>
              <w:left w:val="nil"/>
              <w:bottom w:val="single" w:sz="4" w:space="0" w:color="auto"/>
              <w:right w:val="single" w:sz="4" w:space="0" w:color="auto"/>
            </w:tcBorders>
            <w:shd w:val="clear" w:color="auto" w:fill="auto"/>
            <w:noWrap/>
            <w:vAlign w:val="center"/>
            <w:hideMark/>
          </w:tcPr>
          <w:p w14:paraId="778F1E8F" w14:textId="77777777" w:rsidR="007D395A" w:rsidRPr="00E56A09" w:rsidRDefault="007D395A" w:rsidP="00EA0940">
            <w:pPr>
              <w:pStyle w:val="Table-Text"/>
              <w:spacing w:line="240" w:lineRule="auto"/>
              <w:contextualSpacing/>
            </w:pPr>
            <w:r w:rsidRPr="00E56A09">
              <w:t>R Gallagher</w:t>
            </w:r>
          </w:p>
        </w:tc>
        <w:tc>
          <w:tcPr>
            <w:tcW w:w="308" w:type="pct"/>
            <w:tcBorders>
              <w:top w:val="nil"/>
              <w:left w:val="nil"/>
              <w:bottom w:val="single" w:sz="4" w:space="0" w:color="auto"/>
              <w:right w:val="single" w:sz="4" w:space="0" w:color="auto"/>
            </w:tcBorders>
            <w:shd w:val="clear" w:color="auto" w:fill="auto"/>
            <w:noWrap/>
            <w:vAlign w:val="center"/>
            <w:hideMark/>
          </w:tcPr>
          <w:p w14:paraId="489458F2" w14:textId="77777777" w:rsidR="007D395A" w:rsidRPr="00E56A09" w:rsidRDefault="2CA6BA76" w:rsidP="3328C818">
            <w:pPr>
              <w:pStyle w:val="Table-Text"/>
              <w:spacing w:line="240" w:lineRule="auto"/>
              <w:contextualSpacing/>
              <w:jc w:val="center"/>
            </w:pPr>
            <w:r>
              <w:t>4</w:t>
            </w:r>
          </w:p>
        </w:tc>
        <w:tc>
          <w:tcPr>
            <w:tcW w:w="344" w:type="pct"/>
            <w:tcBorders>
              <w:top w:val="nil"/>
              <w:left w:val="nil"/>
              <w:bottom w:val="single" w:sz="4" w:space="0" w:color="auto"/>
              <w:right w:val="single" w:sz="4" w:space="0" w:color="auto"/>
            </w:tcBorders>
            <w:shd w:val="clear" w:color="auto" w:fill="auto"/>
            <w:noWrap/>
            <w:vAlign w:val="center"/>
            <w:hideMark/>
          </w:tcPr>
          <w:p w14:paraId="7E2525A2" w14:textId="77777777" w:rsidR="007D395A" w:rsidRPr="00E56A09" w:rsidRDefault="2CA6BA76" w:rsidP="3328C818">
            <w:pPr>
              <w:pStyle w:val="Table-Text"/>
              <w:spacing w:line="240" w:lineRule="auto"/>
              <w:contextualSpacing/>
              <w:jc w:val="center"/>
            </w:pPr>
            <w:r>
              <w:t>68</w:t>
            </w:r>
          </w:p>
        </w:tc>
        <w:tc>
          <w:tcPr>
            <w:tcW w:w="597" w:type="pct"/>
            <w:tcBorders>
              <w:top w:val="nil"/>
              <w:left w:val="nil"/>
              <w:bottom w:val="single" w:sz="4" w:space="0" w:color="auto"/>
              <w:right w:val="single" w:sz="4" w:space="0" w:color="auto"/>
            </w:tcBorders>
            <w:shd w:val="clear" w:color="auto" w:fill="auto"/>
            <w:noWrap/>
            <w:vAlign w:val="center"/>
            <w:hideMark/>
          </w:tcPr>
          <w:p w14:paraId="7221C35E" w14:textId="77777777" w:rsidR="007D395A" w:rsidRPr="00E56A09" w:rsidRDefault="2CA6BA76" w:rsidP="3328C818">
            <w:pPr>
              <w:pStyle w:val="Table-Text"/>
              <w:spacing w:line="240" w:lineRule="auto"/>
              <w:contextualSpacing/>
              <w:jc w:val="center"/>
            </w:pPr>
            <w:r>
              <w:t>0.720</w:t>
            </w:r>
          </w:p>
        </w:tc>
        <w:tc>
          <w:tcPr>
            <w:tcW w:w="567" w:type="pct"/>
            <w:tcBorders>
              <w:top w:val="nil"/>
              <w:left w:val="nil"/>
              <w:bottom w:val="single" w:sz="4" w:space="0" w:color="auto"/>
              <w:right w:val="single" w:sz="4" w:space="0" w:color="auto"/>
            </w:tcBorders>
            <w:shd w:val="clear" w:color="auto" w:fill="auto"/>
            <w:noWrap/>
            <w:vAlign w:val="center"/>
            <w:hideMark/>
          </w:tcPr>
          <w:p w14:paraId="1450CF62" w14:textId="77777777" w:rsidR="007D395A" w:rsidRPr="00E56A09" w:rsidRDefault="007D395A" w:rsidP="00EA0940">
            <w:pPr>
              <w:pStyle w:val="Table-Text"/>
              <w:spacing w:line="240" w:lineRule="auto"/>
              <w:contextualSpacing/>
            </w:pPr>
            <w:r w:rsidRPr="00E56A09">
              <w:t>189,738</w:t>
            </w:r>
          </w:p>
        </w:tc>
        <w:tc>
          <w:tcPr>
            <w:tcW w:w="1031" w:type="pct"/>
            <w:tcBorders>
              <w:top w:val="nil"/>
              <w:left w:val="nil"/>
              <w:bottom w:val="single" w:sz="4" w:space="0" w:color="auto"/>
              <w:right w:val="single" w:sz="4" w:space="0" w:color="auto"/>
            </w:tcBorders>
            <w:shd w:val="clear" w:color="auto" w:fill="auto"/>
            <w:noWrap/>
            <w:vAlign w:val="center"/>
            <w:hideMark/>
          </w:tcPr>
          <w:p w14:paraId="7B309B2B" w14:textId="77777777" w:rsidR="007D395A" w:rsidRPr="00E56A09" w:rsidRDefault="007D395A" w:rsidP="00EA0940">
            <w:pPr>
              <w:pStyle w:val="Table-Text"/>
              <w:spacing w:line="240" w:lineRule="auto"/>
              <w:contextualSpacing/>
            </w:pPr>
            <w:r w:rsidRPr="00E56A09">
              <w:t>Dry bottom wall-fired</w:t>
            </w:r>
          </w:p>
        </w:tc>
        <w:tc>
          <w:tcPr>
            <w:tcW w:w="1180" w:type="pct"/>
            <w:tcBorders>
              <w:top w:val="nil"/>
              <w:left w:val="nil"/>
              <w:bottom w:val="single" w:sz="4" w:space="0" w:color="auto"/>
              <w:right w:val="single" w:sz="8" w:space="0" w:color="auto"/>
            </w:tcBorders>
            <w:shd w:val="clear" w:color="auto" w:fill="auto"/>
            <w:noWrap/>
            <w:vAlign w:val="center"/>
            <w:hideMark/>
          </w:tcPr>
          <w:p w14:paraId="12BDC625" w14:textId="77777777" w:rsidR="007D395A" w:rsidRPr="00E56A09" w:rsidRDefault="007D395A" w:rsidP="00EA0940">
            <w:pPr>
              <w:pStyle w:val="Table-Text"/>
              <w:spacing w:line="240" w:lineRule="auto"/>
              <w:contextualSpacing/>
            </w:pPr>
            <w:r w:rsidRPr="00E56A09">
              <w:t>Baghouse (Retired 6/1/21)</w:t>
            </w:r>
          </w:p>
        </w:tc>
      </w:tr>
      <w:tr w:rsidR="007D395A" w:rsidRPr="00E56A09" w14:paraId="2A60AA02"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626D785" w14:textId="77777777" w:rsidR="007D395A" w:rsidRPr="00E56A09" w:rsidRDefault="007D395A" w:rsidP="3328C818">
            <w:pPr>
              <w:pStyle w:val="Table-Text"/>
              <w:spacing w:line="240" w:lineRule="auto"/>
              <w:contextualSpacing/>
              <w:jc w:val="center"/>
            </w:pPr>
          </w:p>
        </w:tc>
        <w:tc>
          <w:tcPr>
            <w:tcW w:w="658" w:type="pct"/>
            <w:tcBorders>
              <w:top w:val="nil"/>
              <w:left w:val="nil"/>
              <w:bottom w:val="single" w:sz="4" w:space="0" w:color="auto"/>
              <w:right w:val="single" w:sz="4" w:space="0" w:color="auto"/>
            </w:tcBorders>
            <w:shd w:val="clear" w:color="auto" w:fill="auto"/>
            <w:noWrap/>
            <w:vAlign w:val="center"/>
            <w:hideMark/>
          </w:tcPr>
          <w:p w14:paraId="0B26E9E7" w14:textId="77777777" w:rsidR="007D395A" w:rsidRPr="00E56A09" w:rsidRDefault="007D395A" w:rsidP="00EA0940">
            <w:pPr>
              <w:pStyle w:val="Table-Text"/>
              <w:spacing w:line="240" w:lineRule="auto"/>
              <w:contextualSpacing/>
            </w:pPr>
          </w:p>
        </w:tc>
        <w:tc>
          <w:tcPr>
            <w:tcW w:w="308" w:type="pct"/>
            <w:tcBorders>
              <w:top w:val="nil"/>
              <w:left w:val="nil"/>
              <w:bottom w:val="single" w:sz="4" w:space="0" w:color="auto"/>
              <w:right w:val="single" w:sz="4" w:space="0" w:color="auto"/>
            </w:tcBorders>
            <w:shd w:val="clear" w:color="auto" w:fill="auto"/>
            <w:noWrap/>
            <w:vAlign w:val="center"/>
            <w:hideMark/>
          </w:tcPr>
          <w:p w14:paraId="6EE7FB90" w14:textId="77777777" w:rsidR="007D395A" w:rsidRPr="00E56A09" w:rsidRDefault="007D395A" w:rsidP="3328C818">
            <w:pPr>
              <w:pStyle w:val="Table-Text"/>
              <w:spacing w:line="240" w:lineRule="auto"/>
              <w:contextualSpacing/>
              <w:jc w:val="center"/>
            </w:pPr>
          </w:p>
        </w:tc>
        <w:tc>
          <w:tcPr>
            <w:tcW w:w="344" w:type="pct"/>
            <w:tcBorders>
              <w:top w:val="nil"/>
              <w:left w:val="nil"/>
              <w:bottom w:val="single" w:sz="4" w:space="0" w:color="auto"/>
              <w:right w:val="single" w:sz="4" w:space="0" w:color="auto"/>
            </w:tcBorders>
            <w:shd w:val="clear" w:color="auto" w:fill="auto"/>
            <w:noWrap/>
            <w:vAlign w:val="center"/>
            <w:hideMark/>
          </w:tcPr>
          <w:p w14:paraId="54AAA970" w14:textId="77777777" w:rsidR="007D395A" w:rsidRPr="00E56A09" w:rsidRDefault="007D395A" w:rsidP="3328C818">
            <w:pPr>
              <w:pStyle w:val="Table-Text"/>
              <w:spacing w:line="240" w:lineRule="auto"/>
              <w:contextualSpacing/>
              <w:jc w:val="center"/>
            </w:pPr>
          </w:p>
        </w:tc>
        <w:tc>
          <w:tcPr>
            <w:tcW w:w="597" w:type="pct"/>
            <w:tcBorders>
              <w:top w:val="nil"/>
              <w:left w:val="nil"/>
              <w:bottom w:val="single" w:sz="4" w:space="0" w:color="auto"/>
              <w:right w:val="single" w:sz="4" w:space="0" w:color="auto"/>
            </w:tcBorders>
            <w:shd w:val="clear" w:color="auto" w:fill="auto"/>
            <w:noWrap/>
            <w:vAlign w:val="center"/>
            <w:hideMark/>
          </w:tcPr>
          <w:p w14:paraId="32331DB5" w14:textId="77777777" w:rsidR="007D395A" w:rsidRPr="00E56A09" w:rsidRDefault="007D395A" w:rsidP="3328C818">
            <w:pPr>
              <w:pStyle w:val="Table-Text"/>
              <w:spacing w:line="240" w:lineRule="auto"/>
              <w:contextualSpacing/>
              <w:jc w:val="center"/>
            </w:pPr>
          </w:p>
        </w:tc>
        <w:tc>
          <w:tcPr>
            <w:tcW w:w="567" w:type="pct"/>
            <w:tcBorders>
              <w:top w:val="nil"/>
              <w:left w:val="nil"/>
              <w:bottom w:val="single" w:sz="4" w:space="0" w:color="auto"/>
              <w:right w:val="single" w:sz="4" w:space="0" w:color="auto"/>
            </w:tcBorders>
            <w:shd w:val="clear" w:color="auto" w:fill="auto"/>
            <w:noWrap/>
            <w:vAlign w:val="center"/>
            <w:hideMark/>
          </w:tcPr>
          <w:p w14:paraId="6E07716F" w14:textId="77777777" w:rsidR="007D395A" w:rsidRPr="00E56A09" w:rsidRDefault="007D395A" w:rsidP="00EA0940">
            <w:pPr>
              <w:pStyle w:val="Table-Text"/>
              <w:spacing w:line="240" w:lineRule="auto"/>
              <w:contextualSpacing/>
            </w:pPr>
          </w:p>
        </w:tc>
        <w:tc>
          <w:tcPr>
            <w:tcW w:w="1031" w:type="pct"/>
            <w:tcBorders>
              <w:top w:val="nil"/>
              <w:left w:val="nil"/>
              <w:bottom w:val="single" w:sz="4" w:space="0" w:color="auto"/>
              <w:right w:val="single" w:sz="4" w:space="0" w:color="auto"/>
            </w:tcBorders>
            <w:shd w:val="clear" w:color="auto" w:fill="auto"/>
            <w:noWrap/>
            <w:vAlign w:val="center"/>
            <w:hideMark/>
          </w:tcPr>
          <w:p w14:paraId="2E979082" w14:textId="77777777" w:rsidR="007D395A" w:rsidRPr="00E56A09" w:rsidRDefault="007D395A" w:rsidP="00EA0940">
            <w:pPr>
              <w:pStyle w:val="Table-Text"/>
              <w:spacing w:line="240" w:lineRule="auto"/>
              <w:contextualSpacing/>
            </w:pPr>
          </w:p>
        </w:tc>
        <w:tc>
          <w:tcPr>
            <w:tcW w:w="1180" w:type="pct"/>
            <w:tcBorders>
              <w:top w:val="nil"/>
              <w:left w:val="nil"/>
              <w:bottom w:val="single" w:sz="4" w:space="0" w:color="auto"/>
              <w:right w:val="single" w:sz="8" w:space="0" w:color="auto"/>
            </w:tcBorders>
            <w:shd w:val="clear" w:color="auto" w:fill="auto"/>
            <w:noWrap/>
            <w:vAlign w:val="center"/>
            <w:hideMark/>
          </w:tcPr>
          <w:p w14:paraId="078F9556" w14:textId="77777777" w:rsidR="007D395A" w:rsidRPr="00E56A09" w:rsidRDefault="007D395A" w:rsidP="00EA0940">
            <w:pPr>
              <w:pStyle w:val="Table-Text"/>
              <w:spacing w:line="240" w:lineRule="auto"/>
              <w:contextualSpacing/>
            </w:pPr>
          </w:p>
        </w:tc>
      </w:tr>
      <w:tr w:rsidR="007D395A" w:rsidRPr="00E56A09" w14:paraId="42CBB87C"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5966D72E" w14:textId="77777777" w:rsidR="007D395A" w:rsidRPr="00E56A09" w:rsidRDefault="2CA6BA76" w:rsidP="3328C818">
            <w:pPr>
              <w:pStyle w:val="Table-Text"/>
              <w:spacing w:line="240" w:lineRule="auto"/>
              <w:contextualSpacing/>
              <w:jc w:val="center"/>
            </w:pPr>
            <w:r>
              <w:t>WI</w:t>
            </w:r>
          </w:p>
        </w:tc>
        <w:tc>
          <w:tcPr>
            <w:tcW w:w="658" w:type="pct"/>
            <w:tcBorders>
              <w:top w:val="nil"/>
              <w:left w:val="nil"/>
              <w:bottom w:val="single" w:sz="4" w:space="0" w:color="auto"/>
              <w:right w:val="single" w:sz="4" w:space="0" w:color="auto"/>
            </w:tcBorders>
            <w:shd w:val="clear" w:color="auto" w:fill="auto"/>
            <w:noWrap/>
            <w:vAlign w:val="center"/>
            <w:hideMark/>
          </w:tcPr>
          <w:p w14:paraId="5959F25A" w14:textId="77777777" w:rsidR="007D395A" w:rsidRPr="00E56A09" w:rsidRDefault="007D395A" w:rsidP="00EA0940">
            <w:pPr>
              <w:pStyle w:val="Table-Text"/>
              <w:spacing w:line="240" w:lineRule="auto"/>
              <w:contextualSpacing/>
            </w:pPr>
            <w:r w:rsidRPr="00E56A09">
              <w:t xml:space="preserve">J P </w:t>
            </w:r>
            <w:proofErr w:type="spellStart"/>
            <w:r w:rsidRPr="00E56A09">
              <w:t>Madgett</w:t>
            </w:r>
            <w:proofErr w:type="spellEnd"/>
          </w:p>
        </w:tc>
        <w:tc>
          <w:tcPr>
            <w:tcW w:w="308" w:type="pct"/>
            <w:tcBorders>
              <w:top w:val="nil"/>
              <w:left w:val="nil"/>
              <w:bottom w:val="single" w:sz="4" w:space="0" w:color="auto"/>
              <w:right w:val="single" w:sz="4" w:space="0" w:color="auto"/>
            </w:tcBorders>
            <w:shd w:val="clear" w:color="auto" w:fill="auto"/>
            <w:noWrap/>
            <w:vAlign w:val="center"/>
            <w:hideMark/>
          </w:tcPr>
          <w:p w14:paraId="6AB33D16" w14:textId="77777777" w:rsidR="007D395A" w:rsidRPr="00E56A09" w:rsidRDefault="2CA6BA76" w:rsidP="3328C818">
            <w:pPr>
              <w:pStyle w:val="Table-Text"/>
              <w:spacing w:line="240" w:lineRule="auto"/>
              <w:contextualSpacing/>
              <w:jc w:val="center"/>
            </w:pPr>
            <w:r>
              <w:t>B1</w:t>
            </w:r>
          </w:p>
        </w:tc>
        <w:tc>
          <w:tcPr>
            <w:tcW w:w="344" w:type="pct"/>
            <w:tcBorders>
              <w:top w:val="nil"/>
              <w:left w:val="nil"/>
              <w:bottom w:val="single" w:sz="4" w:space="0" w:color="auto"/>
              <w:right w:val="single" w:sz="4" w:space="0" w:color="auto"/>
            </w:tcBorders>
            <w:shd w:val="clear" w:color="auto" w:fill="auto"/>
            <w:noWrap/>
            <w:vAlign w:val="center"/>
            <w:hideMark/>
          </w:tcPr>
          <w:p w14:paraId="793B5F63" w14:textId="77777777" w:rsidR="007D395A" w:rsidRPr="00E56A09" w:rsidRDefault="2CA6BA76" w:rsidP="3328C818">
            <w:pPr>
              <w:pStyle w:val="Table-Text"/>
              <w:spacing w:line="240" w:lineRule="auto"/>
              <w:contextualSpacing/>
              <w:jc w:val="center"/>
            </w:pPr>
            <w:r>
              <w:t>849</w:t>
            </w:r>
          </w:p>
        </w:tc>
        <w:tc>
          <w:tcPr>
            <w:tcW w:w="597" w:type="pct"/>
            <w:tcBorders>
              <w:top w:val="nil"/>
              <w:left w:val="nil"/>
              <w:bottom w:val="single" w:sz="4" w:space="0" w:color="auto"/>
              <w:right w:val="single" w:sz="4" w:space="0" w:color="auto"/>
            </w:tcBorders>
            <w:shd w:val="clear" w:color="auto" w:fill="auto"/>
            <w:noWrap/>
            <w:vAlign w:val="center"/>
            <w:hideMark/>
          </w:tcPr>
          <w:p w14:paraId="75C75677" w14:textId="77777777" w:rsidR="007D395A" w:rsidRPr="00E56A09" w:rsidRDefault="2CA6BA76" w:rsidP="3328C818">
            <w:pPr>
              <w:pStyle w:val="Table-Text"/>
              <w:spacing w:line="240" w:lineRule="auto"/>
              <w:contextualSpacing/>
              <w:jc w:val="center"/>
            </w:pPr>
            <w:r>
              <w:t>0.083</w:t>
            </w:r>
          </w:p>
        </w:tc>
        <w:tc>
          <w:tcPr>
            <w:tcW w:w="567" w:type="pct"/>
            <w:tcBorders>
              <w:top w:val="nil"/>
              <w:left w:val="nil"/>
              <w:bottom w:val="single" w:sz="4" w:space="0" w:color="auto"/>
              <w:right w:val="single" w:sz="4" w:space="0" w:color="auto"/>
            </w:tcBorders>
            <w:shd w:val="clear" w:color="auto" w:fill="auto"/>
            <w:noWrap/>
            <w:vAlign w:val="center"/>
            <w:hideMark/>
          </w:tcPr>
          <w:p w14:paraId="7B4D1D05" w14:textId="77777777" w:rsidR="007D395A" w:rsidRPr="00E56A09" w:rsidRDefault="007D395A" w:rsidP="00EA0940">
            <w:pPr>
              <w:pStyle w:val="Table-Text"/>
              <w:spacing w:line="240" w:lineRule="auto"/>
              <w:contextualSpacing/>
            </w:pPr>
            <w:r w:rsidRPr="00E56A09">
              <w:t>20,454,088</w:t>
            </w:r>
          </w:p>
        </w:tc>
        <w:tc>
          <w:tcPr>
            <w:tcW w:w="1031" w:type="pct"/>
            <w:tcBorders>
              <w:top w:val="nil"/>
              <w:left w:val="nil"/>
              <w:bottom w:val="single" w:sz="4" w:space="0" w:color="auto"/>
              <w:right w:val="single" w:sz="4" w:space="0" w:color="auto"/>
            </w:tcBorders>
            <w:shd w:val="clear" w:color="auto" w:fill="auto"/>
            <w:noWrap/>
            <w:vAlign w:val="center"/>
            <w:hideMark/>
          </w:tcPr>
          <w:p w14:paraId="585F4A84" w14:textId="77777777" w:rsidR="007D395A" w:rsidRPr="00E56A09" w:rsidRDefault="007D395A" w:rsidP="00EA0940">
            <w:pPr>
              <w:pStyle w:val="Table-Text"/>
              <w:spacing w:line="240" w:lineRule="auto"/>
              <w:contextualSpacing/>
            </w:pPr>
            <w:r w:rsidRPr="00E56A09">
              <w:t>Dry bottom turbo-fired</w:t>
            </w:r>
          </w:p>
        </w:tc>
        <w:tc>
          <w:tcPr>
            <w:tcW w:w="1180" w:type="pct"/>
            <w:tcBorders>
              <w:top w:val="nil"/>
              <w:left w:val="nil"/>
              <w:bottom w:val="single" w:sz="4" w:space="0" w:color="auto"/>
              <w:right w:val="single" w:sz="8" w:space="0" w:color="auto"/>
            </w:tcBorders>
            <w:shd w:val="clear" w:color="auto" w:fill="auto"/>
            <w:noWrap/>
            <w:vAlign w:val="center"/>
            <w:hideMark/>
          </w:tcPr>
          <w:p w14:paraId="5ABA93FA" w14:textId="77777777" w:rsidR="007D395A" w:rsidRPr="00E56A09" w:rsidRDefault="007D395A" w:rsidP="00EA0940">
            <w:pPr>
              <w:pStyle w:val="Table-Text"/>
              <w:spacing w:line="240" w:lineRule="auto"/>
              <w:contextualSpacing/>
            </w:pPr>
            <w:r w:rsidRPr="00E56A09">
              <w:t>Baghouse</w:t>
            </w:r>
            <w:r>
              <w:t xml:space="preserve"> </w:t>
            </w:r>
            <w:r w:rsidRPr="00E56A09">
              <w:t>ESP</w:t>
            </w:r>
          </w:p>
        </w:tc>
      </w:tr>
      <w:tr w:rsidR="007D395A" w:rsidRPr="00E56A09" w14:paraId="0F18236E"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1C713EA5" w14:textId="77777777" w:rsidR="007D395A" w:rsidRPr="00E56A09" w:rsidRDefault="2CA6BA76" w:rsidP="3328C818">
            <w:pPr>
              <w:pStyle w:val="Table-Text"/>
              <w:spacing w:line="240" w:lineRule="auto"/>
              <w:contextualSpacing/>
              <w:jc w:val="center"/>
            </w:pPr>
            <w:r>
              <w:t>OK</w:t>
            </w:r>
          </w:p>
        </w:tc>
        <w:tc>
          <w:tcPr>
            <w:tcW w:w="658" w:type="pct"/>
            <w:tcBorders>
              <w:top w:val="nil"/>
              <w:left w:val="nil"/>
              <w:bottom w:val="single" w:sz="4" w:space="0" w:color="auto"/>
              <w:right w:val="single" w:sz="4" w:space="0" w:color="auto"/>
            </w:tcBorders>
            <w:shd w:val="clear" w:color="auto" w:fill="auto"/>
            <w:noWrap/>
            <w:vAlign w:val="center"/>
            <w:hideMark/>
          </w:tcPr>
          <w:p w14:paraId="3F7D125D" w14:textId="77777777" w:rsidR="007D395A" w:rsidRPr="00E56A09" w:rsidRDefault="007D395A" w:rsidP="00EA0940">
            <w:pPr>
              <w:pStyle w:val="Table-Text"/>
              <w:spacing w:line="240" w:lineRule="auto"/>
              <w:contextualSpacing/>
            </w:pPr>
            <w:r w:rsidRPr="00E56A09">
              <w:t>Northeastern</w:t>
            </w:r>
          </w:p>
        </w:tc>
        <w:tc>
          <w:tcPr>
            <w:tcW w:w="308" w:type="pct"/>
            <w:tcBorders>
              <w:top w:val="nil"/>
              <w:left w:val="nil"/>
              <w:bottom w:val="single" w:sz="4" w:space="0" w:color="auto"/>
              <w:right w:val="single" w:sz="4" w:space="0" w:color="auto"/>
            </w:tcBorders>
            <w:shd w:val="clear" w:color="auto" w:fill="auto"/>
            <w:noWrap/>
            <w:vAlign w:val="center"/>
            <w:hideMark/>
          </w:tcPr>
          <w:p w14:paraId="3C364C22" w14:textId="77777777" w:rsidR="007D395A" w:rsidRPr="00E56A09" w:rsidRDefault="2CA6BA76" w:rsidP="3328C818">
            <w:pPr>
              <w:pStyle w:val="Table-Text"/>
              <w:spacing w:line="240" w:lineRule="auto"/>
              <w:contextualSpacing/>
              <w:jc w:val="center"/>
            </w:pPr>
            <w:r>
              <w:t>3313</w:t>
            </w:r>
          </w:p>
        </w:tc>
        <w:tc>
          <w:tcPr>
            <w:tcW w:w="344" w:type="pct"/>
            <w:tcBorders>
              <w:top w:val="nil"/>
              <w:left w:val="nil"/>
              <w:bottom w:val="single" w:sz="4" w:space="0" w:color="auto"/>
              <w:right w:val="single" w:sz="4" w:space="0" w:color="auto"/>
            </w:tcBorders>
            <w:shd w:val="clear" w:color="auto" w:fill="auto"/>
            <w:noWrap/>
            <w:vAlign w:val="center"/>
            <w:hideMark/>
          </w:tcPr>
          <w:p w14:paraId="0A137FBC" w14:textId="77777777" w:rsidR="007D395A" w:rsidRPr="00E56A09" w:rsidRDefault="2CA6BA76" w:rsidP="3328C818">
            <w:pPr>
              <w:pStyle w:val="Table-Text"/>
              <w:spacing w:line="240" w:lineRule="auto"/>
              <w:contextualSpacing/>
              <w:jc w:val="center"/>
            </w:pPr>
            <w:r>
              <w:t>4,564</w:t>
            </w:r>
          </w:p>
        </w:tc>
        <w:tc>
          <w:tcPr>
            <w:tcW w:w="597" w:type="pct"/>
            <w:tcBorders>
              <w:top w:val="nil"/>
              <w:left w:val="nil"/>
              <w:bottom w:val="single" w:sz="4" w:space="0" w:color="auto"/>
              <w:right w:val="single" w:sz="4" w:space="0" w:color="auto"/>
            </w:tcBorders>
            <w:shd w:val="clear" w:color="auto" w:fill="auto"/>
            <w:noWrap/>
            <w:vAlign w:val="center"/>
            <w:hideMark/>
          </w:tcPr>
          <w:p w14:paraId="2917F86F" w14:textId="77777777" w:rsidR="007D395A" w:rsidRPr="00E56A09" w:rsidRDefault="2CA6BA76" w:rsidP="3328C818">
            <w:pPr>
              <w:pStyle w:val="Table-Text"/>
              <w:spacing w:line="240" w:lineRule="auto"/>
              <w:contextualSpacing/>
              <w:jc w:val="center"/>
            </w:pPr>
            <w:r>
              <w:t>0.340</w:t>
            </w:r>
          </w:p>
        </w:tc>
        <w:tc>
          <w:tcPr>
            <w:tcW w:w="567" w:type="pct"/>
            <w:tcBorders>
              <w:top w:val="nil"/>
              <w:left w:val="nil"/>
              <w:bottom w:val="single" w:sz="4" w:space="0" w:color="auto"/>
              <w:right w:val="single" w:sz="4" w:space="0" w:color="auto"/>
            </w:tcBorders>
            <w:shd w:val="clear" w:color="auto" w:fill="auto"/>
            <w:noWrap/>
            <w:vAlign w:val="center"/>
            <w:hideMark/>
          </w:tcPr>
          <w:p w14:paraId="17A28974" w14:textId="77777777" w:rsidR="007D395A" w:rsidRPr="00E56A09" w:rsidRDefault="007D395A" w:rsidP="00EA0940">
            <w:pPr>
              <w:pStyle w:val="Table-Text"/>
              <w:spacing w:line="240" w:lineRule="auto"/>
              <w:contextualSpacing/>
            </w:pPr>
            <w:r w:rsidRPr="00E56A09">
              <w:t>26,816,608</w:t>
            </w:r>
          </w:p>
        </w:tc>
        <w:tc>
          <w:tcPr>
            <w:tcW w:w="1031" w:type="pct"/>
            <w:tcBorders>
              <w:top w:val="nil"/>
              <w:left w:val="nil"/>
              <w:bottom w:val="single" w:sz="4" w:space="0" w:color="auto"/>
              <w:right w:val="single" w:sz="4" w:space="0" w:color="auto"/>
            </w:tcBorders>
            <w:shd w:val="clear" w:color="auto" w:fill="auto"/>
            <w:noWrap/>
            <w:vAlign w:val="center"/>
            <w:hideMark/>
          </w:tcPr>
          <w:p w14:paraId="517FD36C" w14:textId="77777777" w:rsidR="007D395A" w:rsidRPr="00E56A09" w:rsidRDefault="007D395A" w:rsidP="00EA0940">
            <w:pPr>
              <w:pStyle w:val="Table-Text"/>
              <w:spacing w:line="240" w:lineRule="auto"/>
              <w:contextualSpacing/>
            </w:pPr>
            <w:r w:rsidRPr="00E56A09">
              <w:t>Tangentially-fired</w:t>
            </w:r>
          </w:p>
        </w:tc>
        <w:tc>
          <w:tcPr>
            <w:tcW w:w="1180" w:type="pct"/>
            <w:tcBorders>
              <w:top w:val="nil"/>
              <w:left w:val="nil"/>
              <w:bottom w:val="single" w:sz="4" w:space="0" w:color="auto"/>
              <w:right w:val="single" w:sz="8" w:space="0" w:color="auto"/>
            </w:tcBorders>
            <w:shd w:val="clear" w:color="auto" w:fill="auto"/>
            <w:noWrap/>
            <w:vAlign w:val="center"/>
            <w:hideMark/>
          </w:tcPr>
          <w:p w14:paraId="2FDEBD7D" w14:textId="77777777" w:rsidR="007D395A" w:rsidRPr="00E56A09" w:rsidRDefault="007D395A" w:rsidP="00EA0940">
            <w:pPr>
              <w:pStyle w:val="Table-Text"/>
              <w:spacing w:line="240" w:lineRule="auto"/>
              <w:contextualSpacing/>
            </w:pPr>
            <w:r w:rsidRPr="00E56A09">
              <w:t>Baghouse</w:t>
            </w:r>
            <w:r>
              <w:t xml:space="preserve"> </w:t>
            </w:r>
            <w:r w:rsidRPr="00E56A09">
              <w:t>ESP</w:t>
            </w:r>
          </w:p>
        </w:tc>
      </w:tr>
      <w:tr w:rsidR="007D395A" w:rsidRPr="00E56A09" w14:paraId="579131C5"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2C13DD39" w14:textId="77777777" w:rsidR="007D395A" w:rsidRPr="00E56A09" w:rsidRDefault="007D395A" w:rsidP="3328C818">
            <w:pPr>
              <w:pStyle w:val="Table-Text"/>
              <w:spacing w:line="240" w:lineRule="auto"/>
              <w:contextualSpacing/>
              <w:jc w:val="center"/>
            </w:pPr>
          </w:p>
        </w:tc>
        <w:tc>
          <w:tcPr>
            <w:tcW w:w="658" w:type="pct"/>
            <w:tcBorders>
              <w:top w:val="nil"/>
              <w:left w:val="nil"/>
              <w:bottom w:val="single" w:sz="4" w:space="0" w:color="auto"/>
              <w:right w:val="single" w:sz="4" w:space="0" w:color="auto"/>
            </w:tcBorders>
            <w:shd w:val="clear" w:color="auto" w:fill="auto"/>
            <w:noWrap/>
            <w:vAlign w:val="center"/>
            <w:hideMark/>
          </w:tcPr>
          <w:p w14:paraId="111A9845" w14:textId="77777777" w:rsidR="007D395A" w:rsidRPr="00E56A09" w:rsidRDefault="007D395A" w:rsidP="00EA0940">
            <w:pPr>
              <w:pStyle w:val="Table-Text"/>
              <w:spacing w:line="240" w:lineRule="auto"/>
              <w:contextualSpacing/>
            </w:pPr>
          </w:p>
        </w:tc>
        <w:tc>
          <w:tcPr>
            <w:tcW w:w="308" w:type="pct"/>
            <w:tcBorders>
              <w:top w:val="nil"/>
              <w:left w:val="nil"/>
              <w:bottom w:val="single" w:sz="4" w:space="0" w:color="auto"/>
              <w:right w:val="single" w:sz="4" w:space="0" w:color="auto"/>
            </w:tcBorders>
            <w:shd w:val="clear" w:color="auto" w:fill="auto"/>
            <w:noWrap/>
            <w:vAlign w:val="center"/>
            <w:hideMark/>
          </w:tcPr>
          <w:p w14:paraId="44504A43" w14:textId="77777777" w:rsidR="007D395A" w:rsidRPr="00E56A09" w:rsidRDefault="007D395A" w:rsidP="3328C818">
            <w:pPr>
              <w:pStyle w:val="Table-Text"/>
              <w:spacing w:line="240" w:lineRule="auto"/>
              <w:contextualSpacing/>
              <w:jc w:val="center"/>
            </w:pPr>
          </w:p>
        </w:tc>
        <w:tc>
          <w:tcPr>
            <w:tcW w:w="344" w:type="pct"/>
            <w:tcBorders>
              <w:top w:val="nil"/>
              <w:left w:val="nil"/>
              <w:bottom w:val="single" w:sz="4" w:space="0" w:color="auto"/>
              <w:right w:val="single" w:sz="4" w:space="0" w:color="auto"/>
            </w:tcBorders>
            <w:shd w:val="clear" w:color="auto" w:fill="auto"/>
            <w:noWrap/>
            <w:vAlign w:val="center"/>
            <w:hideMark/>
          </w:tcPr>
          <w:p w14:paraId="573DB2D9" w14:textId="77777777" w:rsidR="007D395A" w:rsidRPr="00E56A09" w:rsidRDefault="007D395A" w:rsidP="3328C818">
            <w:pPr>
              <w:pStyle w:val="Table-Text"/>
              <w:spacing w:line="240" w:lineRule="auto"/>
              <w:contextualSpacing/>
              <w:jc w:val="center"/>
            </w:pPr>
          </w:p>
        </w:tc>
        <w:tc>
          <w:tcPr>
            <w:tcW w:w="597" w:type="pct"/>
            <w:tcBorders>
              <w:top w:val="nil"/>
              <w:left w:val="nil"/>
              <w:bottom w:val="single" w:sz="4" w:space="0" w:color="auto"/>
              <w:right w:val="single" w:sz="4" w:space="0" w:color="auto"/>
            </w:tcBorders>
            <w:shd w:val="clear" w:color="auto" w:fill="auto"/>
            <w:noWrap/>
            <w:vAlign w:val="center"/>
            <w:hideMark/>
          </w:tcPr>
          <w:p w14:paraId="750305BF" w14:textId="77777777" w:rsidR="007D395A" w:rsidRPr="00E56A09" w:rsidRDefault="007D395A" w:rsidP="3328C818">
            <w:pPr>
              <w:pStyle w:val="Table-Text"/>
              <w:spacing w:line="240" w:lineRule="auto"/>
              <w:contextualSpacing/>
              <w:jc w:val="center"/>
            </w:pPr>
          </w:p>
        </w:tc>
        <w:tc>
          <w:tcPr>
            <w:tcW w:w="567" w:type="pct"/>
            <w:tcBorders>
              <w:top w:val="nil"/>
              <w:left w:val="nil"/>
              <w:bottom w:val="single" w:sz="4" w:space="0" w:color="auto"/>
              <w:right w:val="single" w:sz="4" w:space="0" w:color="auto"/>
            </w:tcBorders>
            <w:shd w:val="clear" w:color="auto" w:fill="auto"/>
            <w:noWrap/>
            <w:vAlign w:val="center"/>
            <w:hideMark/>
          </w:tcPr>
          <w:p w14:paraId="10006534" w14:textId="77777777" w:rsidR="007D395A" w:rsidRPr="00E56A09" w:rsidRDefault="007D395A" w:rsidP="00EA0940">
            <w:pPr>
              <w:pStyle w:val="Table-Text"/>
              <w:spacing w:line="240" w:lineRule="auto"/>
              <w:contextualSpacing/>
            </w:pPr>
          </w:p>
        </w:tc>
        <w:tc>
          <w:tcPr>
            <w:tcW w:w="1031" w:type="pct"/>
            <w:tcBorders>
              <w:top w:val="nil"/>
              <w:left w:val="nil"/>
              <w:bottom w:val="single" w:sz="4" w:space="0" w:color="auto"/>
              <w:right w:val="single" w:sz="4" w:space="0" w:color="auto"/>
            </w:tcBorders>
            <w:shd w:val="clear" w:color="auto" w:fill="auto"/>
            <w:noWrap/>
            <w:vAlign w:val="center"/>
            <w:hideMark/>
          </w:tcPr>
          <w:p w14:paraId="7A373642" w14:textId="77777777" w:rsidR="007D395A" w:rsidRPr="00E56A09" w:rsidRDefault="007D395A" w:rsidP="00EA0940">
            <w:pPr>
              <w:pStyle w:val="Table-Text"/>
              <w:spacing w:line="240" w:lineRule="auto"/>
              <w:contextualSpacing/>
            </w:pPr>
          </w:p>
        </w:tc>
        <w:tc>
          <w:tcPr>
            <w:tcW w:w="1180" w:type="pct"/>
            <w:tcBorders>
              <w:top w:val="nil"/>
              <w:left w:val="nil"/>
              <w:bottom w:val="single" w:sz="4" w:space="0" w:color="auto"/>
              <w:right w:val="single" w:sz="8" w:space="0" w:color="auto"/>
            </w:tcBorders>
            <w:shd w:val="clear" w:color="auto" w:fill="auto"/>
            <w:noWrap/>
            <w:vAlign w:val="center"/>
            <w:hideMark/>
          </w:tcPr>
          <w:p w14:paraId="33296EEC" w14:textId="77777777" w:rsidR="007D395A" w:rsidRPr="00E56A09" w:rsidRDefault="007D395A" w:rsidP="00EA0940">
            <w:pPr>
              <w:pStyle w:val="Table-Text"/>
              <w:spacing w:line="240" w:lineRule="auto"/>
              <w:contextualSpacing/>
            </w:pPr>
          </w:p>
        </w:tc>
      </w:tr>
      <w:tr w:rsidR="007D395A" w:rsidRPr="00E56A09" w14:paraId="54CE381A"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82F2AD4" w14:textId="77777777" w:rsidR="007D395A" w:rsidRPr="00E56A09" w:rsidRDefault="2CA6BA76" w:rsidP="3328C818">
            <w:pPr>
              <w:pStyle w:val="Table-Text"/>
              <w:spacing w:line="240" w:lineRule="auto"/>
              <w:contextualSpacing/>
              <w:jc w:val="center"/>
            </w:pPr>
            <w:r>
              <w:t>IL</w:t>
            </w:r>
          </w:p>
        </w:tc>
        <w:tc>
          <w:tcPr>
            <w:tcW w:w="658" w:type="pct"/>
            <w:tcBorders>
              <w:top w:val="nil"/>
              <w:left w:val="nil"/>
              <w:bottom w:val="single" w:sz="4" w:space="0" w:color="auto"/>
              <w:right w:val="single" w:sz="4" w:space="0" w:color="auto"/>
            </w:tcBorders>
            <w:shd w:val="clear" w:color="auto" w:fill="auto"/>
            <w:noWrap/>
            <w:vAlign w:val="center"/>
            <w:hideMark/>
          </w:tcPr>
          <w:p w14:paraId="448B062B" w14:textId="77777777" w:rsidR="007D395A" w:rsidRPr="00E56A09" w:rsidRDefault="007D395A" w:rsidP="00EA0940">
            <w:pPr>
              <w:pStyle w:val="Table-Text"/>
              <w:spacing w:line="240" w:lineRule="auto"/>
              <w:contextualSpacing/>
            </w:pPr>
            <w:r w:rsidRPr="00E56A09">
              <w:t>Kincaid</w:t>
            </w:r>
          </w:p>
        </w:tc>
        <w:tc>
          <w:tcPr>
            <w:tcW w:w="308" w:type="pct"/>
            <w:tcBorders>
              <w:top w:val="nil"/>
              <w:left w:val="nil"/>
              <w:bottom w:val="single" w:sz="4" w:space="0" w:color="auto"/>
              <w:right w:val="single" w:sz="4" w:space="0" w:color="auto"/>
            </w:tcBorders>
            <w:shd w:val="clear" w:color="auto" w:fill="auto"/>
            <w:noWrap/>
            <w:vAlign w:val="center"/>
            <w:hideMark/>
          </w:tcPr>
          <w:p w14:paraId="247882E7" w14:textId="77777777" w:rsidR="007D395A" w:rsidRPr="00E56A09" w:rsidRDefault="2CA6BA76" w:rsidP="3328C818">
            <w:pPr>
              <w:pStyle w:val="Table-Text"/>
              <w:spacing w:line="240" w:lineRule="auto"/>
              <w:contextualSpacing/>
              <w:jc w:val="center"/>
            </w:pPr>
            <w:r>
              <w:t>2</w:t>
            </w:r>
          </w:p>
        </w:tc>
        <w:tc>
          <w:tcPr>
            <w:tcW w:w="344" w:type="pct"/>
            <w:tcBorders>
              <w:top w:val="nil"/>
              <w:left w:val="nil"/>
              <w:bottom w:val="single" w:sz="4" w:space="0" w:color="auto"/>
              <w:right w:val="single" w:sz="4" w:space="0" w:color="auto"/>
            </w:tcBorders>
            <w:shd w:val="clear" w:color="auto" w:fill="auto"/>
            <w:noWrap/>
            <w:vAlign w:val="center"/>
            <w:hideMark/>
          </w:tcPr>
          <w:p w14:paraId="3E42A53F" w14:textId="77777777" w:rsidR="007D395A" w:rsidRPr="00E56A09" w:rsidRDefault="2CA6BA76" w:rsidP="3328C818">
            <w:pPr>
              <w:pStyle w:val="Table-Text"/>
              <w:spacing w:line="240" w:lineRule="auto"/>
              <w:contextualSpacing/>
              <w:jc w:val="center"/>
            </w:pPr>
            <w:r>
              <w:t>1,083</w:t>
            </w:r>
          </w:p>
        </w:tc>
        <w:tc>
          <w:tcPr>
            <w:tcW w:w="597" w:type="pct"/>
            <w:tcBorders>
              <w:top w:val="nil"/>
              <w:left w:val="nil"/>
              <w:bottom w:val="single" w:sz="4" w:space="0" w:color="auto"/>
              <w:right w:val="single" w:sz="4" w:space="0" w:color="auto"/>
            </w:tcBorders>
            <w:shd w:val="clear" w:color="auto" w:fill="auto"/>
            <w:noWrap/>
            <w:vAlign w:val="center"/>
            <w:hideMark/>
          </w:tcPr>
          <w:p w14:paraId="1DCA26C0" w14:textId="77777777" w:rsidR="007D395A" w:rsidRPr="00E56A09" w:rsidRDefault="2CA6BA76" w:rsidP="3328C818">
            <w:pPr>
              <w:pStyle w:val="Table-Text"/>
              <w:spacing w:line="240" w:lineRule="auto"/>
              <w:contextualSpacing/>
              <w:jc w:val="center"/>
            </w:pPr>
            <w:r>
              <w:t>0.093</w:t>
            </w:r>
          </w:p>
        </w:tc>
        <w:tc>
          <w:tcPr>
            <w:tcW w:w="567" w:type="pct"/>
            <w:tcBorders>
              <w:top w:val="nil"/>
              <w:left w:val="nil"/>
              <w:bottom w:val="single" w:sz="4" w:space="0" w:color="auto"/>
              <w:right w:val="single" w:sz="4" w:space="0" w:color="auto"/>
            </w:tcBorders>
            <w:shd w:val="clear" w:color="auto" w:fill="auto"/>
            <w:noWrap/>
            <w:vAlign w:val="center"/>
            <w:hideMark/>
          </w:tcPr>
          <w:p w14:paraId="6F3D4473" w14:textId="77777777" w:rsidR="007D395A" w:rsidRPr="00E56A09" w:rsidRDefault="007D395A" w:rsidP="00EA0940">
            <w:pPr>
              <w:pStyle w:val="Table-Text"/>
              <w:spacing w:line="240" w:lineRule="auto"/>
              <w:contextualSpacing/>
            </w:pPr>
            <w:r w:rsidRPr="00E56A09">
              <w:t>23,285,397</w:t>
            </w:r>
          </w:p>
        </w:tc>
        <w:tc>
          <w:tcPr>
            <w:tcW w:w="1031" w:type="pct"/>
            <w:tcBorders>
              <w:top w:val="nil"/>
              <w:left w:val="nil"/>
              <w:bottom w:val="single" w:sz="4" w:space="0" w:color="auto"/>
              <w:right w:val="single" w:sz="4" w:space="0" w:color="auto"/>
            </w:tcBorders>
            <w:shd w:val="clear" w:color="auto" w:fill="auto"/>
            <w:noWrap/>
            <w:vAlign w:val="center"/>
            <w:hideMark/>
          </w:tcPr>
          <w:p w14:paraId="1C77F288" w14:textId="77777777" w:rsidR="007D395A" w:rsidRPr="00E56A09" w:rsidRDefault="007D395A" w:rsidP="00EA0940">
            <w:pPr>
              <w:pStyle w:val="Table-Text"/>
              <w:spacing w:line="240" w:lineRule="auto"/>
              <w:contextualSpacing/>
            </w:pPr>
            <w:r w:rsidRPr="00E56A09">
              <w:t>Cyclone boiler</w:t>
            </w:r>
          </w:p>
        </w:tc>
        <w:tc>
          <w:tcPr>
            <w:tcW w:w="1180" w:type="pct"/>
            <w:tcBorders>
              <w:top w:val="nil"/>
              <w:left w:val="nil"/>
              <w:bottom w:val="single" w:sz="4" w:space="0" w:color="auto"/>
              <w:right w:val="single" w:sz="8" w:space="0" w:color="auto"/>
            </w:tcBorders>
            <w:shd w:val="clear" w:color="auto" w:fill="auto"/>
            <w:noWrap/>
            <w:vAlign w:val="center"/>
            <w:hideMark/>
          </w:tcPr>
          <w:p w14:paraId="409FFD89" w14:textId="77777777" w:rsidR="007D395A" w:rsidRPr="00E56A09" w:rsidRDefault="007D395A" w:rsidP="00EA0940">
            <w:pPr>
              <w:pStyle w:val="Table-Text"/>
              <w:spacing w:line="240" w:lineRule="auto"/>
              <w:contextualSpacing/>
            </w:pPr>
            <w:r w:rsidRPr="00E56A09">
              <w:t>Electrostatic Precipitator</w:t>
            </w:r>
          </w:p>
        </w:tc>
      </w:tr>
      <w:tr w:rsidR="007D395A" w:rsidRPr="00E56A09" w14:paraId="5FC7196B"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064B144B" w14:textId="77777777" w:rsidR="007D395A" w:rsidRPr="00E56A09" w:rsidRDefault="2CA6BA76" w:rsidP="3328C818">
            <w:pPr>
              <w:pStyle w:val="Table-Text"/>
              <w:spacing w:line="240" w:lineRule="auto"/>
              <w:contextualSpacing/>
              <w:jc w:val="center"/>
            </w:pPr>
            <w:r>
              <w:t>IL</w:t>
            </w:r>
          </w:p>
        </w:tc>
        <w:tc>
          <w:tcPr>
            <w:tcW w:w="658" w:type="pct"/>
            <w:tcBorders>
              <w:top w:val="nil"/>
              <w:left w:val="nil"/>
              <w:bottom w:val="single" w:sz="4" w:space="0" w:color="auto"/>
              <w:right w:val="single" w:sz="4" w:space="0" w:color="auto"/>
            </w:tcBorders>
            <w:shd w:val="clear" w:color="auto" w:fill="auto"/>
            <w:noWrap/>
            <w:vAlign w:val="center"/>
            <w:hideMark/>
          </w:tcPr>
          <w:p w14:paraId="0956225E" w14:textId="77777777" w:rsidR="007D395A" w:rsidRPr="00E56A09" w:rsidRDefault="007D395A" w:rsidP="00EA0940">
            <w:pPr>
              <w:pStyle w:val="Table-Text"/>
              <w:spacing w:line="240" w:lineRule="auto"/>
              <w:contextualSpacing/>
            </w:pPr>
            <w:r w:rsidRPr="00E56A09">
              <w:t>Kincaid</w:t>
            </w:r>
          </w:p>
        </w:tc>
        <w:tc>
          <w:tcPr>
            <w:tcW w:w="308" w:type="pct"/>
            <w:tcBorders>
              <w:top w:val="nil"/>
              <w:left w:val="nil"/>
              <w:bottom w:val="single" w:sz="4" w:space="0" w:color="auto"/>
              <w:right w:val="single" w:sz="4" w:space="0" w:color="auto"/>
            </w:tcBorders>
            <w:shd w:val="clear" w:color="auto" w:fill="auto"/>
            <w:noWrap/>
            <w:vAlign w:val="center"/>
            <w:hideMark/>
          </w:tcPr>
          <w:p w14:paraId="48712E90" w14:textId="77777777" w:rsidR="007D395A" w:rsidRPr="00E56A09" w:rsidRDefault="2CA6BA76" w:rsidP="3328C818">
            <w:pPr>
              <w:pStyle w:val="Table-Text"/>
              <w:spacing w:line="240" w:lineRule="auto"/>
              <w:contextualSpacing/>
              <w:jc w:val="center"/>
            </w:pPr>
            <w:r>
              <w:t>1</w:t>
            </w:r>
          </w:p>
        </w:tc>
        <w:tc>
          <w:tcPr>
            <w:tcW w:w="344" w:type="pct"/>
            <w:tcBorders>
              <w:top w:val="nil"/>
              <w:left w:val="nil"/>
              <w:bottom w:val="single" w:sz="4" w:space="0" w:color="auto"/>
              <w:right w:val="single" w:sz="4" w:space="0" w:color="auto"/>
            </w:tcBorders>
            <w:shd w:val="clear" w:color="auto" w:fill="auto"/>
            <w:noWrap/>
            <w:vAlign w:val="center"/>
            <w:hideMark/>
          </w:tcPr>
          <w:p w14:paraId="39142FEA" w14:textId="77777777" w:rsidR="007D395A" w:rsidRPr="00E56A09" w:rsidRDefault="2CA6BA76" w:rsidP="3328C818">
            <w:pPr>
              <w:pStyle w:val="Table-Text"/>
              <w:spacing w:line="240" w:lineRule="auto"/>
              <w:contextualSpacing/>
              <w:jc w:val="center"/>
            </w:pPr>
            <w:r>
              <w:t>808</w:t>
            </w:r>
          </w:p>
        </w:tc>
        <w:tc>
          <w:tcPr>
            <w:tcW w:w="597" w:type="pct"/>
            <w:tcBorders>
              <w:top w:val="nil"/>
              <w:left w:val="nil"/>
              <w:bottom w:val="single" w:sz="4" w:space="0" w:color="auto"/>
              <w:right w:val="single" w:sz="4" w:space="0" w:color="auto"/>
            </w:tcBorders>
            <w:shd w:val="clear" w:color="auto" w:fill="auto"/>
            <w:noWrap/>
            <w:vAlign w:val="center"/>
            <w:hideMark/>
          </w:tcPr>
          <w:p w14:paraId="567F0989" w14:textId="77777777" w:rsidR="007D395A" w:rsidRPr="00E56A09" w:rsidRDefault="2CA6BA76" w:rsidP="3328C818">
            <w:pPr>
              <w:pStyle w:val="Table-Text"/>
              <w:spacing w:line="240" w:lineRule="auto"/>
              <w:contextualSpacing/>
              <w:jc w:val="center"/>
            </w:pPr>
            <w:r>
              <w:t>0.093</w:t>
            </w:r>
          </w:p>
        </w:tc>
        <w:tc>
          <w:tcPr>
            <w:tcW w:w="567" w:type="pct"/>
            <w:tcBorders>
              <w:top w:val="nil"/>
              <w:left w:val="nil"/>
              <w:bottom w:val="single" w:sz="4" w:space="0" w:color="auto"/>
              <w:right w:val="single" w:sz="4" w:space="0" w:color="auto"/>
            </w:tcBorders>
            <w:shd w:val="clear" w:color="auto" w:fill="auto"/>
            <w:noWrap/>
            <w:vAlign w:val="center"/>
            <w:hideMark/>
          </w:tcPr>
          <w:p w14:paraId="629DAB54" w14:textId="77777777" w:rsidR="007D395A" w:rsidRPr="00E56A09" w:rsidRDefault="007D395A" w:rsidP="00EA0940">
            <w:pPr>
              <w:pStyle w:val="Table-Text"/>
              <w:spacing w:line="240" w:lineRule="auto"/>
              <w:contextualSpacing/>
            </w:pPr>
            <w:r w:rsidRPr="00E56A09">
              <w:t>17,366,842</w:t>
            </w:r>
          </w:p>
        </w:tc>
        <w:tc>
          <w:tcPr>
            <w:tcW w:w="1031" w:type="pct"/>
            <w:tcBorders>
              <w:top w:val="nil"/>
              <w:left w:val="nil"/>
              <w:bottom w:val="single" w:sz="4" w:space="0" w:color="auto"/>
              <w:right w:val="single" w:sz="4" w:space="0" w:color="auto"/>
            </w:tcBorders>
            <w:shd w:val="clear" w:color="auto" w:fill="auto"/>
            <w:noWrap/>
            <w:vAlign w:val="center"/>
            <w:hideMark/>
          </w:tcPr>
          <w:p w14:paraId="55C29832" w14:textId="77777777" w:rsidR="007D395A" w:rsidRPr="00E56A09" w:rsidRDefault="007D395A" w:rsidP="00EA0940">
            <w:pPr>
              <w:pStyle w:val="Table-Text"/>
              <w:spacing w:line="240" w:lineRule="auto"/>
              <w:contextualSpacing/>
            </w:pPr>
            <w:r w:rsidRPr="00E56A09">
              <w:t>Cyclone boiler</w:t>
            </w:r>
          </w:p>
        </w:tc>
        <w:tc>
          <w:tcPr>
            <w:tcW w:w="1180" w:type="pct"/>
            <w:tcBorders>
              <w:top w:val="nil"/>
              <w:left w:val="nil"/>
              <w:bottom w:val="single" w:sz="4" w:space="0" w:color="auto"/>
              <w:right w:val="single" w:sz="8" w:space="0" w:color="auto"/>
            </w:tcBorders>
            <w:shd w:val="clear" w:color="auto" w:fill="auto"/>
            <w:noWrap/>
            <w:vAlign w:val="center"/>
            <w:hideMark/>
          </w:tcPr>
          <w:p w14:paraId="25559879" w14:textId="77777777" w:rsidR="007D395A" w:rsidRPr="00E56A09" w:rsidRDefault="007D395A" w:rsidP="00EA0940">
            <w:pPr>
              <w:pStyle w:val="Table-Text"/>
              <w:spacing w:line="240" w:lineRule="auto"/>
              <w:contextualSpacing/>
            </w:pPr>
            <w:r w:rsidRPr="00E56A09">
              <w:t>Electrostatic Precipitator</w:t>
            </w:r>
          </w:p>
        </w:tc>
      </w:tr>
      <w:tr w:rsidR="007D395A" w:rsidRPr="00E56A09" w14:paraId="64C35818"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7427184D" w14:textId="77777777" w:rsidR="007D395A" w:rsidRPr="00E56A09" w:rsidRDefault="2CA6BA76" w:rsidP="3328C818">
            <w:pPr>
              <w:pStyle w:val="Table-Text"/>
              <w:spacing w:line="240" w:lineRule="auto"/>
              <w:contextualSpacing/>
              <w:jc w:val="center"/>
            </w:pPr>
            <w:r>
              <w:t>IL</w:t>
            </w:r>
          </w:p>
        </w:tc>
        <w:tc>
          <w:tcPr>
            <w:tcW w:w="658" w:type="pct"/>
            <w:tcBorders>
              <w:top w:val="nil"/>
              <w:left w:val="nil"/>
              <w:bottom w:val="single" w:sz="4" w:space="0" w:color="auto"/>
              <w:right w:val="single" w:sz="4" w:space="0" w:color="auto"/>
            </w:tcBorders>
            <w:shd w:val="clear" w:color="auto" w:fill="auto"/>
            <w:noWrap/>
            <w:vAlign w:val="center"/>
            <w:hideMark/>
          </w:tcPr>
          <w:p w14:paraId="1ADC3A89" w14:textId="77777777" w:rsidR="007D395A" w:rsidRPr="00E56A09" w:rsidRDefault="007D395A" w:rsidP="00EA0940">
            <w:pPr>
              <w:pStyle w:val="Table-Text"/>
              <w:spacing w:line="240" w:lineRule="auto"/>
              <w:contextualSpacing/>
            </w:pPr>
            <w:r w:rsidRPr="00E56A09">
              <w:t>Waukegan</w:t>
            </w:r>
          </w:p>
        </w:tc>
        <w:tc>
          <w:tcPr>
            <w:tcW w:w="308" w:type="pct"/>
            <w:tcBorders>
              <w:top w:val="nil"/>
              <w:left w:val="nil"/>
              <w:bottom w:val="single" w:sz="4" w:space="0" w:color="auto"/>
              <w:right w:val="single" w:sz="4" w:space="0" w:color="auto"/>
            </w:tcBorders>
            <w:shd w:val="clear" w:color="auto" w:fill="auto"/>
            <w:noWrap/>
            <w:vAlign w:val="center"/>
            <w:hideMark/>
          </w:tcPr>
          <w:p w14:paraId="0DBE574A" w14:textId="77777777" w:rsidR="007D395A" w:rsidRPr="00E56A09" w:rsidRDefault="2CA6BA76" w:rsidP="3328C818">
            <w:pPr>
              <w:pStyle w:val="Table-Text"/>
              <w:spacing w:line="240" w:lineRule="auto"/>
              <w:contextualSpacing/>
              <w:jc w:val="center"/>
            </w:pPr>
            <w:r>
              <w:t>7</w:t>
            </w:r>
          </w:p>
        </w:tc>
        <w:tc>
          <w:tcPr>
            <w:tcW w:w="344" w:type="pct"/>
            <w:tcBorders>
              <w:top w:val="nil"/>
              <w:left w:val="nil"/>
              <w:bottom w:val="single" w:sz="4" w:space="0" w:color="auto"/>
              <w:right w:val="single" w:sz="4" w:space="0" w:color="auto"/>
            </w:tcBorders>
            <w:shd w:val="clear" w:color="auto" w:fill="auto"/>
            <w:noWrap/>
            <w:vAlign w:val="center"/>
            <w:hideMark/>
          </w:tcPr>
          <w:p w14:paraId="5A276A3A" w14:textId="77777777" w:rsidR="007D395A" w:rsidRPr="00E56A09" w:rsidRDefault="2CA6BA76" w:rsidP="3328C818">
            <w:pPr>
              <w:pStyle w:val="Table-Text"/>
              <w:spacing w:line="240" w:lineRule="auto"/>
              <w:contextualSpacing/>
              <w:jc w:val="center"/>
            </w:pPr>
            <w:r>
              <w:t>501</w:t>
            </w:r>
          </w:p>
        </w:tc>
        <w:tc>
          <w:tcPr>
            <w:tcW w:w="597" w:type="pct"/>
            <w:tcBorders>
              <w:top w:val="nil"/>
              <w:left w:val="nil"/>
              <w:bottom w:val="single" w:sz="4" w:space="0" w:color="auto"/>
              <w:right w:val="single" w:sz="4" w:space="0" w:color="auto"/>
            </w:tcBorders>
            <w:shd w:val="clear" w:color="auto" w:fill="auto"/>
            <w:noWrap/>
            <w:vAlign w:val="center"/>
            <w:hideMark/>
          </w:tcPr>
          <w:p w14:paraId="352323B0" w14:textId="77777777" w:rsidR="007D395A" w:rsidRPr="00E56A09" w:rsidRDefault="2CA6BA76" w:rsidP="3328C818">
            <w:pPr>
              <w:pStyle w:val="Table-Text"/>
              <w:spacing w:line="240" w:lineRule="auto"/>
              <w:contextualSpacing/>
              <w:jc w:val="center"/>
            </w:pPr>
            <w:r>
              <w:t>0.095</w:t>
            </w:r>
          </w:p>
        </w:tc>
        <w:tc>
          <w:tcPr>
            <w:tcW w:w="567" w:type="pct"/>
            <w:tcBorders>
              <w:top w:val="nil"/>
              <w:left w:val="nil"/>
              <w:bottom w:val="single" w:sz="4" w:space="0" w:color="auto"/>
              <w:right w:val="single" w:sz="4" w:space="0" w:color="auto"/>
            </w:tcBorders>
            <w:shd w:val="clear" w:color="auto" w:fill="auto"/>
            <w:noWrap/>
            <w:vAlign w:val="center"/>
            <w:hideMark/>
          </w:tcPr>
          <w:p w14:paraId="201CF101" w14:textId="77777777" w:rsidR="007D395A" w:rsidRPr="00E56A09" w:rsidRDefault="007D395A" w:rsidP="00EA0940">
            <w:pPr>
              <w:pStyle w:val="Table-Text"/>
              <w:spacing w:line="240" w:lineRule="auto"/>
              <w:contextualSpacing/>
            </w:pPr>
            <w:r w:rsidRPr="00E56A09">
              <w:t>10,522,238</w:t>
            </w:r>
          </w:p>
        </w:tc>
        <w:tc>
          <w:tcPr>
            <w:tcW w:w="1031" w:type="pct"/>
            <w:tcBorders>
              <w:top w:val="nil"/>
              <w:left w:val="nil"/>
              <w:bottom w:val="single" w:sz="4" w:space="0" w:color="auto"/>
              <w:right w:val="single" w:sz="4" w:space="0" w:color="auto"/>
            </w:tcBorders>
            <w:shd w:val="clear" w:color="auto" w:fill="auto"/>
            <w:noWrap/>
            <w:vAlign w:val="center"/>
            <w:hideMark/>
          </w:tcPr>
          <w:p w14:paraId="11567394" w14:textId="77777777" w:rsidR="007D395A" w:rsidRPr="00E56A09" w:rsidRDefault="007D395A" w:rsidP="00EA0940">
            <w:pPr>
              <w:pStyle w:val="Table-Text"/>
              <w:spacing w:line="240" w:lineRule="auto"/>
              <w:contextualSpacing/>
            </w:pPr>
            <w:r w:rsidRPr="00E56A09">
              <w:t>Tangentially-fired</w:t>
            </w:r>
          </w:p>
        </w:tc>
        <w:tc>
          <w:tcPr>
            <w:tcW w:w="1180" w:type="pct"/>
            <w:tcBorders>
              <w:top w:val="nil"/>
              <w:left w:val="nil"/>
              <w:bottom w:val="single" w:sz="4" w:space="0" w:color="auto"/>
              <w:right w:val="single" w:sz="8" w:space="0" w:color="auto"/>
            </w:tcBorders>
            <w:shd w:val="clear" w:color="auto" w:fill="auto"/>
            <w:noWrap/>
            <w:vAlign w:val="center"/>
            <w:hideMark/>
          </w:tcPr>
          <w:p w14:paraId="3C9CC1CB" w14:textId="77777777" w:rsidR="007D395A" w:rsidRPr="00E56A09" w:rsidRDefault="007D395A" w:rsidP="00EA0940">
            <w:pPr>
              <w:pStyle w:val="Table-Text"/>
              <w:spacing w:line="240" w:lineRule="auto"/>
              <w:contextualSpacing/>
            </w:pPr>
            <w:r w:rsidRPr="00E56A09">
              <w:t>Electrostatic Precipitator</w:t>
            </w:r>
          </w:p>
        </w:tc>
      </w:tr>
      <w:tr w:rsidR="007D395A" w:rsidRPr="00E56A09" w14:paraId="616D8CBA"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35177845" w14:textId="77777777" w:rsidR="007D395A" w:rsidRPr="00E56A09" w:rsidRDefault="2CA6BA76" w:rsidP="3328C818">
            <w:pPr>
              <w:pStyle w:val="Table-Text"/>
              <w:spacing w:line="240" w:lineRule="auto"/>
              <w:contextualSpacing/>
              <w:jc w:val="center"/>
            </w:pPr>
            <w:r>
              <w:t>IL</w:t>
            </w:r>
          </w:p>
        </w:tc>
        <w:tc>
          <w:tcPr>
            <w:tcW w:w="658" w:type="pct"/>
            <w:tcBorders>
              <w:top w:val="nil"/>
              <w:left w:val="nil"/>
              <w:bottom w:val="single" w:sz="4" w:space="0" w:color="auto"/>
              <w:right w:val="single" w:sz="4" w:space="0" w:color="auto"/>
            </w:tcBorders>
            <w:shd w:val="clear" w:color="auto" w:fill="auto"/>
            <w:noWrap/>
            <w:vAlign w:val="center"/>
            <w:hideMark/>
          </w:tcPr>
          <w:p w14:paraId="606DC9F4" w14:textId="77777777" w:rsidR="007D395A" w:rsidRPr="00E56A09" w:rsidRDefault="007D395A" w:rsidP="00EA0940">
            <w:pPr>
              <w:pStyle w:val="Table-Text"/>
              <w:spacing w:line="240" w:lineRule="auto"/>
              <w:contextualSpacing/>
            </w:pPr>
            <w:proofErr w:type="spellStart"/>
            <w:r w:rsidRPr="00E56A09">
              <w:t>Powerton</w:t>
            </w:r>
            <w:proofErr w:type="spellEnd"/>
          </w:p>
        </w:tc>
        <w:tc>
          <w:tcPr>
            <w:tcW w:w="308" w:type="pct"/>
            <w:tcBorders>
              <w:top w:val="nil"/>
              <w:left w:val="nil"/>
              <w:bottom w:val="single" w:sz="4" w:space="0" w:color="auto"/>
              <w:right w:val="single" w:sz="4" w:space="0" w:color="auto"/>
            </w:tcBorders>
            <w:shd w:val="clear" w:color="auto" w:fill="auto"/>
            <w:noWrap/>
            <w:vAlign w:val="center"/>
            <w:hideMark/>
          </w:tcPr>
          <w:p w14:paraId="6EE97C24" w14:textId="77777777" w:rsidR="007D395A" w:rsidRPr="00E56A09" w:rsidRDefault="2CA6BA76" w:rsidP="3328C818">
            <w:pPr>
              <w:pStyle w:val="Table-Text"/>
              <w:spacing w:line="240" w:lineRule="auto"/>
              <w:contextualSpacing/>
              <w:jc w:val="center"/>
            </w:pPr>
            <w:r>
              <w:t>62</w:t>
            </w:r>
          </w:p>
        </w:tc>
        <w:tc>
          <w:tcPr>
            <w:tcW w:w="344" w:type="pct"/>
            <w:tcBorders>
              <w:top w:val="nil"/>
              <w:left w:val="nil"/>
              <w:bottom w:val="single" w:sz="4" w:space="0" w:color="auto"/>
              <w:right w:val="single" w:sz="4" w:space="0" w:color="auto"/>
            </w:tcBorders>
            <w:shd w:val="clear" w:color="auto" w:fill="auto"/>
            <w:noWrap/>
            <w:vAlign w:val="center"/>
            <w:hideMark/>
          </w:tcPr>
          <w:p w14:paraId="0E4C5D81" w14:textId="77777777" w:rsidR="007D395A" w:rsidRPr="00E56A09" w:rsidRDefault="2CA6BA76" w:rsidP="3328C818">
            <w:pPr>
              <w:pStyle w:val="Table-Text"/>
              <w:spacing w:line="240" w:lineRule="auto"/>
              <w:contextualSpacing/>
              <w:jc w:val="center"/>
            </w:pPr>
            <w:r>
              <w:t>278</w:t>
            </w:r>
          </w:p>
        </w:tc>
        <w:tc>
          <w:tcPr>
            <w:tcW w:w="597" w:type="pct"/>
            <w:tcBorders>
              <w:top w:val="nil"/>
              <w:left w:val="nil"/>
              <w:bottom w:val="single" w:sz="4" w:space="0" w:color="auto"/>
              <w:right w:val="single" w:sz="4" w:space="0" w:color="auto"/>
            </w:tcBorders>
            <w:shd w:val="clear" w:color="auto" w:fill="auto"/>
            <w:noWrap/>
            <w:vAlign w:val="center"/>
            <w:hideMark/>
          </w:tcPr>
          <w:p w14:paraId="22ABCB0C" w14:textId="77777777" w:rsidR="007D395A" w:rsidRPr="00E56A09" w:rsidRDefault="2CA6BA76" w:rsidP="3328C818">
            <w:pPr>
              <w:pStyle w:val="Table-Text"/>
              <w:spacing w:line="240" w:lineRule="auto"/>
              <w:contextualSpacing/>
              <w:jc w:val="center"/>
            </w:pPr>
            <w:r>
              <w:t>0.109</w:t>
            </w:r>
          </w:p>
        </w:tc>
        <w:tc>
          <w:tcPr>
            <w:tcW w:w="567" w:type="pct"/>
            <w:tcBorders>
              <w:top w:val="nil"/>
              <w:left w:val="nil"/>
              <w:bottom w:val="single" w:sz="4" w:space="0" w:color="auto"/>
              <w:right w:val="single" w:sz="4" w:space="0" w:color="auto"/>
            </w:tcBorders>
            <w:shd w:val="clear" w:color="auto" w:fill="auto"/>
            <w:noWrap/>
            <w:vAlign w:val="center"/>
            <w:hideMark/>
          </w:tcPr>
          <w:p w14:paraId="33995324" w14:textId="77777777" w:rsidR="007D395A" w:rsidRPr="00E56A09" w:rsidRDefault="007D395A" w:rsidP="00EA0940">
            <w:pPr>
              <w:pStyle w:val="Table-Text"/>
              <w:spacing w:line="240" w:lineRule="auto"/>
              <w:contextualSpacing/>
            </w:pPr>
            <w:r w:rsidRPr="00E56A09">
              <w:t>5,084,619</w:t>
            </w:r>
          </w:p>
        </w:tc>
        <w:tc>
          <w:tcPr>
            <w:tcW w:w="1031" w:type="pct"/>
            <w:tcBorders>
              <w:top w:val="nil"/>
              <w:left w:val="nil"/>
              <w:bottom w:val="single" w:sz="4" w:space="0" w:color="auto"/>
              <w:right w:val="single" w:sz="4" w:space="0" w:color="auto"/>
            </w:tcBorders>
            <w:shd w:val="clear" w:color="auto" w:fill="auto"/>
            <w:noWrap/>
            <w:vAlign w:val="center"/>
            <w:hideMark/>
          </w:tcPr>
          <w:p w14:paraId="1C17665F" w14:textId="77777777" w:rsidR="007D395A" w:rsidRPr="00E56A09" w:rsidRDefault="007D395A" w:rsidP="00EA0940">
            <w:pPr>
              <w:pStyle w:val="Table-Text"/>
              <w:spacing w:line="240" w:lineRule="auto"/>
              <w:contextualSpacing/>
            </w:pPr>
            <w:r w:rsidRPr="00E56A09">
              <w:t>Cyclone boiler</w:t>
            </w:r>
          </w:p>
        </w:tc>
        <w:tc>
          <w:tcPr>
            <w:tcW w:w="1180" w:type="pct"/>
            <w:tcBorders>
              <w:top w:val="nil"/>
              <w:left w:val="nil"/>
              <w:bottom w:val="single" w:sz="4" w:space="0" w:color="auto"/>
              <w:right w:val="single" w:sz="8" w:space="0" w:color="auto"/>
            </w:tcBorders>
            <w:shd w:val="clear" w:color="auto" w:fill="auto"/>
            <w:noWrap/>
            <w:vAlign w:val="center"/>
            <w:hideMark/>
          </w:tcPr>
          <w:p w14:paraId="48BEF944" w14:textId="77777777" w:rsidR="007D395A" w:rsidRPr="00E56A09" w:rsidRDefault="007D395A" w:rsidP="00EA0940">
            <w:pPr>
              <w:pStyle w:val="Table-Text"/>
              <w:spacing w:line="240" w:lineRule="auto"/>
              <w:contextualSpacing/>
            </w:pPr>
            <w:r w:rsidRPr="00E56A09">
              <w:t>Electrostatic Precipitator</w:t>
            </w:r>
          </w:p>
        </w:tc>
      </w:tr>
      <w:tr w:rsidR="007D395A" w:rsidRPr="00E56A09" w14:paraId="01A5B739"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2BCB268" w14:textId="77777777" w:rsidR="007D395A" w:rsidRPr="00E56A09" w:rsidRDefault="2CA6BA76" w:rsidP="3328C818">
            <w:pPr>
              <w:pStyle w:val="Table-Text"/>
              <w:spacing w:line="240" w:lineRule="auto"/>
              <w:contextualSpacing/>
              <w:jc w:val="center"/>
            </w:pPr>
            <w:r>
              <w:t>IL</w:t>
            </w:r>
          </w:p>
        </w:tc>
        <w:tc>
          <w:tcPr>
            <w:tcW w:w="658" w:type="pct"/>
            <w:tcBorders>
              <w:top w:val="nil"/>
              <w:left w:val="nil"/>
              <w:bottom w:val="single" w:sz="4" w:space="0" w:color="auto"/>
              <w:right w:val="single" w:sz="4" w:space="0" w:color="auto"/>
            </w:tcBorders>
            <w:shd w:val="clear" w:color="auto" w:fill="auto"/>
            <w:noWrap/>
            <w:vAlign w:val="center"/>
            <w:hideMark/>
          </w:tcPr>
          <w:p w14:paraId="5C151CC4" w14:textId="77777777" w:rsidR="007D395A" w:rsidRPr="00E56A09" w:rsidRDefault="007D395A" w:rsidP="00EA0940">
            <w:pPr>
              <w:pStyle w:val="Table-Text"/>
              <w:spacing w:line="240" w:lineRule="auto"/>
              <w:contextualSpacing/>
            </w:pPr>
            <w:proofErr w:type="spellStart"/>
            <w:r w:rsidRPr="00E56A09">
              <w:t>Powerton</w:t>
            </w:r>
            <w:proofErr w:type="spellEnd"/>
          </w:p>
        </w:tc>
        <w:tc>
          <w:tcPr>
            <w:tcW w:w="308" w:type="pct"/>
            <w:tcBorders>
              <w:top w:val="nil"/>
              <w:left w:val="nil"/>
              <w:bottom w:val="single" w:sz="4" w:space="0" w:color="auto"/>
              <w:right w:val="single" w:sz="4" w:space="0" w:color="auto"/>
            </w:tcBorders>
            <w:shd w:val="clear" w:color="auto" w:fill="auto"/>
            <w:noWrap/>
            <w:vAlign w:val="center"/>
            <w:hideMark/>
          </w:tcPr>
          <w:p w14:paraId="30FD7501" w14:textId="77777777" w:rsidR="007D395A" w:rsidRPr="00E56A09" w:rsidRDefault="2CA6BA76" w:rsidP="3328C818">
            <w:pPr>
              <w:pStyle w:val="Table-Text"/>
              <w:spacing w:line="240" w:lineRule="auto"/>
              <w:contextualSpacing/>
              <w:jc w:val="center"/>
            </w:pPr>
            <w:r>
              <w:t>61</w:t>
            </w:r>
          </w:p>
        </w:tc>
        <w:tc>
          <w:tcPr>
            <w:tcW w:w="344" w:type="pct"/>
            <w:tcBorders>
              <w:top w:val="nil"/>
              <w:left w:val="nil"/>
              <w:bottom w:val="single" w:sz="4" w:space="0" w:color="auto"/>
              <w:right w:val="single" w:sz="4" w:space="0" w:color="auto"/>
            </w:tcBorders>
            <w:shd w:val="clear" w:color="auto" w:fill="auto"/>
            <w:noWrap/>
            <w:vAlign w:val="center"/>
            <w:hideMark/>
          </w:tcPr>
          <w:p w14:paraId="067E6D20" w14:textId="77777777" w:rsidR="007D395A" w:rsidRPr="00E56A09" w:rsidRDefault="2CA6BA76" w:rsidP="3328C818">
            <w:pPr>
              <w:pStyle w:val="Table-Text"/>
              <w:spacing w:line="240" w:lineRule="auto"/>
              <w:contextualSpacing/>
              <w:jc w:val="center"/>
            </w:pPr>
            <w:r>
              <w:t>304</w:t>
            </w:r>
          </w:p>
        </w:tc>
        <w:tc>
          <w:tcPr>
            <w:tcW w:w="597" w:type="pct"/>
            <w:tcBorders>
              <w:top w:val="nil"/>
              <w:left w:val="nil"/>
              <w:bottom w:val="single" w:sz="4" w:space="0" w:color="auto"/>
              <w:right w:val="single" w:sz="4" w:space="0" w:color="auto"/>
            </w:tcBorders>
            <w:shd w:val="clear" w:color="auto" w:fill="auto"/>
            <w:noWrap/>
            <w:vAlign w:val="center"/>
            <w:hideMark/>
          </w:tcPr>
          <w:p w14:paraId="3B2D1C39" w14:textId="77777777" w:rsidR="007D395A" w:rsidRPr="00E56A09" w:rsidRDefault="2CA6BA76" w:rsidP="3328C818">
            <w:pPr>
              <w:pStyle w:val="Table-Text"/>
              <w:spacing w:line="240" w:lineRule="auto"/>
              <w:contextualSpacing/>
              <w:jc w:val="center"/>
            </w:pPr>
            <w:r>
              <w:t>0.111</w:t>
            </w:r>
          </w:p>
        </w:tc>
        <w:tc>
          <w:tcPr>
            <w:tcW w:w="567" w:type="pct"/>
            <w:tcBorders>
              <w:top w:val="nil"/>
              <w:left w:val="nil"/>
              <w:bottom w:val="single" w:sz="4" w:space="0" w:color="auto"/>
              <w:right w:val="single" w:sz="4" w:space="0" w:color="auto"/>
            </w:tcBorders>
            <w:shd w:val="clear" w:color="auto" w:fill="auto"/>
            <w:noWrap/>
            <w:vAlign w:val="center"/>
            <w:hideMark/>
          </w:tcPr>
          <w:p w14:paraId="4CA08801" w14:textId="77777777" w:rsidR="007D395A" w:rsidRPr="00E56A09" w:rsidRDefault="007D395A" w:rsidP="00EA0940">
            <w:pPr>
              <w:pStyle w:val="Table-Text"/>
              <w:spacing w:line="240" w:lineRule="auto"/>
              <w:contextualSpacing/>
            </w:pPr>
            <w:r w:rsidRPr="00E56A09">
              <w:t>5,502,464</w:t>
            </w:r>
          </w:p>
        </w:tc>
        <w:tc>
          <w:tcPr>
            <w:tcW w:w="1031" w:type="pct"/>
            <w:tcBorders>
              <w:top w:val="nil"/>
              <w:left w:val="nil"/>
              <w:bottom w:val="single" w:sz="4" w:space="0" w:color="auto"/>
              <w:right w:val="single" w:sz="4" w:space="0" w:color="auto"/>
            </w:tcBorders>
            <w:shd w:val="clear" w:color="auto" w:fill="auto"/>
            <w:noWrap/>
            <w:vAlign w:val="center"/>
            <w:hideMark/>
          </w:tcPr>
          <w:p w14:paraId="458E6B46" w14:textId="77777777" w:rsidR="007D395A" w:rsidRPr="00E56A09" w:rsidRDefault="007D395A" w:rsidP="00EA0940">
            <w:pPr>
              <w:pStyle w:val="Table-Text"/>
              <w:spacing w:line="240" w:lineRule="auto"/>
              <w:contextualSpacing/>
            </w:pPr>
            <w:r w:rsidRPr="00E56A09">
              <w:t>Cyclone boiler</w:t>
            </w:r>
          </w:p>
        </w:tc>
        <w:tc>
          <w:tcPr>
            <w:tcW w:w="1180" w:type="pct"/>
            <w:tcBorders>
              <w:top w:val="nil"/>
              <w:left w:val="nil"/>
              <w:bottom w:val="single" w:sz="4" w:space="0" w:color="auto"/>
              <w:right w:val="single" w:sz="8" w:space="0" w:color="auto"/>
            </w:tcBorders>
            <w:shd w:val="clear" w:color="auto" w:fill="auto"/>
            <w:noWrap/>
            <w:vAlign w:val="center"/>
            <w:hideMark/>
          </w:tcPr>
          <w:p w14:paraId="03B63F44" w14:textId="77777777" w:rsidR="007D395A" w:rsidRPr="00E56A09" w:rsidRDefault="007D395A" w:rsidP="00EA0940">
            <w:pPr>
              <w:pStyle w:val="Table-Text"/>
              <w:spacing w:line="240" w:lineRule="auto"/>
              <w:contextualSpacing/>
            </w:pPr>
            <w:r w:rsidRPr="00E56A09">
              <w:t>Electrostatic Precipitator</w:t>
            </w:r>
          </w:p>
        </w:tc>
      </w:tr>
      <w:tr w:rsidR="007D395A" w:rsidRPr="00E56A09" w14:paraId="5D40C414" w14:textId="77777777" w:rsidTr="3328C818">
        <w:trPr>
          <w:trHeight w:hRule="exact" w:val="288"/>
        </w:trPr>
        <w:tc>
          <w:tcPr>
            <w:tcW w:w="316" w:type="pct"/>
            <w:tcBorders>
              <w:top w:val="nil"/>
              <w:left w:val="single" w:sz="8" w:space="0" w:color="auto"/>
              <w:bottom w:val="single" w:sz="4" w:space="0" w:color="auto"/>
              <w:right w:val="single" w:sz="4" w:space="0" w:color="auto"/>
            </w:tcBorders>
            <w:shd w:val="clear" w:color="auto" w:fill="auto"/>
            <w:noWrap/>
            <w:vAlign w:val="center"/>
            <w:hideMark/>
          </w:tcPr>
          <w:p w14:paraId="4D72BCEE" w14:textId="77777777" w:rsidR="007D395A" w:rsidRPr="00E56A09" w:rsidRDefault="2CA6BA76" w:rsidP="3328C818">
            <w:pPr>
              <w:pStyle w:val="Table-Text"/>
              <w:spacing w:line="240" w:lineRule="auto"/>
              <w:contextualSpacing/>
              <w:jc w:val="center"/>
            </w:pPr>
            <w:r>
              <w:t>LA</w:t>
            </w:r>
          </w:p>
        </w:tc>
        <w:tc>
          <w:tcPr>
            <w:tcW w:w="658" w:type="pct"/>
            <w:tcBorders>
              <w:top w:val="nil"/>
              <w:left w:val="nil"/>
              <w:bottom w:val="single" w:sz="4" w:space="0" w:color="auto"/>
              <w:right w:val="single" w:sz="4" w:space="0" w:color="auto"/>
            </w:tcBorders>
            <w:shd w:val="clear" w:color="auto" w:fill="auto"/>
            <w:noWrap/>
            <w:vAlign w:val="center"/>
            <w:hideMark/>
          </w:tcPr>
          <w:p w14:paraId="45C6CB48" w14:textId="77777777" w:rsidR="007D395A" w:rsidRPr="00E56A09" w:rsidRDefault="007D395A" w:rsidP="00EA0940">
            <w:pPr>
              <w:pStyle w:val="Table-Text"/>
              <w:spacing w:line="240" w:lineRule="auto"/>
              <w:contextualSpacing/>
            </w:pPr>
            <w:r w:rsidRPr="00E56A09">
              <w:t>Big Cajun 2</w:t>
            </w:r>
          </w:p>
        </w:tc>
        <w:tc>
          <w:tcPr>
            <w:tcW w:w="308" w:type="pct"/>
            <w:tcBorders>
              <w:top w:val="nil"/>
              <w:left w:val="nil"/>
              <w:bottom w:val="single" w:sz="4" w:space="0" w:color="auto"/>
              <w:right w:val="single" w:sz="4" w:space="0" w:color="auto"/>
            </w:tcBorders>
            <w:shd w:val="clear" w:color="auto" w:fill="auto"/>
            <w:noWrap/>
            <w:vAlign w:val="center"/>
            <w:hideMark/>
          </w:tcPr>
          <w:p w14:paraId="76715FC5" w14:textId="77777777" w:rsidR="007D395A" w:rsidRPr="00E56A09" w:rsidRDefault="2CA6BA76" w:rsidP="3328C818">
            <w:pPr>
              <w:pStyle w:val="Table-Text"/>
              <w:spacing w:line="240" w:lineRule="auto"/>
              <w:contextualSpacing/>
              <w:jc w:val="center"/>
            </w:pPr>
            <w:r>
              <w:t>2B1</w:t>
            </w:r>
          </w:p>
        </w:tc>
        <w:tc>
          <w:tcPr>
            <w:tcW w:w="344" w:type="pct"/>
            <w:tcBorders>
              <w:top w:val="nil"/>
              <w:left w:val="nil"/>
              <w:bottom w:val="single" w:sz="4" w:space="0" w:color="auto"/>
              <w:right w:val="single" w:sz="4" w:space="0" w:color="auto"/>
            </w:tcBorders>
            <w:shd w:val="clear" w:color="auto" w:fill="auto"/>
            <w:noWrap/>
            <w:vAlign w:val="center"/>
            <w:hideMark/>
          </w:tcPr>
          <w:p w14:paraId="767407DE" w14:textId="77777777" w:rsidR="007D395A" w:rsidRPr="00E56A09" w:rsidRDefault="2CA6BA76" w:rsidP="3328C818">
            <w:pPr>
              <w:pStyle w:val="Table-Text"/>
              <w:spacing w:line="240" w:lineRule="auto"/>
              <w:contextualSpacing/>
              <w:jc w:val="center"/>
            </w:pPr>
            <w:r>
              <w:t>1,203</w:t>
            </w:r>
          </w:p>
        </w:tc>
        <w:tc>
          <w:tcPr>
            <w:tcW w:w="597" w:type="pct"/>
            <w:tcBorders>
              <w:top w:val="nil"/>
              <w:left w:val="nil"/>
              <w:bottom w:val="single" w:sz="4" w:space="0" w:color="auto"/>
              <w:right w:val="single" w:sz="4" w:space="0" w:color="auto"/>
            </w:tcBorders>
            <w:shd w:val="clear" w:color="auto" w:fill="auto"/>
            <w:noWrap/>
            <w:vAlign w:val="center"/>
            <w:hideMark/>
          </w:tcPr>
          <w:p w14:paraId="5C5EC0DD" w14:textId="77777777" w:rsidR="007D395A" w:rsidRPr="00E56A09" w:rsidRDefault="2CA6BA76" w:rsidP="3328C818">
            <w:pPr>
              <w:pStyle w:val="Table-Text"/>
              <w:spacing w:line="240" w:lineRule="auto"/>
              <w:contextualSpacing/>
              <w:jc w:val="center"/>
            </w:pPr>
            <w:r>
              <w:t>0.342</w:t>
            </w:r>
          </w:p>
        </w:tc>
        <w:tc>
          <w:tcPr>
            <w:tcW w:w="567" w:type="pct"/>
            <w:tcBorders>
              <w:top w:val="nil"/>
              <w:left w:val="nil"/>
              <w:bottom w:val="single" w:sz="4" w:space="0" w:color="auto"/>
              <w:right w:val="single" w:sz="4" w:space="0" w:color="auto"/>
            </w:tcBorders>
            <w:shd w:val="clear" w:color="auto" w:fill="auto"/>
            <w:noWrap/>
            <w:vAlign w:val="center"/>
            <w:hideMark/>
          </w:tcPr>
          <w:p w14:paraId="3A19C9CF" w14:textId="77777777" w:rsidR="007D395A" w:rsidRPr="00E56A09" w:rsidRDefault="007D395A" w:rsidP="00EA0940">
            <w:pPr>
              <w:pStyle w:val="Table-Text"/>
              <w:spacing w:line="240" w:lineRule="auto"/>
              <w:contextualSpacing/>
            </w:pPr>
            <w:r w:rsidRPr="00E56A09">
              <w:t>7,032,558</w:t>
            </w:r>
          </w:p>
        </w:tc>
        <w:tc>
          <w:tcPr>
            <w:tcW w:w="1031" w:type="pct"/>
            <w:tcBorders>
              <w:top w:val="nil"/>
              <w:left w:val="nil"/>
              <w:bottom w:val="single" w:sz="4" w:space="0" w:color="auto"/>
              <w:right w:val="single" w:sz="4" w:space="0" w:color="auto"/>
            </w:tcBorders>
            <w:shd w:val="clear" w:color="auto" w:fill="auto"/>
            <w:noWrap/>
            <w:vAlign w:val="center"/>
            <w:hideMark/>
          </w:tcPr>
          <w:p w14:paraId="0A5FD6C8" w14:textId="77777777" w:rsidR="007D395A" w:rsidRPr="00E56A09" w:rsidRDefault="007D395A" w:rsidP="00EA0940">
            <w:pPr>
              <w:pStyle w:val="Table-Text"/>
              <w:spacing w:line="240" w:lineRule="auto"/>
              <w:contextualSpacing/>
            </w:pPr>
            <w:r w:rsidRPr="00E56A09">
              <w:t>Dry bottom wall-fired</w:t>
            </w:r>
          </w:p>
        </w:tc>
        <w:tc>
          <w:tcPr>
            <w:tcW w:w="1180" w:type="pct"/>
            <w:tcBorders>
              <w:top w:val="nil"/>
              <w:left w:val="nil"/>
              <w:bottom w:val="single" w:sz="4" w:space="0" w:color="auto"/>
              <w:right w:val="single" w:sz="8" w:space="0" w:color="auto"/>
            </w:tcBorders>
            <w:shd w:val="clear" w:color="auto" w:fill="auto"/>
            <w:noWrap/>
            <w:vAlign w:val="center"/>
            <w:hideMark/>
          </w:tcPr>
          <w:p w14:paraId="19BF5C33" w14:textId="77777777" w:rsidR="007D395A" w:rsidRPr="00E56A09" w:rsidRDefault="007D395A" w:rsidP="00EA0940">
            <w:pPr>
              <w:pStyle w:val="Table-Text"/>
              <w:spacing w:line="240" w:lineRule="auto"/>
              <w:contextualSpacing/>
            </w:pPr>
            <w:r w:rsidRPr="00E56A09">
              <w:t>Electrostatic Precipitator</w:t>
            </w:r>
          </w:p>
        </w:tc>
      </w:tr>
      <w:tr w:rsidR="007D395A" w:rsidRPr="00E56A09" w14:paraId="7811D4D8" w14:textId="77777777" w:rsidTr="3328C818">
        <w:trPr>
          <w:trHeight w:hRule="exact" w:val="288"/>
        </w:trPr>
        <w:tc>
          <w:tcPr>
            <w:tcW w:w="316" w:type="pct"/>
            <w:tcBorders>
              <w:top w:val="nil"/>
              <w:left w:val="single" w:sz="8" w:space="0" w:color="auto"/>
              <w:bottom w:val="single" w:sz="8" w:space="0" w:color="auto"/>
              <w:right w:val="single" w:sz="4" w:space="0" w:color="auto"/>
            </w:tcBorders>
            <w:shd w:val="clear" w:color="auto" w:fill="auto"/>
            <w:noWrap/>
            <w:vAlign w:val="center"/>
            <w:hideMark/>
          </w:tcPr>
          <w:p w14:paraId="18AF0BE9" w14:textId="77777777" w:rsidR="007D395A" w:rsidRPr="00E56A09" w:rsidRDefault="2CA6BA76" w:rsidP="3328C818">
            <w:pPr>
              <w:pStyle w:val="Table-Text"/>
              <w:spacing w:line="240" w:lineRule="auto"/>
              <w:contextualSpacing/>
              <w:jc w:val="center"/>
            </w:pPr>
            <w:r>
              <w:t>OR</w:t>
            </w:r>
          </w:p>
        </w:tc>
        <w:tc>
          <w:tcPr>
            <w:tcW w:w="658" w:type="pct"/>
            <w:tcBorders>
              <w:top w:val="nil"/>
              <w:left w:val="nil"/>
              <w:bottom w:val="single" w:sz="8" w:space="0" w:color="auto"/>
              <w:right w:val="single" w:sz="4" w:space="0" w:color="auto"/>
            </w:tcBorders>
            <w:shd w:val="clear" w:color="auto" w:fill="auto"/>
            <w:noWrap/>
            <w:vAlign w:val="center"/>
            <w:hideMark/>
          </w:tcPr>
          <w:p w14:paraId="0E68988E" w14:textId="77777777" w:rsidR="007D395A" w:rsidRPr="00E56A09" w:rsidRDefault="007D395A" w:rsidP="00EA0940">
            <w:pPr>
              <w:pStyle w:val="Table-Text"/>
              <w:spacing w:line="240" w:lineRule="auto"/>
              <w:contextualSpacing/>
            </w:pPr>
            <w:r w:rsidRPr="00E56A09">
              <w:t>Boardman</w:t>
            </w:r>
          </w:p>
        </w:tc>
        <w:tc>
          <w:tcPr>
            <w:tcW w:w="308" w:type="pct"/>
            <w:tcBorders>
              <w:top w:val="nil"/>
              <w:left w:val="nil"/>
              <w:bottom w:val="single" w:sz="8" w:space="0" w:color="auto"/>
              <w:right w:val="single" w:sz="4" w:space="0" w:color="auto"/>
            </w:tcBorders>
            <w:shd w:val="clear" w:color="auto" w:fill="auto"/>
            <w:noWrap/>
            <w:vAlign w:val="center"/>
            <w:hideMark/>
          </w:tcPr>
          <w:p w14:paraId="5DB127D2" w14:textId="77777777" w:rsidR="007D395A" w:rsidRPr="00E56A09" w:rsidRDefault="2CA6BA76" w:rsidP="3328C818">
            <w:pPr>
              <w:pStyle w:val="Table-Text"/>
              <w:spacing w:line="240" w:lineRule="auto"/>
              <w:contextualSpacing/>
              <w:jc w:val="center"/>
            </w:pPr>
            <w:r>
              <w:t>1SG</w:t>
            </w:r>
          </w:p>
        </w:tc>
        <w:tc>
          <w:tcPr>
            <w:tcW w:w="344" w:type="pct"/>
            <w:tcBorders>
              <w:top w:val="nil"/>
              <w:left w:val="nil"/>
              <w:bottom w:val="single" w:sz="8" w:space="0" w:color="auto"/>
              <w:right w:val="single" w:sz="4" w:space="0" w:color="auto"/>
            </w:tcBorders>
            <w:shd w:val="clear" w:color="auto" w:fill="auto"/>
            <w:noWrap/>
            <w:vAlign w:val="center"/>
            <w:hideMark/>
          </w:tcPr>
          <w:p w14:paraId="705191E1" w14:textId="77777777" w:rsidR="007D395A" w:rsidRPr="00E56A09" w:rsidRDefault="007D395A" w:rsidP="3328C818">
            <w:pPr>
              <w:pStyle w:val="Table-Text"/>
              <w:spacing w:line="240" w:lineRule="auto"/>
              <w:contextualSpacing/>
              <w:jc w:val="center"/>
            </w:pPr>
          </w:p>
        </w:tc>
        <w:tc>
          <w:tcPr>
            <w:tcW w:w="597" w:type="pct"/>
            <w:tcBorders>
              <w:top w:val="nil"/>
              <w:left w:val="nil"/>
              <w:bottom w:val="single" w:sz="8" w:space="0" w:color="auto"/>
              <w:right w:val="single" w:sz="4" w:space="0" w:color="auto"/>
            </w:tcBorders>
            <w:shd w:val="clear" w:color="auto" w:fill="auto"/>
            <w:noWrap/>
            <w:vAlign w:val="center"/>
            <w:hideMark/>
          </w:tcPr>
          <w:p w14:paraId="045668D7" w14:textId="77777777" w:rsidR="007D395A" w:rsidRPr="00E56A09" w:rsidRDefault="007D395A" w:rsidP="3328C818">
            <w:pPr>
              <w:pStyle w:val="Table-Text"/>
              <w:spacing w:line="240" w:lineRule="auto"/>
              <w:contextualSpacing/>
              <w:jc w:val="center"/>
            </w:pPr>
          </w:p>
        </w:tc>
        <w:tc>
          <w:tcPr>
            <w:tcW w:w="567" w:type="pct"/>
            <w:tcBorders>
              <w:top w:val="nil"/>
              <w:left w:val="nil"/>
              <w:bottom w:val="single" w:sz="8" w:space="0" w:color="auto"/>
              <w:right w:val="single" w:sz="4" w:space="0" w:color="auto"/>
            </w:tcBorders>
            <w:shd w:val="clear" w:color="auto" w:fill="auto"/>
            <w:noWrap/>
            <w:vAlign w:val="center"/>
            <w:hideMark/>
          </w:tcPr>
          <w:p w14:paraId="0200BC94" w14:textId="77777777" w:rsidR="007D395A" w:rsidRPr="00E56A09" w:rsidRDefault="007D395A" w:rsidP="00EA0940">
            <w:pPr>
              <w:pStyle w:val="Table-Text"/>
              <w:spacing w:line="240" w:lineRule="auto"/>
              <w:contextualSpacing/>
            </w:pPr>
          </w:p>
        </w:tc>
        <w:tc>
          <w:tcPr>
            <w:tcW w:w="1031" w:type="pct"/>
            <w:tcBorders>
              <w:top w:val="nil"/>
              <w:left w:val="nil"/>
              <w:bottom w:val="single" w:sz="8" w:space="0" w:color="auto"/>
              <w:right w:val="single" w:sz="4" w:space="0" w:color="auto"/>
            </w:tcBorders>
            <w:shd w:val="clear" w:color="auto" w:fill="auto"/>
            <w:noWrap/>
            <w:vAlign w:val="center"/>
            <w:hideMark/>
          </w:tcPr>
          <w:p w14:paraId="714F1D47" w14:textId="77777777" w:rsidR="007D395A" w:rsidRPr="00E56A09" w:rsidRDefault="007D395A" w:rsidP="00EA0940">
            <w:pPr>
              <w:pStyle w:val="Table-Text"/>
              <w:spacing w:line="240" w:lineRule="auto"/>
              <w:contextualSpacing/>
            </w:pPr>
            <w:r w:rsidRPr="00E56A09">
              <w:t>Dry bottom wall-fired</w:t>
            </w:r>
          </w:p>
        </w:tc>
        <w:tc>
          <w:tcPr>
            <w:tcW w:w="1180" w:type="pct"/>
            <w:tcBorders>
              <w:top w:val="nil"/>
              <w:left w:val="nil"/>
              <w:bottom w:val="single" w:sz="8" w:space="0" w:color="auto"/>
              <w:right w:val="single" w:sz="8" w:space="0" w:color="auto"/>
            </w:tcBorders>
            <w:shd w:val="clear" w:color="auto" w:fill="auto"/>
            <w:noWrap/>
            <w:vAlign w:val="center"/>
            <w:hideMark/>
          </w:tcPr>
          <w:p w14:paraId="032330C0" w14:textId="77777777" w:rsidR="007D395A" w:rsidRPr="00E56A09" w:rsidRDefault="007D395A" w:rsidP="00EA0940">
            <w:pPr>
              <w:pStyle w:val="Table-Text"/>
              <w:spacing w:line="240" w:lineRule="auto"/>
              <w:contextualSpacing/>
            </w:pPr>
            <w:r w:rsidRPr="00E56A09">
              <w:t>Electrostatic Precipitator</w:t>
            </w:r>
          </w:p>
        </w:tc>
      </w:tr>
    </w:tbl>
    <w:p w14:paraId="21EA3AC0" w14:textId="77777777" w:rsidR="007D395A" w:rsidRDefault="007D395A" w:rsidP="00B1738B">
      <w:pPr>
        <w:pStyle w:val="Heading5"/>
        <w:spacing w:line="240" w:lineRule="auto"/>
        <w:contextualSpacing/>
      </w:pPr>
    </w:p>
    <w:p w14:paraId="464A2779" w14:textId="4E8A123B" w:rsidR="00867FDB" w:rsidRDefault="00867FDB" w:rsidP="00B1738B">
      <w:pPr>
        <w:pStyle w:val="Heading5"/>
        <w:spacing w:line="240" w:lineRule="auto"/>
        <w:contextualSpacing/>
      </w:pPr>
      <w:r>
        <w:t>Control Equipment Life</w:t>
      </w:r>
    </w:p>
    <w:p w14:paraId="6CB0A98F" w14:textId="22236889" w:rsidR="00867FDB" w:rsidRDefault="00867FDB" w:rsidP="00B1738B">
      <w:pPr>
        <w:spacing w:line="240" w:lineRule="auto"/>
        <w:contextualSpacing/>
      </w:pPr>
      <w:r>
        <w:t xml:space="preserve">The NPS continues to recommend that SMBSC and MPCA follow CCM recommendations with respect to control equipment life for use in cost calculations. </w:t>
      </w:r>
    </w:p>
    <w:p w14:paraId="436E1B4C" w14:textId="77777777" w:rsidR="008A4839" w:rsidRDefault="008A4839" w:rsidP="00B1738B">
      <w:pPr>
        <w:spacing w:line="240" w:lineRule="auto"/>
        <w:contextualSpacing/>
      </w:pPr>
    </w:p>
    <w:p w14:paraId="083776F3" w14:textId="5AFBC9EF" w:rsidR="00867FDB" w:rsidRPr="000937B0" w:rsidRDefault="00867FDB" w:rsidP="00B1738B">
      <w:pPr>
        <w:spacing w:line="240" w:lineRule="auto"/>
        <w:contextualSpacing/>
        <w:rPr>
          <w:rStyle w:val="SubtleReference"/>
        </w:rPr>
      </w:pPr>
      <w:r w:rsidRPr="000937B0">
        <w:rPr>
          <w:rStyle w:val="SubtleReference"/>
        </w:rPr>
        <w:t>Spray Dry Absorbers (SDA)</w:t>
      </w:r>
    </w:p>
    <w:p w14:paraId="0006C5CD" w14:textId="722DADF4" w:rsidR="00867FDB" w:rsidRDefault="00867FDB" w:rsidP="00B1738B">
      <w:pPr>
        <w:spacing w:line="240" w:lineRule="auto"/>
        <w:contextualSpacing/>
      </w:pPr>
      <w:r w:rsidRPr="00AD707F">
        <w:t xml:space="preserve">The 30-year life estimate </w:t>
      </w:r>
      <w:r>
        <w:t xml:space="preserve">that SMSBC objects to for SDA </w:t>
      </w:r>
      <w:r w:rsidRPr="00AD707F">
        <w:t xml:space="preserve">is </w:t>
      </w:r>
      <w:r>
        <w:t>not</w:t>
      </w:r>
      <w:r w:rsidRPr="00AD707F">
        <w:t xml:space="preserve"> a “best case scenario”</w:t>
      </w:r>
      <w:r>
        <w:t xml:space="preserve"> as they suggest.</w:t>
      </w:r>
      <w:r w:rsidRPr="00AD707F">
        <w:t xml:space="preserve"> For example, the CCM states:</w:t>
      </w:r>
      <w:r>
        <w:t xml:space="preserve"> </w:t>
      </w:r>
      <w:r w:rsidRPr="00AD707F">
        <w:rPr>
          <w:rStyle w:val="QuoteChar"/>
        </w:rPr>
        <w:t>Manufacturers reportedly design scrubbers to be as durable as boilers, which are generally designed to operate for more than 60 years.</w:t>
      </w:r>
      <w:r w:rsidRPr="00AD707F">
        <w:t xml:space="preserve"> </w:t>
      </w:r>
      <w:r>
        <w:t xml:space="preserve">NPS analyses relied on the </w:t>
      </w:r>
      <w:r w:rsidRPr="00AD707F">
        <w:t>CCM recommendation of a 30-year equipment life</w:t>
      </w:r>
      <w:r>
        <w:t>. This is likely conservative considering that the system</w:t>
      </w:r>
      <w:r w:rsidRPr="00AD707F">
        <w:t xml:space="preserve"> operates on a seasonal (314 day/</w:t>
      </w:r>
      <w:proofErr w:type="spellStart"/>
      <w:r w:rsidRPr="00AD707F">
        <w:t>yr</w:t>
      </w:r>
      <w:proofErr w:type="spellEnd"/>
      <w:r w:rsidRPr="00AD707F">
        <w:t xml:space="preserve">) basis. </w:t>
      </w:r>
      <w:r>
        <w:t>Nevertheless,</w:t>
      </w:r>
      <w:r w:rsidRPr="00AD707F">
        <w:t xml:space="preserve"> </w:t>
      </w:r>
      <w:r>
        <w:t xml:space="preserve">even </w:t>
      </w:r>
      <w:r w:rsidRPr="00AD707F">
        <w:t xml:space="preserve">assuming a 20-year DSI life, </w:t>
      </w:r>
      <w:r>
        <w:t>this control</w:t>
      </w:r>
      <w:r w:rsidRPr="00AD707F">
        <w:t xml:space="preserve"> </w:t>
      </w:r>
      <w:r w:rsidR="008A4839">
        <w:t>would still be</w:t>
      </w:r>
      <w:r w:rsidRPr="00AD707F">
        <w:t xml:space="preserve"> still </w:t>
      </w:r>
      <w:r>
        <w:t xml:space="preserve">quite </w:t>
      </w:r>
      <w:r w:rsidRPr="00AD707F">
        <w:t>cost-effective.</w:t>
      </w:r>
    </w:p>
    <w:p w14:paraId="6CE6633D" w14:textId="77777777" w:rsidR="008A4839" w:rsidRDefault="008A4839" w:rsidP="00B1738B">
      <w:pPr>
        <w:spacing w:line="240" w:lineRule="auto"/>
        <w:contextualSpacing/>
      </w:pPr>
    </w:p>
    <w:p w14:paraId="0DA4308B" w14:textId="411DF021" w:rsidR="00867FDB" w:rsidRPr="00412F70" w:rsidRDefault="00867FDB" w:rsidP="00B1738B">
      <w:pPr>
        <w:spacing w:line="240" w:lineRule="auto"/>
        <w:contextualSpacing/>
        <w:rPr>
          <w:rStyle w:val="SubtleReference"/>
        </w:rPr>
      </w:pPr>
      <w:r w:rsidRPr="00412F70">
        <w:rPr>
          <w:rStyle w:val="SubtleReference"/>
        </w:rPr>
        <w:t>Dry Sorbent Injection (DSI) and Baghouses</w:t>
      </w:r>
    </w:p>
    <w:p w14:paraId="493D7AA1" w14:textId="27EBE18D" w:rsidR="00867FDB" w:rsidRDefault="00867FDB" w:rsidP="00B1738B">
      <w:pPr>
        <w:spacing w:line="240" w:lineRule="auto"/>
        <w:contextualSpacing/>
      </w:pPr>
      <w:r>
        <w:t xml:space="preserve">SMSBC suggests that DSI relies on a baghouse as a “major critical component” and that baghouses have a typical equipment life of 20 years therefore making this the appropriate lifetime for a DSI system. However, a baghouse is </w:t>
      </w:r>
      <w:r w:rsidRPr="001C1086">
        <w:t xml:space="preserve">not integral to, </w:t>
      </w:r>
      <w:r>
        <w:t>or</w:t>
      </w:r>
      <w:r w:rsidRPr="001C1086">
        <w:t xml:space="preserve"> required for, a DSI system, so its life should not be equated to that of DSI. </w:t>
      </w:r>
      <w:r>
        <w:t xml:space="preserve">NPS analyses </w:t>
      </w:r>
      <w:r w:rsidRPr="001C1086">
        <w:t xml:space="preserve">assume that the 30-year </w:t>
      </w:r>
      <w:r w:rsidRPr="00A9462F">
        <w:t>SO</w:t>
      </w:r>
      <w:r w:rsidRPr="00A9462F">
        <w:rPr>
          <w:vertAlign w:val="subscript"/>
        </w:rPr>
        <w:t>2</w:t>
      </w:r>
      <w:r w:rsidRPr="001C1086">
        <w:t xml:space="preserve"> scrubber life would also apply to </w:t>
      </w:r>
      <w:r>
        <w:t>a</w:t>
      </w:r>
      <w:r w:rsidRPr="001C1086">
        <w:t xml:space="preserve"> relatively simple DSI system, and 20 years to a new baghouse.</w:t>
      </w:r>
    </w:p>
    <w:p w14:paraId="5DB138DB" w14:textId="1737CE6B" w:rsidR="00867FDB" w:rsidRDefault="00867FDB" w:rsidP="00B1738B">
      <w:pPr>
        <w:pStyle w:val="Heading4"/>
        <w:spacing w:line="240" w:lineRule="auto"/>
        <w:contextualSpacing/>
      </w:pPr>
      <w:r>
        <w:t>Statutory Factor 1: Cost of Compliance</w:t>
      </w:r>
    </w:p>
    <w:p w14:paraId="6C19E180" w14:textId="52850A2A" w:rsidR="00867FDB" w:rsidRDefault="00867FDB" w:rsidP="00B1738B">
      <w:pPr>
        <w:spacing w:line="240" w:lineRule="auto"/>
        <w:contextualSpacing/>
      </w:pPr>
      <w:r>
        <w:t>The</w:t>
      </w:r>
      <w:r w:rsidRPr="00E56A09">
        <w:t xml:space="preserve"> vendor estimate </w:t>
      </w:r>
      <w:r>
        <w:t>relied on by SMBSC is not included in the SIP and the NPS</w:t>
      </w:r>
      <w:r w:rsidRPr="00E56A09">
        <w:t xml:space="preserve"> cannot comment upon its usefulness. The cost methodology </w:t>
      </w:r>
      <w:r>
        <w:t xml:space="preserve">for estimates provided </w:t>
      </w:r>
      <w:r w:rsidRPr="00E56A09">
        <w:t>by SMBSC is of unknown origin</w:t>
      </w:r>
      <w:r>
        <w:t xml:space="preserve">. It appears that </w:t>
      </w:r>
      <w:r w:rsidRPr="00E56A09">
        <w:t xml:space="preserve">all values associated with operating costs are </w:t>
      </w:r>
      <w:r>
        <w:t>general</w:t>
      </w:r>
      <w:r w:rsidRPr="00E56A09">
        <w:t xml:space="preserve"> </w:t>
      </w:r>
      <w:r>
        <w:t>(</w:t>
      </w:r>
      <w:r w:rsidRPr="00E56A09">
        <w:t xml:space="preserve">not specific to this </w:t>
      </w:r>
      <w:r>
        <w:t>site) and may be inflated</w:t>
      </w:r>
      <w:r w:rsidRPr="00E56A09">
        <w:t xml:space="preserve">. </w:t>
      </w:r>
      <w:r>
        <w:t>The NPS recommends that</w:t>
      </w:r>
      <w:r w:rsidRPr="00E56A09">
        <w:t xml:space="preserve"> SMBSC </w:t>
      </w:r>
      <w:r>
        <w:t xml:space="preserve">use </w:t>
      </w:r>
      <w:r w:rsidRPr="00E56A09">
        <w:t>established methods</w:t>
      </w:r>
      <w:r>
        <w:t xml:space="preserve"> and present documentation to support a robust analysis</w:t>
      </w:r>
      <w:r w:rsidRPr="00E56A09">
        <w:t>.</w:t>
      </w:r>
    </w:p>
    <w:p w14:paraId="3B4C11F7" w14:textId="77777777" w:rsidR="008A4839" w:rsidRPr="00E56A09" w:rsidRDefault="008A4839" w:rsidP="00B1738B">
      <w:pPr>
        <w:spacing w:line="240" w:lineRule="auto"/>
        <w:contextualSpacing/>
      </w:pPr>
    </w:p>
    <w:p w14:paraId="15A8866D" w14:textId="011AD476" w:rsidR="00867FDB" w:rsidRDefault="00867FDB" w:rsidP="007D395A">
      <w:pPr>
        <w:spacing w:line="240" w:lineRule="auto"/>
        <w:contextualSpacing/>
      </w:pPr>
      <w:bookmarkStart w:id="31" w:name="_Hlk101250745"/>
      <w:r>
        <w:t xml:space="preserve">MPCA and </w:t>
      </w:r>
      <w:r w:rsidRPr="00E56A09">
        <w:t xml:space="preserve">SMBSC </w:t>
      </w:r>
      <w:r>
        <w:t>could improve this analysis by explaining the rational for requiring replacement of</w:t>
      </w:r>
      <w:r w:rsidRPr="00E56A09">
        <w:t xml:space="preserve"> the existing electrostatic precipitator (ESP) with a new baghouse</w:t>
      </w:r>
      <w:r>
        <w:t xml:space="preserve">. This may be an unnecessary expense because </w:t>
      </w:r>
      <w:r w:rsidRPr="00E56A09">
        <w:t xml:space="preserve">the IPM DSI models include both ESPs and baghouses. Further, EPA’s Clean Air Markets data for 2021 </w:t>
      </w:r>
      <w:r w:rsidR="007D395A">
        <w:t xml:space="preserve">(in Table </w:t>
      </w:r>
      <w:r w:rsidR="00E9301C">
        <w:t>8</w:t>
      </w:r>
      <w:r w:rsidR="007D395A">
        <w:t xml:space="preserve">) </w:t>
      </w:r>
      <w:r w:rsidRPr="00E56A09">
        <w:t>includes several coal-fired Electric Generating Units (EGUs) with DSI and ESPs.</w:t>
      </w:r>
      <w:bookmarkEnd w:id="31"/>
      <w:r w:rsidR="007D395A" w:rsidRPr="00E56A09">
        <w:t xml:space="preserve"> </w:t>
      </w:r>
    </w:p>
    <w:p w14:paraId="77CCDF99" w14:textId="77777777" w:rsidR="007D395A" w:rsidRPr="00E56A09" w:rsidRDefault="007D395A" w:rsidP="007D395A">
      <w:pPr>
        <w:spacing w:line="240" w:lineRule="auto"/>
        <w:contextualSpacing/>
      </w:pPr>
    </w:p>
    <w:p w14:paraId="7D39C023" w14:textId="783D5810" w:rsidR="00867FDB" w:rsidRDefault="00867FDB" w:rsidP="00B1738B">
      <w:pPr>
        <w:spacing w:line="240" w:lineRule="auto"/>
        <w:contextualSpacing/>
      </w:pPr>
      <w:r>
        <w:t xml:space="preserve">NPS analysis </w:t>
      </w:r>
      <w:r w:rsidRPr="00E56A09">
        <w:t xml:space="preserve">used the CCM to estimate ESP operating cost savings (see ESP workbook) if the ESP is replaced. ESP purchased equipment costs </w:t>
      </w:r>
      <w:r>
        <w:t xml:space="preserve">were scaled </w:t>
      </w:r>
      <w:r w:rsidRPr="00E56A09">
        <w:t xml:space="preserve">up from the CCM example using the six-tenths power rule based upon gas flow provided by SMBSC. </w:t>
      </w:r>
      <w:r>
        <w:t>O</w:t>
      </w:r>
      <w:r w:rsidRPr="00E56A09">
        <w:t xml:space="preserve">ther costs </w:t>
      </w:r>
      <w:r>
        <w:t xml:space="preserve">were scaled </w:t>
      </w:r>
      <w:r w:rsidRPr="00E56A09">
        <w:t xml:space="preserve">up based upon a simple gas flow ratio. </w:t>
      </w:r>
      <w:r>
        <w:t>The</w:t>
      </w:r>
      <w:r w:rsidRPr="00E56A09">
        <w:t xml:space="preserve"> CEPCI 20</w:t>
      </w:r>
      <w:r w:rsidR="008A4839">
        <w:t>19</w:t>
      </w:r>
      <w:r w:rsidRPr="00E56A09">
        <w:t xml:space="preserve">/1987 ratio </w:t>
      </w:r>
      <w:r>
        <w:t xml:space="preserve">was applied </w:t>
      </w:r>
      <w:r w:rsidRPr="00E56A09">
        <w:t xml:space="preserve">to estimate total capital investment. </w:t>
      </w:r>
      <w:r>
        <w:t>Demolition</w:t>
      </w:r>
      <w:r w:rsidRPr="00E56A09">
        <w:t xml:space="preserve"> of the ESP would be about $200,000 (based on estimates for ACS</w:t>
      </w:r>
      <w:r w:rsidR="005303DA">
        <w:t>C</w:t>
      </w:r>
      <w:r w:rsidRPr="00E56A09">
        <w:t xml:space="preserve">) and </w:t>
      </w:r>
      <w:r w:rsidR="007D395A">
        <w:t>the</w:t>
      </w:r>
      <w:r w:rsidRPr="00E56A09">
        <w:t xml:space="preserve"> </w:t>
      </w:r>
      <w:r>
        <w:t>estimated savings on</w:t>
      </w:r>
      <w:r w:rsidRPr="00E56A09">
        <w:t xml:space="preserve"> ESP operating costs would be over $700,000/yr.</w:t>
      </w:r>
    </w:p>
    <w:p w14:paraId="52FD3630" w14:textId="77777777" w:rsidR="00B441E5" w:rsidRPr="00E56A09" w:rsidRDefault="00B441E5" w:rsidP="00B1738B">
      <w:pPr>
        <w:spacing w:line="240" w:lineRule="auto"/>
        <w:contextualSpacing/>
      </w:pPr>
    </w:p>
    <w:p w14:paraId="59C35EA3" w14:textId="436130D5" w:rsidR="00867FDB" w:rsidRDefault="00867FDB" w:rsidP="00B1738B">
      <w:pPr>
        <w:spacing w:line="240" w:lineRule="auto"/>
        <w:contextualSpacing/>
      </w:pPr>
      <w:r>
        <w:t>T</w:t>
      </w:r>
      <w:r w:rsidRPr="00E56A09">
        <w:t xml:space="preserve">he CCM </w:t>
      </w:r>
      <w:r>
        <w:t xml:space="preserve">was used </w:t>
      </w:r>
      <w:r w:rsidRPr="00E56A09">
        <w:t xml:space="preserve">to estimate baghouse costs (see baghouse workbook). </w:t>
      </w:r>
      <w:r>
        <w:t>S</w:t>
      </w:r>
      <w:r w:rsidRPr="00E56A09">
        <w:t xml:space="preserve">ome baghouse purchased equipment costs </w:t>
      </w:r>
      <w:r>
        <w:t xml:space="preserve">were scaled </w:t>
      </w:r>
      <w:r w:rsidRPr="00E56A09">
        <w:t xml:space="preserve">up from the CCM example using the six-tenths power rule based upon gas flow provided by SMBSC. </w:t>
      </w:r>
      <w:r>
        <w:t>O</w:t>
      </w:r>
      <w:r w:rsidRPr="00E56A09">
        <w:t xml:space="preserve">ther equipment costs </w:t>
      </w:r>
      <w:r>
        <w:t xml:space="preserve">were scaled </w:t>
      </w:r>
      <w:r w:rsidRPr="00E56A09">
        <w:t xml:space="preserve">up based upon a simple gas flow ratio. </w:t>
      </w:r>
      <w:r>
        <w:t>T</w:t>
      </w:r>
      <w:r w:rsidRPr="00E56A09">
        <w:t>he CEPCI 20</w:t>
      </w:r>
      <w:r w:rsidR="008A4839">
        <w:t>19</w:t>
      </w:r>
      <w:r w:rsidRPr="00E56A09">
        <w:t xml:space="preserve">/1998 ratio </w:t>
      </w:r>
      <w:r>
        <w:t xml:space="preserve">was applied </w:t>
      </w:r>
      <w:r w:rsidRPr="00E56A09">
        <w:t xml:space="preserve">to estimate total capital investment. </w:t>
      </w:r>
    </w:p>
    <w:p w14:paraId="4DA9463C" w14:textId="77777777" w:rsidR="00B441E5" w:rsidRPr="00E56A09" w:rsidRDefault="00B441E5" w:rsidP="00B1738B">
      <w:pPr>
        <w:spacing w:line="240" w:lineRule="auto"/>
        <w:contextualSpacing/>
      </w:pPr>
    </w:p>
    <w:p w14:paraId="59479FBF" w14:textId="700351E7" w:rsidR="00867FDB" w:rsidRDefault="00867FDB" w:rsidP="00B1738B">
      <w:pPr>
        <w:spacing w:line="240" w:lineRule="auto"/>
        <w:contextualSpacing/>
      </w:pPr>
      <w:r w:rsidRPr="00E56A09">
        <w:t xml:space="preserve">For DSI, </w:t>
      </w:r>
      <w:r>
        <w:t>NPS analyses</w:t>
      </w:r>
      <w:r w:rsidRPr="00E56A09">
        <w:t xml:space="preserve"> used the S&amp;L IPM models and evaluated scenarios in which hydrated lime or milled trona was used in conjunction with the existing ESP or a new baghouse. </w:t>
      </w:r>
      <w:r>
        <w:t xml:space="preserve">The NPS </w:t>
      </w:r>
      <w:r w:rsidRPr="00E56A09">
        <w:t xml:space="preserve">also evaluated SDA/CDS (which includes the cost of a new baghouse) and Wet FGD using the CCM workbook. </w:t>
      </w:r>
    </w:p>
    <w:p w14:paraId="4A6A0101" w14:textId="77777777" w:rsidR="007D395A" w:rsidRPr="00E56A09" w:rsidRDefault="007D395A" w:rsidP="00B1738B">
      <w:pPr>
        <w:spacing w:line="240" w:lineRule="auto"/>
        <w:contextualSpacing/>
      </w:pPr>
    </w:p>
    <w:p w14:paraId="3F840329" w14:textId="0CAFB05E" w:rsidR="00867FDB" w:rsidRDefault="00867FDB" w:rsidP="00B1738B">
      <w:pPr>
        <w:tabs>
          <w:tab w:val="left" w:pos="930"/>
        </w:tabs>
        <w:spacing w:line="240" w:lineRule="auto"/>
        <w:contextualSpacing/>
      </w:pPr>
      <w:r>
        <w:t xml:space="preserve">NPS review finds that </w:t>
      </w:r>
      <w:r w:rsidRPr="00E56A09">
        <w:t xml:space="preserve">SMBSC </w:t>
      </w:r>
      <w:r w:rsidR="007D395A">
        <w:t>(</w:t>
      </w:r>
      <w:r w:rsidRPr="00E56A09">
        <w:t>and MPCA</w:t>
      </w:r>
      <w:r w:rsidR="007D395A">
        <w:t>)</w:t>
      </w:r>
      <w:r w:rsidRPr="00E56A09">
        <w:t xml:space="preserve"> appear to have used an obsolete method to estimate costs of adding a SDA. The current CCM SDA/CDS model includes a new baghouse in its cost estimates. Finally, if the existing ESP is removed, </w:t>
      </w:r>
      <w:r>
        <w:t xml:space="preserve">thorough </w:t>
      </w:r>
      <w:r w:rsidR="00610850">
        <w:t xml:space="preserve">cost </w:t>
      </w:r>
      <w:r>
        <w:t>estimation requires</w:t>
      </w:r>
      <w:r w:rsidRPr="00E56A09">
        <w:t xml:space="preserve"> deduct</w:t>
      </w:r>
      <w:r>
        <w:t>ing</w:t>
      </w:r>
      <w:r w:rsidRPr="00E56A09">
        <w:t xml:space="preserve"> its operating costs from those of its replacement and add</w:t>
      </w:r>
      <w:r>
        <w:t>ing</w:t>
      </w:r>
      <w:r w:rsidRPr="00E56A09">
        <w:t xml:space="preserve"> demolition costs. </w:t>
      </w:r>
    </w:p>
    <w:p w14:paraId="6E05E978" w14:textId="77777777" w:rsidR="00610850" w:rsidRPr="00E56A09" w:rsidRDefault="00610850" w:rsidP="00B1738B">
      <w:pPr>
        <w:tabs>
          <w:tab w:val="left" w:pos="930"/>
        </w:tabs>
        <w:spacing w:line="240" w:lineRule="auto"/>
        <w:contextualSpacing/>
      </w:pPr>
    </w:p>
    <w:p w14:paraId="7DE37E08" w14:textId="79E7BC36" w:rsidR="00867FDB" w:rsidRDefault="00867FDB" w:rsidP="00B1738B">
      <w:pPr>
        <w:spacing w:line="240" w:lineRule="auto"/>
        <w:contextualSpacing/>
        <w:rPr>
          <w:bCs/>
          <w:i/>
          <w:iCs/>
          <w:color w:val="44546A" w:themeColor="text2"/>
          <w:sz w:val="22"/>
          <w:szCs w:val="18"/>
        </w:rPr>
      </w:pPr>
      <w:r>
        <w:t>NPS analyses</w:t>
      </w:r>
      <w:r w:rsidRPr="00E56A09">
        <w:t xml:space="preserve"> assumed that a new baghouse could be installed inside of the shell of the existing ESP or within its footprint and would not incur an extra retrofit penalty. Likewise, a SDA/CDS system </w:t>
      </w:r>
      <w:r w:rsidR="007D395A">
        <w:t>might</w:t>
      </w:r>
      <w:r w:rsidRPr="00E56A09">
        <w:t xml:space="preserve"> be installed within the footprint of the existing ESP with no additional retrofit penalty. $200,000</w:t>
      </w:r>
      <w:r>
        <w:t xml:space="preserve"> was added</w:t>
      </w:r>
      <w:r w:rsidRPr="00E56A09">
        <w:t xml:space="preserve"> to the capital cost of replacing the ESP with a baghouse to account for demolition costs and annual ESP operating costs</w:t>
      </w:r>
      <w:r>
        <w:t xml:space="preserve"> were subtracted</w:t>
      </w:r>
      <w:r w:rsidRPr="00E56A09">
        <w:t xml:space="preserve">. </w:t>
      </w:r>
      <w:r>
        <w:t>NPS calculations used</w:t>
      </w:r>
      <w:r w:rsidRPr="00E56A09">
        <w:t xml:space="preserve"> equipment lives of 30 years for </w:t>
      </w:r>
      <w:r w:rsidRPr="00A9462F">
        <w:t>SO</w:t>
      </w:r>
      <w:r w:rsidRPr="00A9462F">
        <w:rPr>
          <w:vertAlign w:val="subscript"/>
        </w:rPr>
        <w:t>2</w:t>
      </w:r>
      <w:r w:rsidRPr="00E56A09">
        <w:t xml:space="preserve"> scrubbers and 20 years for a new baghouse. </w:t>
      </w:r>
    </w:p>
    <w:p w14:paraId="6A1B0F56" w14:textId="77777777" w:rsidR="00610850" w:rsidRDefault="00610850" w:rsidP="00B1738B">
      <w:pPr>
        <w:spacing w:line="240" w:lineRule="auto"/>
        <w:contextualSpacing/>
      </w:pPr>
    </w:p>
    <w:p w14:paraId="1FD1B074" w14:textId="4B0DC3BD" w:rsidR="00867FDB" w:rsidRPr="00E56A09" w:rsidRDefault="00867FDB" w:rsidP="00B1738B">
      <w:pPr>
        <w:spacing w:line="240" w:lineRule="auto"/>
        <w:contextualSpacing/>
      </w:pPr>
      <w:r>
        <w:t xml:space="preserve">NPS </w:t>
      </w:r>
      <w:r w:rsidRPr="00A9462F">
        <w:t>SO</w:t>
      </w:r>
      <w:r w:rsidRPr="00A9462F">
        <w:rPr>
          <w:vertAlign w:val="subscript"/>
        </w:rPr>
        <w:t>2</w:t>
      </w:r>
      <w:r>
        <w:t xml:space="preserve"> control cost estimates </w:t>
      </w:r>
      <w:r w:rsidRPr="00E56A09">
        <w:t xml:space="preserve">(see workbooks for details) indicate that milled trona with a new baghouse and SDA/CDS are the best options. The SDA/CDS option could remove </w:t>
      </w:r>
      <w:r w:rsidR="00AB4123">
        <w:t>70</w:t>
      </w:r>
      <w:r w:rsidRPr="00E56A09">
        <w:t xml:space="preserve">0 </w:t>
      </w:r>
      <w:proofErr w:type="spellStart"/>
      <w:r w:rsidRPr="00E56A09">
        <w:t>tpy</w:t>
      </w:r>
      <w:proofErr w:type="spellEnd"/>
      <w:r w:rsidRPr="00E56A09">
        <w:t xml:space="preserve"> of </w:t>
      </w:r>
      <w:r w:rsidRPr="00A9462F">
        <w:t>SO</w:t>
      </w:r>
      <w:r w:rsidRPr="00A9462F">
        <w:rPr>
          <w:vertAlign w:val="subscript"/>
        </w:rPr>
        <w:t>2</w:t>
      </w:r>
      <w:r w:rsidRPr="00E56A09">
        <w:t xml:space="preserve"> at an annual cost of $</w:t>
      </w:r>
      <w:r w:rsidR="00AB4123">
        <w:t>4.5</w:t>
      </w:r>
      <w:r w:rsidRPr="00E56A09">
        <w:t xml:space="preserve"> million for a cost-effectiveness value of less than $</w:t>
      </w:r>
      <w:r w:rsidR="00AB4123">
        <w:t>6,500</w:t>
      </w:r>
      <w:r w:rsidRPr="00E56A09">
        <w:t>/ton.</w:t>
      </w:r>
    </w:p>
    <w:p w14:paraId="40B3A85E" w14:textId="77777777" w:rsidR="00B87564" w:rsidRPr="00E56A09" w:rsidRDefault="00B87564" w:rsidP="00B1738B">
      <w:pPr>
        <w:spacing w:line="240" w:lineRule="auto"/>
        <w:contextualSpacing/>
      </w:pPr>
    </w:p>
    <w:p w14:paraId="11E5D43B" w14:textId="544D747A" w:rsidR="00867FDB" w:rsidRDefault="00B87564" w:rsidP="00B87564">
      <w:pPr>
        <w:pStyle w:val="Caption"/>
      </w:pPr>
      <w:r>
        <w:t xml:space="preserve">Table </w:t>
      </w:r>
      <w:r>
        <w:fldChar w:fldCharType="begin"/>
      </w:r>
      <w:r>
        <w:instrText>SEQ Table \* ARABIC</w:instrText>
      </w:r>
      <w:r>
        <w:fldChar w:fldCharType="separate"/>
      </w:r>
      <w:r>
        <w:rPr>
          <w:noProof/>
        </w:rPr>
        <w:t>9</w:t>
      </w:r>
      <w:r>
        <w:fldChar w:fldCharType="end"/>
      </w:r>
      <w:r>
        <w:t xml:space="preserve">. </w:t>
      </w:r>
      <w:r w:rsidR="00867FDB">
        <w:t xml:space="preserve">NPS Evaluation of MPCA cost-effectiveness scenarios for SMBSC </w:t>
      </w:r>
      <w:r w:rsidR="00867FDB" w:rsidRPr="00A9462F">
        <w:t>SO</w:t>
      </w:r>
      <w:r w:rsidR="00867FDB" w:rsidRPr="00A9462F">
        <w:rPr>
          <w:vertAlign w:val="subscript"/>
        </w:rPr>
        <w:t>2</w:t>
      </w:r>
      <w:r w:rsidR="00867FDB">
        <w:t xml:space="preserve"> control options</w:t>
      </w:r>
    </w:p>
    <w:tbl>
      <w:tblPr>
        <w:tblW w:w="5000" w:type="pct"/>
        <w:tblLook w:val="04A0" w:firstRow="1" w:lastRow="0" w:firstColumn="1" w:lastColumn="0" w:noHBand="0" w:noVBand="1"/>
      </w:tblPr>
      <w:tblGrid>
        <w:gridCol w:w="2288"/>
        <w:gridCol w:w="1113"/>
        <w:gridCol w:w="1112"/>
        <w:gridCol w:w="1152"/>
        <w:gridCol w:w="1225"/>
        <w:gridCol w:w="1225"/>
        <w:gridCol w:w="1225"/>
      </w:tblGrid>
      <w:tr w:rsidR="00CE6335" w:rsidRPr="007D19C4" w14:paraId="21C4819B" w14:textId="77777777" w:rsidTr="3328C818">
        <w:trPr>
          <w:trHeight w:val="290"/>
        </w:trPr>
        <w:tc>
          <w:tcPr>
            <w:tcW w:w="2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28BAE69" w14:textId="77777777" w:rsidR="007D19C4" w:rsidRPr="009F114A" w:rsidRDefault="007D19C4" w:rsidP="009F114A">
            <w:pPr>
              <w:pStyle w:val="Table-Text"/>
              <w:rPr>
                <w:b/>
              </w:rPr>
            </w:pPr>
            <w:r w:rsidRPr="009F114A">
              <w:rPr>
                <w:b/>
              </w:rPr>
              <w:t>SMBS Boiler 1</w:t>
            </w:r>
          </w:p>
        </w:tc>
        <w:tc>
          <w:tcPr>
            <w:tcW w:w="1050" w:type="dxa"/>
            <w:tcBorders>
              <w:top w:val="single" w:sz="8" w:space="0" w:color="auto"/>
              <w:left w:val="nil"/>
              <w:bottom w:val="single" w:sz="4" w:space="0" w:color="auto"/>
              <w:right w:val="single" w:sz="4" w:space="0" w:color="auto"/>
            </w:tcBorders>
            <w:shd w:val="clear" w:color="auto" w:fill="auto"/>
            <w:noWrap/>
            <w:vAlign w:val="bottom"/>
            <w:hideMark/>
          </w:tcPr>
          <w:p w14:paraId="03AED2A8" w14:textId="77777777" w:rsidR="007D19C4" w:rsidRPr="009F114A" w:rsidRDefault="007D19C4" w:rsidP="009F114A">
            <w:pPr>
              <w:pStyle w:val="Table-Text"/>
              <w:rPr>
                <w:b/>
              </w:rPr>
            </w:pPr>
            <w:r w:rsidRPr="009F114A">
              <w:rPr>
                <w:b/>
              </w:rPr>
              <w:t>DSI w ESP</w:t>
            </w:r>
          </w:p>
        </w:tc>
        <w:tc>
          <w:tcPr>
            <w:tcW w:w="1049" w:type="dxa"/>
            <w:tcBorders>
              <w:top w:val="single" w:sz="8" w:space="0" w:color="auto"/>
              <w:left w:val="nil"/>
              <w:bottom w:val="single" w:sz="4" w:space="0" w:color="auto"/>
              <w:right w:val="single" w:sz="4" w:space="0" w:color="auto"/>
            </w:tcBorders>
            <w:shd w:val="clear" w:color="auto" w:fill="auto"/>
            <w:noWrap/>
            <w:vAlign w:val="bottom"/>
            <w:hideMark/>
          </w:tcPr>
          <w:p w14:paraId="64D428B5" w14:textId="77777777" w:rsidR="007D19C4" w:rsidRPr="009F114A" w:rsidRDefault="007D19C4" w:rsidP="009F114A">
            <w:pPr>
              <w:pStyle w:val="Table-Text"/>
              <w:rPr>
                <w:b/>
              </w:rPr>
            </w:pPr>
            <w:r w:rsidRPr="009F114A">
              <w:rPr>
                <w:b/>
              </w:rPr>
              <w:t>DSI w BGH</w:t>
            </w:r>
          </w:p>
        </w:tc>
        <w:tc>
          <w:tcPr>
            <w:tcW w:w="1087" w:type="dxa"/>
            <w:tcBorders>
              <w:top w:val="single" w:sz="8" w:space="0" w:color="auto"/>
              <w:left w:val="nil"/>
              <w:bottom w:val="single" w:sz="4" w:space="0" w:color="auto"/>
              <w:right w:val="single" w:sz="4" w:space="0" w:color="auto"/>
            </w:tcBorders>
            <w:shd w:val="clear" w:color="auto" w:fill="auto"/>
            <w:noWrap/>
            <w:vAlign w:val="bottom"/>
            <w:hideMark/>
          </w:tcPr>
          <w:p w14:paraId="3A2A9201" w14:textId="77777777" w:rsidR="007D19C4" w:rsidRPr="009F114A" w:rsidRDefault="007D19C4" w:rsidP="009F114A">
            <w:pPr>
              <w:pStyle w:val="Table-Text"/>
              <w:rPr>
                <w:b/>
              </w:rPr>
            </w:pPr>
            <w:r w:rsidRPr="009F114A">
              <w:rPr>
                <w:b/>
              </w:rPr>
              <w:t>DSI w ESP</w:t>
            </w:r>
          </w:p>
        </w:tc>
        <w:tc>
          <w:tcPr>
            <w:tcW w:w="1156" w:type="dxa"/>
            <w:tcBorders>
              <w:top w:val="single" w:sz="8" w:space="0" w:color="auto"/>
              <w:left w:val="nil"/>
              <w:bottom w:val="single" w:sz="4" w:space="0" w:color="auto"/>
              <w:right w:val="single" w:sz="4" w:space="0" w:color="auto"/>
            </w:tcBorders>
            <w:shd w:val="clear" w:color="auto" w:fill="auto"/>
            <w:noWrap/>
            <w:vAlign w:val="bottom"/>
            <w:hideMark/>
          </w:tcPr>
          <w:p w14:paraId="0E2FF992" w14:textId="77777777" w:rsidR="007D19C4" w:rsidRPr="009F114A" w:rsidRDefault="007D19C4" w:rsidP="009F114A">
            <w:pPr>
              <w:pStyle w:val="Table-Text"/>
              <w:rPr>
                <w:b/>
              </w:rPr>
            </w:pPr>
            <w:r w:rsidRPr="009F114A">
              <w:rPr>
                <w:b/>
              </w:rPr>
              <w:t>DSI w BGH</w:t>
            </w:r>
          </w:p>
        </w:tc>
        <w:tc>
          <w:tcPr>
            <w:tcW w:w="115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1861B45" w14:textId="77777777" w:rsidR="007D19C4" w:rsidRPr="009F114A" w:rsidRDefault="007D19C4" w:rsidP="009F114A">
            <w:pPr>
              <w:pStyle w:val="Table-Text"/>
              <w:rPr>
                <w:b/>
              </w:rPr>
            </w:pPr>
            <w:r w:rsidRPr="009F114A">
              <w:rPr>
                <w:b/>
              </w:rPr>
              <w:t>SDA/CDS</w:t>
            </w:r>
          </w:p>
        </w:tc>
        <w:tc>
          <w:tcPr>
            <w:tcW w:w="1156"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0D11FF9" w14:textId="77777777" w:rsidR="007D19C4" w:rsidRPr="009F114A" w:rsidRDefault="007D19C4" w:rsidP="009F114A">
            <w:pPr>
              <w:pStyle w:val="Table-Text"/>
              <w:rPr>
                <w:b/>
              </w:rPr>
            </w:pPr>
            <w:r w:rsidRPr="009F114A">
              <w:rPr>
                <w:b/>
              </w:rPr>
              <w:t>WFGD</w:t>
            </w:r>
          </w:p>
        </w:tc>
      </w:tr>
      <w:tr w:rsidR="00CE6335" w:rsidRPr="007D19C4" w14:paraId="7AAE3E47" w14:textId="77777777" w:rsidTr="3328C818">
        <w:trPr>
          <w:trHeight w:val="290"/>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0AACCB63" w14:textId="77777777" w:rsidR="007D19C4" w:rsidRPr="009F114A" w:rsidRDefault="0DE37B90" w:rsidP="3328C818">
            <w:pPr>
              <w:pStyle w:val="Table-Text"/>
              <w:rPr>
                <w:b/>
                <w:bCs/>
              </w:rPr>
            </w:pPr>
            <w:r w:rsidRPr="3328C818">
              <w:rPr>
                <w:b/>
                <w:bCs/>
              </w:rPr>
              <w:t>Control Technology</w:t>
            </w:r>
          </w:p>
        </w:tc>
        <w:tc>
          <w:tcPr>
            <w:tcW w:w="1050" w:type="dxa"/>
            <w:tcBorders>
              <w:top w:val="nil"/>
              <w:left w:val="nil"/>
              <w:bottom w:val="single" w:sz="4" w:space="0" w:color="auto"/>
              <w:right w:val="single" w:sz="4" w:space="0" w:color="auto"/>
            </w:tcBorders>
            <w:shd w:val="clear" w:color="auto" w:fill="auto"/>
            <w:noWrap/>
            <w:vAlign w:val="center"/>
            <w:hideMark/>
          </w:tcPr>
          <w:p w14:paraId="220351A9" w14:textId="77777777" w:rsidR="007D19C4" w:rsidRPr="009F114A" w:rsidRDefault="0DE37B90" w:rsidP="3328C818">
            <w:pPr>
              <w:pStyle w:val="Table-Text"/>
              <w:jc w:val="center"/>
              <w:rPr>
                <w:b/>
                <w:bCs/>
              </w:rPr>
            </w:pPr>
            <w:r w:rsidRPr="3328C818">
              <w:rPr>
                <w:b/>
                <w:bCs/>
              </w:rPr>
              <w:t>Hydrated Lime</w:t>
            </w:r>
          </w:p>
        </w:tc>
        <w:tc>
          <w:tcPr>
            <w:tcW w:w="1049" w:type="dxa"/>
            <w:tcBorders>
              <w:top w:val="nil"/>
              <w:left w:val="nil"/>
              <w:bottom w:val="single" w:sz="4" w:space="0" w:color="auto"/>
              <w:right w:val="single" w:sz="4" w:space="0" w:color="auto"/>
            </w:tcBorders>
            <w:shd w:val="clear" w:color="auto" w:fill="auto"/>
            <w:noWrap/>
            <w:vAlign w:val="center"/>
            <w:hideMark/>
          </w:tcPr>
          <w:p w14:paraId="746078D0" w14:textId="77777777" w:rsidR="007D19C4" w:rsidRPr="009F114A" w:rsidRDefault="0DE37B90" w:rsidP="3328C818">
            <w:pPr>
              <w:pStyle w:val="Table-Text"/>
              <w:jc w:val="center"/>
              <w:rPr>
                <w:b/>
                <w:bCs/>
              </w:rPr>
            </w:pPr>
            <w:r w:rsidRPr="3328C818">
              <w:rPr>
                <w:b/>
                <w:bCs/>
              </w:rPr>
              <w:t>Hydrated Lime</w:t>
            </w:r>
          </w:p>
        </w:tc>
        <w:tc>
          <w:tcPr>
            <w:tcW w:w="1087" w:type="dxa"/>
            <w:tcBorders>
              <w:top w:val="nil"/>
              <w:left w:val="nil"/>
              <w:bottom w:val="single" w:sz="4" w:space="0" w:color="auto"/>
              <w:right w:val="single" w:sz="4" w:space="0" w:color="auto"/>
            </w:tcBorders>
            <w:shd w:val="clear" w:color="auto" w:fill="auto"/>
            <w:noWrap/>
            <w:vAlign w:val="center"/>
            <w:hideMark/>
          </w:tcPr>
          <w:p w14:paraId="3407BB26" w14:textId="77777777" w:rsidR="007D19C4" w:rsidRPr="009F114A" w:rsidRDefault="0DE37B90" w:rsidP="3328C818">
            <w:pPr>
              <w:pStyle w:val="Table-Text"/>
              <w:jc w:val="center"/>
              <w:rPr>
                <w:b/>
                <w:bCs/>
              </w:rPr>
            </w:pPr>
            <w:r w:rsidRPr="3328C818">
              <w:rPr>
                <w:b/>
                <w:bCs/>
              </w:rPr>
              <w:t>Milled Trona</w:t>
            </w:r>
          </w:p>
        </w:tc>
        <w:tc>
          <w:tcPr>
            <w:tcW w:w="1156" w:type="dxa"/>
            <w:tcBorders>
              <w:top w:val="nil"/>
              <w:left w:val="nil"/>
              <w:bottom w:val="single" w:sz="4" w:space="0" w:color="auto"/>
              <w:right w:val="single" w:sz="4" w:space="0" w:color="auto"/>
            </w:tcBorders>
            <w:shd w:val="clear" w:color="auto" w:fill="auto"/>
            <w:noWrap/>
            <w:vAlign w:val="center"/>
            <w:hideMark/>
          </w:tcPr>
          <w:p w14:paraId="27A376C0" w14:textId="77777777" w:rsidR="007D19C4" w:rsidRPr="009F114A" w:rsidRDefault="0DE37B90" w:rsidP="3328C818">
            <w:pPr>
              <w:pStyle w:val="Table-Text"/>
              <w:jc w:val="center"/>
              <w:rPr>
                <w:b/>
                <w:bCs/>
              </w:rPr>
            </w:pPr>
            <w:r w:rsidRPr="3328C818">
              <w:rPr>
                <w:b/>
                <w:bCs/>
              </w:rPr>
              <w:t>Milled Trona</w:t>
            </w:r>
          </w:p>
        </w:tc>
        <w:tc>
          <w:tcPr>
            <w:tcW w:w="1156" w:type="dxa"/>
            <w:vMerge/>
            <w:vAlign w:val="center"/>
            <w:hideMark/>
          </w:tcPr>
          <w:p w14:paraId="450F6457" w14:textId="77777777" w:rsidR="007D19C4" w:rsidRPr="007D19C4" w:rsidRDefault="007D19C4" w:rsidP="009F114A">
            <w:pPr>
              <w:pStyle w:val="Table-Text"/>
            </w:pPr>
          </w:p>
        </w:tc>
        <w:tc>
          <w:tcPr>
            <w:tcW w:w="1156" w:type="dxa"/>
            <w:vMerge/>
            <w:vAlign w:val="center"/>
            <w:hideMark/>
          </w:tcPr>
          <w:p w14:paraId="7A89271B" w14:textId="77777777" w:rsidR="007D19C4" w:rsidRPr="007D19C4" w:rsidRDefault="007D19C4" w:rsidP="009F114A">
            <w:pPr>
              <w:pStyle w:val="Table-Text"/>
            </w:pPr>
          </w:p>
        </w:tc>
      </w:tr>
      <w:tr w:rsidR="00CE6335" w:rsidRPr="007D19C4" w14:paraId="475B97BA" w14:textId="77777777" w:rsidTr="3328C818">
        <w:trPr>
          <w:trHeight w:hRule="exact" w:val="288"/>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09981339" w14:textId="77777777" w:rsidR="007D19C4" w:rsidRPr="007D19C4" w:rsidRDefault="0DE37B90" w:rsidP="3328C818">
            <w:pPr>
              <w:pStyle w:val="Table-Text"/>
            </w:pPr>
            <w:r>
              <w:t>Capacity (MW)</w:t>
            </w:r>
          </w:p>
        </w:tc>
        <w:tc>
          <w:tcPr>
            <w:tcW w:w="1050" w:type="dxa"/>
            <w:tcBorders>
              <w:top w:val="nil"/>
              <w:left w:val="nil"/>
              <w:bottom w:val="single" w:sz="4" w:space="0" w:color="auto"/>
              <w:right w:val="single" w:sz="4" w:space="0" w:color="auto"/>
            </w:tcBorders>
            <w:shd w:val="clear" w:color="auto" w:fill="auto"/>
            <w:noWrap/>
            <w:vAlign w:val="center"/>
            <w:hideMark/>
          </w:tcPr>
          <w:p w14:paraId="2A2614B3" w14:textId="77777777" w:rsidR="007D19C4" w:rsidRPr="007D19C4" w:rsidRDefault="0DE37B90" w:rsidP="3328C818">
            <w:pPr>
              <w:pStyle w:val="Table-Text"/>
              <w:jc w:val="center"/>
            </w:pPr>
            <w:r>
              <w:t>47.24</w:t>
            </w:r>
          </w:p>
        </w:tc>
        <w:tc>
          <w:tcPr>
            <w:tcW w:w="1049" w:type="dxa"/>
            <w:tcBorders>
              <w:top w:val="nil"/>
              <w:left w:val="nil"/>
              <w:bottom w:val="single" w:sz="4" w:space="0" w:color="auto"/>
              <w:right w:val="single" w:sz="4" w:space="0" w:color="auto"/>
            </w:tcBorders>
            <w:shd w:val="clear" w:color="auto" w:fill="auto"/>
            <w:noWrap/>
            <w:vAlign w:val="center"/>
            <w:hideMark/>
          </w:tcPr>
          <w:p w14:paraId="11F4EA33" w14:textId="77777777" w:rsidR="007D19C4" w:rsidRPr="007D19C4" w:rsidRDefault="0DE37B90" w:rsidP="3328C818">
            <w:pPr>
              <w:pStyle w:val="Table-Text"/>
              <w:jc w:val="center"/>
            </w:pPr>
            <w:r>
              <w:t>47.24</w:t>
            </w:r>
          </w:p>
        </w:tc>
        <w:tc>
          <w:tcPr>
            <w:tcW w:w="1087" w:type="dxa"/>
            <w:tcBorders>
              <w:top w:val="nil"/>
              <w:left w:val="nil"/>
              <w:bottom w:val="single" w:sz="4" w:space="0" w:color="auto"/>
              <w:right w:val="single" w:sz="4" w:space="0" w:color="auto"/>
            </w:tcBorders>
            <w:shd w:val="clear" w:color="auto" w:fill="auto"/>
            <w:noWrap/>
            <w:vAlign w:val="center"/>
            <w:hideMark/>
          </w:tcPr>
          <w:p w14:paraId="7BC971D4" w14:textId="77777777" w:rsidR="007D19C4" w:rsidRPr="007D19C4" w:rsidRDefault="0DE37B90" w:rsidP="3328C818">
            <w:pPr>
              <w:pStyle w:val="Table-Text"/>
              <w:jc w:val="center"/>
            </w:pPr>
            <w:r>
              <w:t>47.24</w:t>
            </w:r>
          </w:p>
        </w:tc>
        <w:tc>
          <w:tcPr>
            <w:tcW w:w="1156" w:type="dxa"/>
            <w:tcBorders>
              <w:top w:val="nil"/>
              <w:left w:val="nil"/>
              <w:bottom w:val="single" w:sz="4" w:space="0" w:color="auto"/>
              <w:right w:val="single" w:sz="4" w:space="0" w:color="auto"/>
            </w:tcBorders>
            <w:shd w:val="clear" w:color="auto" w:fill="auto"/>
            <w:noWrap/>
            <w:vAlign w:val="center"/>
            <w:hideMark/>
          </w:tcPr>
          <w:p w14:paraId="7A20C0E8" w14:textId="77777777" w:rsidR="007D19C4" w:rsidRPr="007D19C4" w:rsidRDefault="0DE37B90" w:rsidP="3328C818">
            <w:pPr>
              <w:pStyle w:val="Table-Text"/>
              <w:jc w:val="center"/>
            </w:pPr>
            <w:r>
              <w:t>47.24</w:t>
            </w:r>
          </w:p>
        </w:tc>
        <w:tc>
          <w:tcPr>
            <w:tcW w:w="1156" w:type="dxa"/>
            <w:tcBorders>
              <w:top w:val="nil"/>
              <w:left w:val="nil"/>
              <w:bottom w:val="single" w:sz="4" w:space="0" w:color="auto"/>
              <w:right w:val="single" w:sz="4" w:space="0" w:color="auto"/>
            </w:tcBorders>
            <w:shd w:val="clear" w:color="auto" w:fill="auto"/>
            <w:noWrap/>
            <w:vAlign w:val="center"/>
            <w:hideMark/>
          </w:tcPr>
          <w:p w14:paraId="55957DE4" w14:textId="77777777" w:rsidR="007D19C4" w:rsidRPr="007D19C4" w:rsidRDefault="0DE37B90" w:rsidP="3328C818">
            <w:pPr>
              <w:pStyle w:val="Table-Text"/>
              <w:jc w:val="center"/>
            </w:pPr>
            <w:r>
              <w:t>47.24</w:t>
            </w:r>
          </w:p>
        </w:tc>
        <w:tc>
          <w:tcPr>
            <w:tcW w:w="1156" w:type="dxa"/>
            <w:tcBorders>
              <w:top w:val="nil"/>
              <w:left w:val="nil"/>
              <w:bottom w:val="single" w:sz="4" w:space="0" w:color="auto"/>
              <w:right w:val="single" w:sz="8" w:space="0" w:color="auto"/>
            </w:tcBorders>
            <w:shd w:val="clear" w:color="auto" w:fill="auto"/>
            <w:noWrap/>
            <w:vAlign w:val="center"/>
            <w:hideMark/>
          </w:tcPr>
          <w:p w14:paraId="630B662C" w14:textId="77777777" w:rsidR="007D19C4" w:rsidRPr="007D19C4" w:rsidRDefault="0DE37B90" w:rsidP="3328C818">
            <w:pPr>
              <w:pStyle w:val="Table-Text"/>
              <w:jc w:val="center"/>
            </w:pPr>
            <w:r>
              <w:t>47.24</w:t>
            </w:r>
          </w:p>
        </w:tc>
      </w:tr>
      <w:tr w:rsidR="00CE6335" w:rsidRPr="007D19C4" w14:paraId="5B8D89A1" w14:textId="77777777" w:rsidTr="3328C818">
        <w:trPr>
          <w:trHeight w:hRule="exact" w:val="288"/>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1FD88A12" w14:textId="77777777" w:rsidR="007D19C4" w:rsidRPr="007D19C4" w:rsidRDefault="0DE37B90" w:rsidP="3328C818">
            <w:pPr>
              <w:pStyle w:val="Table-Text"/>
            </w:pPr>
            <w:r>
              <w:t>Retrofit factor</w:t>
            </w:r>
          </w:p>
        </w:tc>
        <w:tc>
          <w:tcPr>
            <w:tcW w:w="1050" w:type="dxa"/>
            <w:tcBorders>
              <w:top w:val="nil"/>
              <w:left w:val="nil"/>
              <w:bottom w:val="single" w:sz="4" w:space="0" w:color="auto"/>
              <w:right w:val="single" w:sz="4" w:space="0" w:color="auto"/>
            </w:tcBorders>
            <w:shd w:val="clear" w:color="auto" w:fill="auto"/>
            <w:noWrap/>
            <w:vAlign w:val="center"/>
            <w:hideMark/>
          </w:tcPr>
          <w:p w14:paraId="5135A3AA" w14:textId="77777777" w:rsidR="007D19C4" w:rsidRPr="007D19C4" w:rsidRDefault="0DE37B90" w:rsidP="3328C818">
            <w:pPr>
              <w:pStyle w:val="Table-Text"/>
              <w:jc w:val="center"/>
            </w:pPr>
            <w:r>
              <w:t>1</w:t>
            </w:r>
          </w:p>
        </w:tc>
        <w:tc>
          <w:tcPr>
            <w:tcW w:w="1049" w:type="dxa"/>
            <w:tcBorders>
              <w:top w:val="nil"/>
              <w:left w:val="nil"/>
              <w:bottom w:val="single" w:sz="4" w:space="0" w:color="auto"/>
              <w:right w:val="single" w:sz="4" w:space="0" w:color="auto"/>
            </w:tcBorders>
            <w:shd w:val="clear" w:color="auto" w:fill="auto"/>
            <w:noWrap/>
            <w:vAlign w:val="center"/>
            <w:hideMark/>
          </w:tcPr>
          <w:p w14:paraId="11D48368" w14:textId="77777777" w:rsidR="007D19C4" w:rsidRPr="007D19C4" w:rsidRDefault="0DE37B90" w:rsidP="3328C818">
            <w:pPr>
              <w:pStyle w:val="Table-Text"/>
              <w:jc w:val="center"/>
            </w:pPr>
            <w:r>
              <w:t>1</w:t>
            </w:r>
          </w:p>
        </w:tc>
        <w:tc>
          <w:tcPr>
            <w:tcW w:w="1087" w:type="dxa"/>
            <w:tcBorders>
              <w:top w:val="nil"/>
              <w:left w:val="nil"/>
              <w:bottom w:val="single" w:sz="4" w:space="0" w:color="auto"/>
              <w:right w:val="single" w:sz="4" w:space="0" w:color="auto"/>
            </w:tcBorders>
            <w:shd w:val="clear" w:color="auto" w:fill="auto"/>
            <w:noWrap/>
            <w:vAlign w:val="center"/>
            <w:hideMark/>
          </w:tcPr>
          <w:p w14:paraId="20C1EDAC" w14:textId="77777777" w:rsidR="007D19C4" w:rsidRPr="007D19C4" w:rsidRDefault="0DE37B90" w:rsidP="3328C818">
            <w:pPr>
              <w:pStyle w:val="Table-Text"/>
              <w:jc w:val="center"/>
            </w:pPr>
            <w:r>
              <w:t>1</w:t>
            </w:r>
          </w:p>
        </w:tc>
        <w:tc>
          <w:tcPr>
            <w:tcW w:w="1156" w:type="dxa"/>
            <w:tcBorders>
              <w:top w:val="nil"/>
              <w:left w:val="nil"/>
              <w:bottom w:val="single" w:sz="4" w:space="0" w:color="auto"/>
              <w:right w:val="single" w:sz="4" w:space="0" w:color="auto"/>
            </w:tcBorders>
            <w:shd w:val="clear" w:color="auto" w:fill="auto"/>
            <w:noWrap/>
            <w:vAlign w:val="center"/>
            <w:hideMark/>
          </w:tcPr>
          <w:p w14:paraId="4AC79E80" w14:textId="77777777" w:rsidR="007D19C4" w:rsidRPr="007D19C4" w:rsidRDefault="0DE37B90" w:rsidP="3328C818">
            <w:pPr>
              <w:pStyle w:val="Table-Text"/>
              <w:jc w:val="center"/>
            </w:pPr>
            <w:r>
              <w:t>1</w:t>
            </w:r>
          </w:p>
        </w:tc>
        <w:tc>
          <w:tcPr>
            <w:tcW w:w="1156" w:type="dxa"/>
            <w:tcBorders>
              <w:top w:val="nil"/>
              <w:left w:val="nil"/>
              <w:bottom w:val="single" w:sz="4" w:space="0" w:color="auto"/>
              <w:right w:val="single" w:sz="4" w:space="0" w:color="auto"/>
            </w:tcBorders>
            <w:shd w:val="clear" w:color="auto" w:fill="auto"/>
            <w:noWrap/>
            <w:vAlign w:val="center"/>
            <w:hideMark/>
          </w:tcPr>
          <w:p w14:paraId="6718651F" w14:textId="77777777" w:rsidR="007D19C4" w:rsidRPr="007D19C4" w:rsidRDefault="0DE37B90" w:rsidP="3328C818">
            <w:pPr>
              <w:pStyle w:val="Table-Text"/>
              <w:jc w:val="center"/>
            </w:pPr>
            <w:r>
              <w:t>1</w:t>
            </w:r>
          </w:p>
        </w:tc>
        <w:tc>
          <w:tcPr>
            <w:tcW w:w="1156" w:type="dxa"/>
            <w:tcBorders>
              <w:top w:val="nil"/>
              <w:left w:val="nil"/>
              <w:bottom w:val="single" w:sz="4" w:space="0" w:color="auto"/>
              <w:right w:val="single" w:sz="8" w:space="0" w:color="auto"/>
            </w:tcBorders>
            <w:shd w:val="clear" w:color="auto" w:fill="auto"/>
            <w:noWrap/>
            <w:vAlign w:val="center"/>
            <w:hideMark/>
          </w:tcPr>
          <w:p w14:paraId="2DEC4130" w14:textId="77777777" w:rsidR="007D19C4" w:rsidRPr="007D19C4" w:rsidRDefault="0DE37B90" w:rsidP="3328C818">
            <w:pPr>
              <w:pStyle w:val="Table-Text"/>
              <w:jc w:val="center"/>
            </w:pPr>
            <w:r>
              <w:t>1.5</w:t>
            </w:r>
          </w:p>
        </w:tc>
      </w:tr>
      <w:tr w:rsidR="00CE6335" w:rsidRPr="007D19C4" w14:paraId="35615DC4" w14:textId="77777777" w:rsidTr="3328C818">
        <w:trPr>
          <w:trHeight w:hRule="exact" w:val="288"/>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5FE5D25C" w14:textId="77777777" w:rsidR="007D19C4" w:rsidRPr="007D19C4" w:rsidRDefault="0DE37B90" w:rsidP="3328C818">
            <w:pPr>
              <w:pStyle w:val="Table-Text"/>
            </w:pPr>
            <w:r>
              <w:t>CEPCI</w:t>
            </w:r>
          </w:p>
        </w:tc>
        <w:tc>
          <w:tcPr>
            <w:tcW w:w="1050" w:type="dxa"/>
            <w:tcBorders>
              <w:top w:val="nil"/>
              <w:left w:val="nil"/>
              <w:bottom w:val="single" w:sz="4" w:space="0" w:color="auto"/>
              <w:right w:val="single" w:sz="4" w:space="0" w:color="auto"/>
            </w:tcBorders>
            <w:shd w:val="clear" w:color="auto" w:fill="auto"/>
            <w:noWrap/>
            <w:vAlign w:val="center"/>
            <w:hideMark/>
          </w:tcPr>
          <w:p w14:paraId="0EC3EA58" w14:textId="77777777" w:rsidR="007D19C4" w:rsidRPr="007D19C4" w:rsidRDefault="0DE37B90" w:rsidP="3328C818">
            <w:pPr>
              <w:pStyle w:val="Table-Text"/>
              <w:jc w:val="center"/>
            </w:pPr>
            <w:r>
              <w:t>607.5</w:t>
            </w:r>
          </w:p>
        </w:tc>
        <w:tc>
          <w:tcPr>
            <w:tcW w:w="1049" w:type="dxa"/>
            <w:tcBorders>
              <w:top w:val="nil"/>
              <w:left w:val="nil"/>
              <w:bottom w:val="single" w:sz="4" w:space="0" w:color="auto"/>
              <w:right w:val="single" w:sz="4" w:space="0" w:color="auto"/>
            </w:tcBorders>
            <w:shd w:val="clear" w:color="auto" w:fill="auto"/>
            <w:noWrap/>
            <w:vAlign w:val="center"/>
            <w:hideMark/>
          </w:tcPr>
          <w:p w14:paraId="0D01DA0F" w14:textId="77777777" w:rsidR="007D19C4" w:rsidRPr="007D19C4" w:rsidRDefault="0DE37B90" w:rsidP="3328C818">
            <w:pPr>
              <w:pStyle w:val="Table-Text"/>
              <w:jc w:val="center"/>
            </w:pPr>
            <w:r>
              <w:t>607.5</w:t>
            </w:r>
          </w:p>
        </w:tc>
        <w:tc>
          <w:tcPr>
            <w:tcW w:w="1087" w:type="dxa"/>
            <w:tcBorders>
              <w:top w:val="nil"/>
              <w:left w:val="nil"/>
              <w:bottom w:val="single" w:sz="4" w:space="0" w:color="auto"/>
              <w:right w:val="single" w:sz="4" w:space="0" w:color="auto"/>
            </w:tcBorders>
            <w:shd w:val="clear" w:color="auto" w:fill="auto"/>
            <w:noWrap/>
            <w:vAlign w:val="center"/>
            <w:hideMark/>
          </w:tcPr>
          <w:p w14:paraId="1B172BBF" w14:textId="77777777" w:rsidR="007D19C4" w:rsidRPr="007D19C4" w:rsidRDefault="0DE37B90" w:rsidP="3328C818">
            <w:pPr>
              <w:pStyle w:val="Table-Text"/>
              <w:jc w:val="center"/>
            </w:pPr>
            <w:r>
              <w:t>607.5</w:t>
            </w:r>
          </w:p>
        </w:tc>
        <w:tc>
          <w:tcPr>
            <w:tcW w:w="1156" w:type="dxa"/>
            <w:tcBorders>
              <w:top w:val="nil"/>
              <w:left w:val="nil"/>
              <w:bottom w:val="single" w:sz="4" w:space="0" w:color="auto"/>
              <w:right w:val="single" w:sz="4" w:space="0" w:color="auto"/>
            </w:tcBorders>
            <w:shd w:val="clear" w:color="auto" w:fill="auto"/>
            <w:noWrap/>
            <w:vAlign w:val="center"/>
            <w:hideMark/>
          </w:tcPr>
          <w:p w14:paraId="62F5FE00" w14:textId="77777777" w:rsidR="007D19C4" w:rsidRPr="007D19C4" w:rsidRDefault="0DE37B90" w:rsidP="3328C818">
            <w:pPr>
              <w:pStyle w:val="Table-Text"/>
              <w:jc w:val="center"/>
            </w:pPr>
            <w:r>
              <w:t>607.5</w:t>
            </w:r>
          </w:p>
        </w:tc>
        <w:tc>
          <w:tcPr>
            <w:tcW w:w="1156" w:type="dxa"/>
            <w:tcBorders>
              <w:top w:val="nil"/>
              <w:left w:val="nil"/>
              <w:bottom w:val="single" w:sz="4" w:space="0" w:color="auto"/>
              <w:right w:val="single" w:sz="4" w:space="0" w:color="auto"/>
            </w:tcBorders>
            <w:shd w:val="clear" w:color="auto" w:fill="auto"/>
            <w:noWrap/>
            <w:vAlign w:val="center"/>
            <w:hideMark/>
          </w:tcPr>
          <w:p w14:paraId="121E2802" w14:textId="77777777" w:rsidR="007D19C4" w:rsidRPr="007D19C4" w:rsidRDefault="0DE37B90" w:rsidP="3328C818">
            <w:pPr>
              <w:pStyle w:val="Table-Text"/>
              <w:jc w:val="center"/>
            </w:pPr>
            <w:r>
              <w:t>607.5</w:t>
            </w:r>
          </w:p>
        </w:tc>
        <w:tc>
          <w:tcPr>
            <w:tcW w:w="1156" w:type="dxa"/>
            <w:tcBorders>
              <w:top w:val="nil"/>
              <w:left w:val="nil"/>
              <w:bottom w:val="single" w:sz="4" w:space="0" w:color="auto"/>
              <w:right w:val="single" w:sz="8" w:space="0" w:color="auto"/>
            </w:tcBorders>
            <w:shd w:val="clear" w:color="auto" w:fill="auto"/>
            <w:noWrap/>
            <w:vAlign w:val="center"/>
            <w:hideMark/>
          </w:tcPr>
          <w:p w14:paraId="29F19EAF" w14:textId="77777777" w:rsidR="007D19C4" w:rsidRPr="007D19C4" w:rsidRDefault="0DE37B90" w:rsidP="3328C818">
            <w:pPr>
              <w:pStyle w:val="Table-Text"/>
              <w:jc w:val="center"/>
            </w:pPr>
            <w:r>
              <w:t>607.5</w:t>
            </w:r>
          </w:p>
        </w:tc>
      </w:tr>
      <w:tr w:rsidR="00CE6335" w:rsidRPr="007D19C4" w14:paraId="2CBC54B1" w14:textId="77777777" w:rsidTr="3328C818">
        <w:trPr>
          <w:trHeight w:hRule="exact" w:val="288"/>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7356F8E6" w14:textId="77777777" w:rsidR="007D19C4" w:rsidRPr="007D19C4" w:rsidRDefault="0DE37B90" w:rsidP="3328C818">
            <w:pPr>
              <w:pStyle w:val="Table-Text"/>
            </w:pPr>
            <w:r>
              <w:t xml:space="preserve">Capital Cost </w:t>
            </w:r>
          </w:p>
        </w:tc>
        <w:tc>
          <w:tcPr>
            <w:tcW w:w="1050" w:type="dxa"/>
            <w:tcBorders>
              <w:top w:val="nil"/>
              <w:left w:val="nil"/>
              <w:bottom w:val="single" w:sz="4" w:space="0" w:color="auto"/>
              <w:right w:val="single" w:sz="4" w:space="0" w:color="auto"/>
            </w:tcBorders>
            <w:shd w:val="clear" w:color="auto" w:fill="auto"/>
            <w:noWrap/>
            <w:vAlign w:val="center"/>
            <w:hideMark/>
          </w:tcPr>
          <w:p w14:paraId="6A978172" w14:textId="6F0C984A" w:rsidR="007D19C4" w:rsidRPr="007D19C4" w:rsidRDefault="0DE37B90" w:rsidP="3328C818">
            <w:pPr>
              <w:pStyle w:val="Table-Text"/>
              <w:jc w:val="center"/>
            </w:pPr>
            <w:r>
              <w:t xml:space="preserve">$ 7,035,466 </w:t>
            </w:r>
          </w:p>
        </w:tc>
        <w:tc>
          <w:tcPr>
            <w:tcW w:w="1049" w:type="dxa"/>
            <w:tcBorders>
              <w:top w:val="nil"/>
              <w:left w:val="nil"/>
              <w:bottom w:val="single" w:sz="4" w:space="0" w:color="auto"/>
              <w:right w:val="single" w:sz="4" w:space="0" w:color="auto"/>
            </w:tcBorders>
            <w:shd w:val="clear" w:color="auto" w:fill="auto"/>
            <w:noWrap/>
            <w:vAlign w:val="center"/>
            <w:hideMark/>
          </w:tcPr>
          <w:p w14:paraId="514DCFD9" w14:textId="325B2E51" w:rsidR="007D19C4" w:rsidRPr="007D19C4" w:rsidRDefault="0DE37B90" w:rsidP="3328C818">
            <w:pPr>
              <w:pStyle w:val="Table-Text"/>
              <w:jc w:val="center"/>
            </w:pPr>
            <w:r>
              <w:t xml:space="preserve">$ 9,272,591 </w:t>
            </w:r>
          </w:p>
        </w:tc>
        <w:tc>
          <w:tcPr>
            <w:tcW w:w="1087" w:type="dxa"/>
            <w:tcBorders>
              <w:top w:val="nil"/>
              <w:left w:val="nil"/>
              <w:bottom w:val="single" w:sz="4" w:space="0" w:color="auto"/>
              <w:right w:val="single" w:sz="4" w:space="0" w:color="auto"/>
            </w:tcBorders>
            <w:shd w:val="clear" w:color="auto" w:fill="auto"/>
            <w:noWrap/>
            <w:vAlign w:val="center"/>
            <w:hideMark/>
          </w:tcPr>
          <w:p w14:paraId="312BA514" w14:textId="2B4BA56C" w:rsidR="007D19C4" w:rsidRPr="007D19C4" w:rsidRDefault="0DE37B90" w:rsidP="3328C818">
            <w:pPr>
              <w:pStyle w:val="Table-Text"/>
              <w:jc w:val="center"/>
            </w:pPr>
            <w:r>
              <w:t xml:space="preserve"> $ 8,076,155 </w:t>
            </w:r>
          </w:p>
        </w:tc>
        <w:tc>
          <w:tcPr>
            <w:tcW w:w="1156" w:type="dxa"/>
            <w:tcBorders>
              <w:top w:val="nil"/>
              <w:left w:val="nil"/>
              <w:bottom w:val="single" w:sz="4" w:space="0" w:color="auto"/>
              <w:right w:val="single" w:sz="4" w:space="0" w:color="auto"/>
            </w:tcBorders>
            <w:shd w:val="clear" w:color="auto" w:fill="auto"/>
            <w:noWrap/>
            <w:vAlign w:val="center"/>
            <w:hideMark/>
          </w:tcPr>
          <w:p w14:paraId="7268C3A8" w14:textId="50F2590B" w:rsidR="007D19C4" w:rsidRPr="007D19C4" w:rsidRDefault="0DE37B90" w:rsidP="3328C818">
            <w:pPr>
              <w:pStyle w:val="Table-Text"/>
              <w:jc w:val="center"/>
            </w:pPr>
            <w:r>
              <w:t xml:space="preserve"> $ 12,847,225 </w:t>
            </w:r>
          </w:p>
        </w:tc>
        <w:tc>
          <w:tcPr>
            <w:tcW w:w="1156" w:type="dxa"/>
            <w:tcBorders>
              <w:top w:val="nil"/>
              <w:left w:val="nil"/>
              <w:bottom w:val="single" w:sz="4" w:space="0" w:color="auto"/>
              <w:right w:val="single" w:sz="4" w:space="0" w:color="auto"/>
            </w:tcBorders>
            <w:shd w:val="clear" w:color="auto" w:fill="auto"/>
            <w:noWrap/>
            <w:vAlign w:val="center"/>
            <w:hideMark/>
          </w:tcPr>
          <w:p w14:paraId="38270A9A" w14:textId="76C42273" w:rsidR="007D19C4" w:rsidRPr="007D19C4" w:rsidRDefault="0DE37B90" w:rsidP="3328C818">
            <w:pPr>
              <w:pStyle w:val="Table-Text"/>
              <w:jc w:val="center"/>
            </w:pPr>
            <w:r>
              <w:t xml:space="preserve"> $ 44,202,984 </w:t>
            </w:r>
          </w:p>
        </w:tc>
        <w:tc>
          <w:tcPr>
            <w:tcW w:w="1156" w:type="dxa"/>
            <w:tcBorders>
              <w:top w:val="nil"/>
              <w:left w:val="nil"/>
              <w:bottom w:val="single" w:sz="4" w:space="0" w:color="auto"/>
              <w:right w:val="single" w:sz="8" w:space="0" w:color="auto"/>
            </w:tcBorders>
            <w:shd w:val="clear" w:color="auto" w:fill="auto"/>
            <w:noWrap/>
            <w:vAlign w:val="center"/>
            <w:hideMark/>
          </w:tcPr>
          <w:p w14:paraId="4CCE987A" w14:textId="69B865FB" w:rsidR="007D19C4" w:rsidRPr="007D19C4" w:rsidRDefault="0DE37B90" w:rsidP="3328C818">
            <w:pPr>
              <w:pStyle w:val="Table-Text"/>
              <w:jc w:val="center"/>
            </w:pPr>
            <w:r>
              <w:t xml:space="preserve"> $ 90,587,936 </w:t>
            </w:r>
          </w:p>
        </w:tc>
      </w:tr>
      <w:tr w:rsidR="00CE6335" w:rsidRPr="007D19C4" w14:paraId="5955890B" w14:textId="77777777" w:rsidTr="3328C818">
        <w:trPr>
          <w:trHeight w:hRule="exact" w:val="288"/>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5009D202" w14:textId="77777777" w:rsidR="007D19C4" w:rsidRPr="007D19C4" w:rsidRDefault="0DE37B90" w:rsidP="3328C818">
            <w:pPr>
              <w:pStyle w:val="Table-Text"/>
            </w:pPr>
            <w:r>
              <w:t>Interest rate (%)</w:t>
            </w:r>
          </w:p>
        </w:tc>
        <w:tc>
          <w:tcPr>
            <w:tcW w:w="1050" w:type="dxa"/>
            <w:tcBorders>
              <w:top w:val="nil"/>
              <w:left w:val="nil"/>
              <w:bottom w:val="single" w:sz="4" w:space="0" w:color="auto"/>
              <w:right w:val="single" w:sz="4" w:space="0" w:color="auto"/>
            </w:tcBorders>
            <w:shd w:val="clear" w:color="auto" w:fill="auto"/>
            <w:noWrap/>
            <w:vAlign w:val="center"/>
            <w:hideMark/>
          </w:tcPr>
          <w:p w14:paraId="23CA6A0D" w14:textId="77777777" w:rsidR="007D19C4" w:rsidRPr="007D19C4" w:rsidRDefault="0DE37B90" w:rsidP="3328C818">
            <w:pPr>
              <w:pStyle w:val="Table-Text"/>
              <w:jc w:val="center"/>
            </w:pPr>
            <w:r>
              <w:t>3.5</w:t>
            </w:r>
          </w:p>
        </w:tc>
        <w:tc>
          <w:tcPr>
            <w:tcW w:w="1049" w:type="dxa"/>
            <w:tcBorders>
              <w:top w:val="nil"/>
              <w:left w:val="nil"/>
              <w:bottom w:val="single" w:sz="4" w:space="0" w:color="auto"/>
              <w:right w:val="single" w:sz="4" w:space="0" w:color="auto"/>
            </w:tcBorders>
            <w:shd w:val="clear" w:color="auto" w:fill="auto"/>
            <w:noWrap/>
            <w:vAlign w:val="center"/>
            <w:hideMark/>
          </w:tcPr>
          <w:p w14:paraId="2753279A" w14:textId="77777777" w:rsidR="007D19C4" w:rsidRPr="007D19C4" w:rsidRDefault="0DE37B90" w:rsidP="3328C818">
            <w:pPr>
              <w:pStyle w:val="Table-Text"/>
              <w:jc w:val="center"/>
            </w:pPr>
            <w:r>
              <w:t>3.5</w:t>
            </w:r>
          </w:p>
        </w:tc>
        <w:tc>
          <w:tcPr>
            <w:tcW w:w="1087" w:type="dxa"/>
            <w:tcBorders>
              <w:top w:val="nil"/>
              <w:left w:val="nil"/>
              <w:bottom w:val="single" w:sz="4" w:space="0" w:color="auto"/>
              <w:right w:val="single" w:sz="4" w:space="0" w:color="auto"/>
            </w:tcBorders>
            <w:shd w:val="clear" w:color="auto" w:fill="auto"/>
            <w:noWrap/>
            <w:vAlign w:val="center"/>
            <w:hideMark/>
          </w:tcPr>
          <w:p w14:paraId="3C22FF3C" w14:textId="77777777" w:rsidR="007D19C4" w:rsidRPr="007D19C4" w:rsidRDefault="0DE37B90" w:rsidP="3328C818">
            <w:pPr>
              <w:pStyle w:val="Table-Text"/>
              <w:jc w:val="center"/>
            </w:pPr>
            <w:r>
              <w:t>3.5</w:t>
            </w:r>
          </w:p>
        </w:tc>
        <w:tc>
          <w:tcPr>
            <w:tcW w:w="1156" w:type="dxa"/>
            <w:tcBorders>
              <w:top w:val="nil"/>
              <w:left w:val="nil"/>
              <w:bottom w:val="single" w:sz="4" w:space="0" w:color="auto"/>
              <w:right w:val="single" w:sz="4" w:space="0" w:color="auto"/>
            </w:tcBorders>
            <w:shd w:val="clear" w:color="auto" w:fill="auto"/>
            <w:noWrap/>
            <w:vAlign w:val="center"/>
            <w:hideMark/>
          </w:tcPr>
          <w:p w14:paraId="25A674CB" w14:textId="77777777" w:rsidR="007D19C4" w:rsidRPr="007D19C4" w:rsidRDefault="0DE37B90" w:rsidP="3328C818">
            <w:pPr>
              <w:pStyle w:val="Table-Text"/>
              <w:jc w:val="center"/>
            </w:pPr>
            <w:r>
              <w:t>3.5</w:t>
            </w:r>
          </w:p>
        </w:tc>
        <w:tc>
          <w:tcPr>
            <w:tcW w:w="1156" w:type="dxa"/>
            <w:tcBorders>
              <w:top w:val="nil"/>
              <w:left w:val="nil"/>
              <w:bottom w:val="single" w:sz="4" w:space="0" w:color="auto"/>
              <w:right w:val="single" w:sz="4" w:space="0" w:color="auto"/>
            </w:tcBorders>
            <w:shd w:val="clear" w:color="auto" w:fill="auto"/>
            <w:noWrap/>
            <w:vAlign w:val="center"/>
            <w:hideMark/>
          </w:tcPr>
          <w:p w14:paraId="7DDB5AF8" w14:textId="77777777" w:rsidR="007D19C4" w:rsidRPr="007D19C4" w:rsidRDefault="0DE37B90" w:rsidP="3328C818">
            <w:pPr>
              <w:pStyle w:val="Table-Text"/>
              <w:jc w:val="center"/>
            </w:pPr>
            <w:r>
              <w:t>3.5</w:t>
            </w:r>
          </w:p>
        </w:tc>
        <w:tc>
          <w:tcPr>
            <w:tcW w:w="1156" w:type="dxa"/>
            <w:tcBorders>
              <w:top w:val="nil"/>
              <w:left w:val="nil"/>
              <w:bottom w:val="single" w:sz="4" w:space="0" w:color="auto"/>
              <w:right w:val="single" w:sz="8" w:space="0" w:color="auto"/>
            </w:tcBorders>
            <w:shd w:val="clear" w:color="auto" w:fill="auto"/>
            <w:noWrap/>
            <w:vAlign w:val="center"/>
            <w:hideMark/>
          </w:tcPr>
          <w:p w14:paraId="633DEA61" w14:textId="77777777" w:rsidR="007D19C4" w:rsidRPr="007D19C4" w:rsidRDefault="0DE37B90" w:rsidP="3328C818">
            <w:pPr>
              <w:pStyle w:val="Table-Text"/>
              <w:jc w:val="center"/>
            </w:pPr>
            <w:r>
              <w:t>3.5</w:t>
            </w:r>
          </w:p>
        </w:tc>
      </w:tr>
      <w:tr w:rsidR="00CE6335" w:rsidRPr="007D19C4" w14:paraId="682B14F6" w14:textId="77777777" w:rsidTr="3328C818">
        <w:trPr>
          <w:trHeight w:hRule="exact" w:val="288"/>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417743DC" w14:textId="77777777" w:rsidR="007D19C4" w:rsidRPr="007D19C4" w:rsidRDefault="0DE37B90" w:rsidP="3328C818">
            <w:pPr>
              <w:pStyle w:val="Table-Text"/>
            </w:pPr>
            <w:r>
              <w:t>Control Equipment Life (</w:t>
            </w:r>
            <w:proofErr w:type="spellStart"/>
            <w:r>
              <w:t>yr</w:t>
            </w:r>
            <w:proofErr w:type="spellEnd"/>
            <w:r>
              <w:t>)</w:t>
            </w:r>
          </w:p>
        </w:tc>
        <w:tc>
          <w:tcPr>
            <w:tcW w:w="1050" w:type="dxa"/>
            <w:tcBorders>
              <w:top w:val="nil"/>
              <w:left w:val="nil"/>
              <w:bottom w:val="single" w:sz="4" w:space="0" w:color="auto"/>
              <w:right w:val="single" w:sz="4" w:space="0" w:color="auto"/>
            </w:tcBorders>
            <w:shd w:val="clear" w:color="auto" w:fill="auto"/>
            <w:noWrap/>
            <w:vAlign w:val="center"/>
            <w:hideMark/>
          </w:tcPr>
          <w:p w14:paraId="17733919" w14:textId="77777777" w:rsidR="007D19C4" w:rsidRPr="007D19C4" w:rsidRDefault="0DE37B90" w:rsidP="3328C818">
            <w:pPr>
              <w:pStyle w:val="Table-Text"/>
              <w:jc w:val="center"/>
            </w:pPr>
            <w:r>
              <w:t>30</w:t>
            </w:r>
          </w:p>
        </w:tc>
        <w:tc>
          <w:tcPr>
            <w:tcW w:w="1049" w:type="dxa"/>
            <w:tcBorders>
              <w:top w:val="nil"/>
              <w:left w:val="nil"/>
              <w:bottom w:val="single" w:sz="4" w:space="0" w:color="auto"/>
              <w:right w:val="single" w:sz="4" w:space="0" w:color="auto"/>
            </w:tcBorders>
            <w:shd w:val="clear" w:color="auto" w:fill="auto"/>
            <w:noWrap/>
            <w:vAlign w:val="center"/>
            <w:hideMark/>
          </w:tcPr>
          <w:p w14:paraId="3A623652" w14:textId="77777777" w:rsidR="007D19C4" w:rsidRPr="007D19C4" w:rsidRDefault="0DE37B90" w:rsidP="3328C818">
            <w:pPr>
              <w:pStyle w:val="Table-Text"/>
              <w:jc w:val="center"/>
            </w:pPr>
            <w:r>
              <w:t> </w:t>
            </w:r>
          </w:p>
        </w:tc>
        <w:tc>
          <w:tcPr>
            <w:tcW w:w="1087" w:type="dxa"/>
            <w:tcBorders>
              <w:top w:val="nil"/>
              <w:left w:val="nil"/>
              <w:bottom w:val="single" w:sz="4" w:space="0" w:color="auto"/>
              <w:right w:val="single" w:sz="4" w:space="0" w:color="auto"/>
            </w:tcBorders>
            <w:shd w:val="clear" w:color="auto" w:fill="auto"/>
            <w:noWrap/>
            <w:vAlign w:val="center"/>
            <w:hideMark/>
          </w:tcPr>
          <w:p w14:paraId="64CAB124" w14:textId="77777777" w:rsidR="007D19C4" w:rsidRPr="007D19C4" w:rsidRDefault="0DE37B90" w:rsidP="3328C818">
            <w:pPr>
              <w:pStyle w:val="Table-Text"/>
              <w:jc w:val="center"/>
            </w:pPr>
            <w:r>
              <w:t>30</w:t>
            </w:r>
          </w:p>
        </w:tc>
        <w:tc>
          <w:tcPr>
            <w:tcW w:w="1156" w:type="dxa"/>
            <w:tcBorders>
              <w:top w:val="nil"/>
              <w:left w:val="nil"/>
              <w:bottom w:val="single" w:sz="4" w:space="0" w:color="auto"/>
              <w:right w:val="single" w:sz="4" w:space="0" w:color="auto"/>
            </w:tcBorders>
            <w:shd w:val="clear" w:color="auto" w:fill="auto"/>
            <w:noWrap/>
            <w:vAlign w:val="center"/>
            <w:hideMark/>
          </w:tcPr>
          <w:p w14:paraId="4EFAAB9C" w14:textId="77777777" w:rsidR="007D19C4" w:rsidRPr="007D19C4" w:rsidRDefault="0DE37B90" w:rsidP="3328C818">
            <w:pPr>
              <w:pStyle w:val="Table-Text"/>
              <w:jc w:val="center"/>
            </w:pPr>
            <w:r>
              <w:t> </w:t>
            </w:r>
          </w:p>
        </w:tc>
        <w:tc>
          <w:tcPr>
            <w:tcW w:w="1156" w:type="dxa"/>
            <w:tcBorders>
              <w:top w:val="nil"/>
              <w:left w:val="nil"/>
              <w:bottom w:val="single" w:sz="4" w:space="0" w:color="auto"/>
              <w:right w:val="single" w:sz="4" w:space="0" w:color="auto"/>
            </w:tcBorders>
            <w:shd w:val="clear" w:color="auto" w:fill="auto"/>
            <w:noWrap/>
            <w:vAlign w:val="center"/>
            <w:hideMark/>
          </w:tcPr>
          <w:p w14:paraId="01967158" w14:textId="77777777" w:rsidR="007D19C4" w:rsidRPr="007D19C4" w:rsidRDefault="0DE37B90" w:rsidP="3328C818">
            <w:pPr>
              <w:pStyle w:val="Table-Text"/>
              <w:jc w:val="center"/>
            </w:pPr>
            <w:r>
              <w:t>30</w:t>
            </w:r>
          </w:p>
        </w:tc>
        <w:tc>
          <w:tcPr>
            <w:tcW w:w="1156" w:type="dxa"/>
            <w:tcBorders>
              <w:top w:val="nil"/>
              <w:left w:val="nil"/>
              <w:bottom w:val="single" w:sz="4" w:space="0" w:color="auto"/>
              <w:right w:val="single" w:sz="8" w:space="0" w:color="auto"/>
            </w:tcBorders>
            <w:shd w:val="clear" w:color="auto" w:fill="auto"/>
            <w:noWrap/>
            <w:vAlign w:val="center"/>
            <w:hideMark/>
          </w:tcPr>
          <w:p w14:paraId="0386DF24" w14:textId="77777777" w:rsidR="007D19C4" w:rsidRPr="007D19C4" w:rsidRDefault="0DE37B90" w:rsidP="3328C818">
            <w:pPr>
              <w:pStyle w:val="Table-Text"/>
              <w:jc w:val="center"/>
            </w:pPr>
            <w:r>
              <w:t>30</w:t>
            </w:r>
          </w:p>
        </w:tc>
      </w:tr>
      <w:tr w:rsidR="00CE6335" w:rsidRPr="007D19C4" w14:paraId="02819B76" w14:textId="77777777" w:rsidTr="3328C818">
        <w:trPr>
          <w:trHeight w:hRule="exact" w:val="288"/>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57CFFF22" w14:textId="77777777" w:rsidR="007D19C4" w:rsidRPr="007D19C4" w:rsidRDefault="0DE37B90" w:rsidP="3328C818">
            <w:pPr>
              <w:pStyle w:val="Table-Text"/>
            </w:pPr>
            <w:r>
              <w:t>Capital Recovery Factor</w:t>
            </w:r>
          </w:p>
        </w:tc>
        <w:tc>
          <w:tcPr>
            <w:tcW w:w="1050" w:type="dxa"/>
            <w:tcBorders>
              <w:top w:val="nil"/>
              <w:left w:val="nil"/>
              <w:bottom w:val="single" w:sz="4" w:space="0" w:color="auto"/>
              <w:right w:val="single" w:sz="4" w:space="0" w:color="auto"/>
            </w:tcBorders>
            <w:shd w:val="clear" w:color="auto" w:fill="auto"/>
            <w:noWrap/>
            <w:vAlign w:val="center"/>
            <w:hideMark/>
          </w:tcPr>
          <w:p w14:paraId="617BAD2A" w14:textId="77777777" w:rsidR="007D19C4" w:rsidRPr="007D19C4" w:rsidRDefault="0DE37B90" w:rsidP="3328C818">
            <w:pPr>
              <w:pStyle w:val="Table-Text"/>
              <w:jc w:val="center"/>
            </w:pPr>
            <w:r>
              <w:t>0.0544</w:t>
            </w:r>
          </w:p>
        </w:tc>
        <w:tc>
          <w:tcPr>
            <w:tcW w:w="1049" w:type="dxa"/>
            <w:tcBorders>
              <w:top w:val="nil"/>
              <w:left w:val="nil"/>
              <w:bottom w:val="single" w:sz="4" w:space="0" w:color="auto"/>
              <w:right w:val="single" w:sz="4" w:space="0" w:color="auto"/>
            </w:tcBorders>
            <w:shd w:val="clear" w:color="auto" w:fill="auto"/>
            <w:noWrap/>
            <w:vAlign w:val="center"/>
            <w:hideMark/>
          </w:tcPr>
          <w:p w14:paraId="60AF2116" w14:textId="77777777" w:rsidR="007D19C4" w:rsidRPr="007D19C4" w:rsidRDefault="0DE37B90" w:rsidP="3328C818">
            <w:pPr>
              <w:pStyle w:val="Table-Text"/>
              <w:jc w:val="center"/>
            </w:pPr>
            <w:r>
              <w:t> </w:t>
            </w:r>
          </w:p>
        </w:tc>
        <w:tc>
          <w:tcPr>
            <w:tcW w:w="1087" w:type="dxa"/>
            <w:tcBorders>
              <w:top w:val="nil"/>
              <w:left w:val="nil"/>
              <w:bottom w:val="single" w:sz="4" w:space="0" w:color="auto"/>
              <w:right w:val="single" w:sz="4" w:space="0" w:color="auto"/>
            </w:tcBorders>
            <w:shd w:val="clear" w:color="auto" w:fill="auto"/>
            <w:noWrap/>
            <w:vAlign w:val="center"/>
            <w:hideMark/>
          </w:tcPr>
          <w:p w14:paraId="39953A5C" w14:textId="77777777" w:rsidR="007D19C4" w:rsidRPr="007D19C4" w:rsidRDefault="0DE37B90" w:rsidP="3328C818">
            <w:pPr>
              <w:pStyle w:val="Table-Text"/>
              <w:jc w:val="center"/>
            </w:pPr>
            <w:r>
              <w:t>0.0544</w:t>
            </w:r>
          </w:p>
        </w:tc>
        <w:tc>
          <w:tcPr>
            <w:tcW w:w="1156" w:type="dxa"/>
            <w:tcBorders>
              <w:top w:val="nil"/>
              <w:left w:val="nil"/>
              <w:bottom w:val="single" w:sz="4" w:space="0" w:color="auto"/>
              <w:right w:val="single" w:sz="4" w:space="0" w:color="auto"/>
            </w:tcBorders>
            <w:shd w:val="clear" w:color="auto" w:fill="auto"/>
            <w:noWrap/>
            <w:vAlign w:val="center"/>
            <w:hideMark/>
          </w:tcPr>
          <w:p w14:paraId="2CECAE72" w14:textId="77777777" w:rsidR="007D19C4" w:rsidRPr="007D19C4" w:rsidRDefault="0DE37B90" w:rsidP="3328C818">
            <w:pPr>
              <w:pStyle w:val="Table-Text"/>
              <w:jc w:val="center"/>
            </w:pPr>
            <w:r>
              <w:t> </w:t>
            </w:r>
          </w:p>
        </w:tc>
        <w:tc>
          <w:tcPr>
            <w:tcW w:w="1156" w:type="dxa"/>
            <w:tcBorders>
              <w:top w:val="nil"/>
              <w:left w:val="nil"/>
              <w:bottom w:val="single" w:sz="4" w:space="0" w:color="auto"/>
              <w:right w:val="single" w:sz="4" w:space="0" w:color="auto"/>
            </w:tcBorders>
            <w:shd w:val="clear" w:color="auto" w:fill="auto"/>
            <w:noWrap/>
            <w:vAlign w:val="center"/>
            <w:hideMark/>
          </w:tcPr>
          <w:p w14:paraId="0EED08C9" w14:textId="77777777" w:rsidR="007D19C4" w:rsidRPr="007D19C4" w:rsidRDefault="0DE37B90" w:rsidP="3328C818">
            <w:pPr>
              <w:pStyle w:val="Table-Text"/>
              <w:jc w:val="center"/>
            </w:pPr>
            <w:r>
              <w:t>0.0544</w:t>
            </w:r>
          </w:p>
        </w:tc>
        <w:tc>
          <w:tcPr>
            <w:tcW w:w="1156" w:type="dxa"/>
            <w:tcBorders>
              <w:top w:val="nil"/>
              <w:left w:val="nil"/>
              <w:bottom w:val="single" w:sz="4" w:space="0" w:color="auto"/>
              <w:right w:val="single" w:sz="8" w:space="0" w:color="auto"/>
            </w:tcBorders>
            <w:shd w:val="clear" w:color="auto" w:fill="auto"/>
            <w:noWrap/>
            <w:vAlign w:val="center"/>
            <w:hideMark/>
          </w:tcPr>
          <w:p w14:paraId="3676B16E" w14:textId="77777777" w:rsidR="007D19C4" w:rsidRPr="007D19C4" w:rsidRDefault="0DE37B90" w:rsidP="3328C818">
            <w:pPr>
              <w:pStyle w:val="Table-Text"/>
              <w:jc w:val="center"/>
            </w:pPr>
            <w:r>
              <w:t>0.0544</w:t>
            </w:r>
          </w:p>
        </w:tc>
      </w:tr>
      <w:tr w:rsidR="00CE6335" w:rsidRPr="007D19C4" w14:paraId="4E466371" w14:textId="77777777" w:rsidTr="3328C818">
        <w:trPr>
          <w:trHeight w:hRule="exact" w:val="288"/>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4135B0D2" w14:textId="77777777" w:rsidR="007D19C4" w:rsidRPr="007D19C4" w:rsidRDefault="0DE37B90" w:rsidP="3328C818">
            <w:pPr>
              <w:pStyle w:val="Table-Text"/>
            </w:pPr>
            <w:r>
              <w:t>Capital Recovery Cost</w:t>
            </w:r>
          </w:p>
        </w:tc>
        <w:tc>
          <w:tcPr>
            <w:tcW w:w="1050" w:type="dxa"/>
            <w:tcBorders>
              <w:top w:val="nil"/>
              <w:left w:val="nil"/>
              <w:bottom w:val="single" w:sz="4" w:space="0" w:color="auto"/>
              <w:right w:val="single" w:sz="4" w:space="0" w:color="auto"/>
            </w:tcBorders>
            <w:shd w:val="clear" w:color="auto" w:fill="auto"/>
            <w:noWrap/>
            <w:vAlign w:val="center"/>
            <w:hideMark/>
          </w:tcPr>
          <w:p w14:paraId="43CD2F8C" w14:textId="79EFE7FC" w:rsidR="007D19C4" w:rsidRPr="007D19C4" w:rsidRDefault="0DE37B90" w:rsidP="3328C818">
            <w:pPr>
              <w:pStyle w:val="Table-Text"/>
              <w:jc w:val="center"/>
            </w:pPr>
            <w:r>
              <w:t xml:space="preserve"> $   382,528 </w:t>
            </w:r>
          </w:p>
        </w:tc>
        <w:tc>
          <w:tcPr>
            <w:tcW w:w="1049" w:type="dxa"/>
            <w:tcBorders>
              <w:top w:val="nil"/>
              <w:left w:val="nil"/>
              <w:bottom w:val="single" w:sz="4" w:space="0" w:color="auto"/>
              <w:right w:val="single" w:sz="4" w:space="0" w:color="auto"/>
            </w:tcBorders>
            <w:shd w:val="clear" w:color="auto" w:fill="auto"/>
            <w:noWrap/>
            <w:vAlign w:val="center"/>
            <w:hideMark/>
          </w:tcPr>
          <w:p w14:paraId="31A5F4BD" w14:textId="7B77E352" w:rsidR="007D19C4" w:rsidRPr="007D19C4" w:rsidRDefault="0DE37B90" w:rsidP="3328C818">
            <w:pPr>
              <w:pStyle w:val="Table-Text"/>
              <w:jc w:val="center"/>
            </w:pPr>
            <w:r>
              <w:t xml:space="preserve"> $   556,501 </w:t>
            </w:r>
          </w:p>
        </w:tc>
        <w:tc>
          <w:tcPr>
            <w:tcW w:w="1087" w:type="dxa"/>
            <w:tcBorders>
              <w:top w:val="nil"/>
              <w:left w:val="nil"/>
              <w:bottom w:val="single" w:sz="4" w:space="0" w:color="auto"/>
              <w:right w:val="single" w:sz="4" w:space="0" w:color="auto"/>
            </w:tcBorders>
            <w:shd w:val="clear" w:color="auto" w:fill="auto"/>
            <w:noWrap/>
            <w:vAlign w:val="center"/>
            <w:hideMark/>
          </w:tcPr>
          <w:p w14:paraId="46AAB932" w14:textId="3B3A58CD" w:rsidR="007D19C4" w:rsidRPr="007D19C4" w:rsidRDefault="0DE37B90" w:rsidP="3328C818">
            <w:pPr>
              <w:pStyle w:val="Table-Text"/>
              <w:jc w:val="center"/>
            </w:pPr>
            <w:r>
              <w:t xml:space="preserve"> $   439,111 </w:t>
            </w:r>
          </w:p>
        </w:tc>
        <w:tc>
          <w:tcPr>
            <w:tcW w:w="1156" w:type="dxa"/>
            <w:tcBorders>
              <w:top w:val="nil"/>
              <w:left w:val="nil"/>
              <w:bottom w:val="single" w:sz="4" w:space="0" w:color="auto"/>
              <w:right w:val="single" w:sz="4" w:space="0" w:color="auto"/>
            </w:tcBorders>
            <w:shd w:val="clear" w:color="auto" w:fill="auto"/>
            <w:noWrap/>
            <w:vAlign w:val="center"/>
            <w:hideMark/>
          </w:tcPr>
          <w:p w14:paraId="1E8F9865" w14:textId="728D3F30" w:rsidR="007D19C4" w:rsidRPr="007D19C4" w:rsidRDefault="0DE37B90" w:rsidP="3328C818">
            <w:pPr>
              <w:pStyle w:val="Table-Text"/>
              <w:jc w:val="center"/>
            </w:pPr>
            <w:r>
              <w:t xml:space="preserve"> $     750,859 </w:t>
            </w:r>
          </w:p>
        </w:tc>
        <w:tc>
          <w:tcPr>
            <w:tcW w:w="1156" w:type="dxa"/>
            <w:tcBorders>
              <w:top w:val="nil"/>
              <w:left w:val="nil"/>
              <w:bottom w:val="single" w:sz="4" w:space="0" w:color="auto"/>
              <w:right w:val="single" w:sz="4" w:space="0" w:color="auto"/>
            </w:tcBorders>
            <w:shd w:val="clear" w:color="auto" w:fill="auto"/>
            <w:noWrap/>
            <w:vAlign w:val="center"/>
            <w:hideMark/>
          </w:tcPr>
          <w:p w14:paraId="05D61D62" w14:textId="1340B4A1" w:rsidR="007D19C4" w:rsidRPr="007D19C4" w:rsidRDefault="0DE37B90" w:rsidP="3328C818">
            <w:pPr>
              <w:pStyle w:val="Table-Text"/>
              <w:jc w:val="center"/>
            </w:pPr>
            <w:r>
              <w:t xml:space="preserve"> $ 2,404,642 </w:t>
            </w:r>
          </w:p>
        </w:tc>
        <w:tc>
          <w:tcPr>
            <w:tcW w:w="1156" w:type="dxa"/>
            <w:tcBorders>
              <w:top w:val="nil"/>
              <w:left w:val="nil"/>
              <w:bottom w:val="single" w:sz="4" w:space="0" w:color="auto"/>
              <w:right w:val="single" w:sz="8" w:space="0" w:color="auto"/>
            </w:tcBorders>
            <w:shd w:val="clear" w:color="auto" w:fill="auto"/>
            <w:noWrap/>
            <w:vAlign w:val="center"/>
            <w:hideMark/>
          </w:tcPr>
          <w:p w14:paraId="0231DF0B" w14:textId="70D1C897" w:rsidR="007D19C4" w:rsidRPr="007D19C4" w:rsidRDefault="0DE37B90" w:rsidP="3328C818">
            <w:pPr>
              <w:pStyle w:val="Table-Text"/>
              <w:jc w:val="center"/>
            </w:pPr>
            <w:r>
              <w:t xml:space="preserve"> $ 4,927,984 </w:t>
            </w:r>
          </w:p>
        </w:tc>
      </w:tr>
      <w:tr w:rsidR="00CE6335" w:rsidRPr="007D19C4" w14:paraId="0F6A320C" w14:textId="77777777" w:rsidTr="3328C818">
        <w:trPr>
          <w:trHeight w:hRule="exact" w:val="288"/>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7D61B39A" w14:textId="77777777" w:rsidR="007D19C4" w:rsidRPr="007D19C4" w:rsidRDefault="0DE37B90" w:rsidP="3328C818">
            <w:pPr>
              <w:pStyle w:val="Table-Text"/>
            </w:pPr>
            <w:r>
              <w:t>Indirect Cost/Fixed O&amp;M</w:t>
            </w:r>
          </w:p>
        </w:tc>
        <w:tc>
          <w:tcPr>
            <w:tcW w:w="1050" w:type="dxa"/>
            <w:tcBorders>
              <w:top w:val="nil"/>
              <w:left w:val="nil"/>
              <w:bottom w:val="single" w:sz="4" w:space="0" w:color="auto"/>
              <w:right w:val="single" w:sz="4" w:space="0" w:color="auto"/>
            </w:tcBorders>
            <w:shd w:val="clear" w:color="auto" w:fill="auto"/>
            <w:noWrap/>
            <w:vAlign w:val="center"/>
            <w:hideMark/>
          </w:tcPr>
          <w:p w14:paraId="28340BB7" w14:textId="0FC4825A" w:rsidR="007D19C4" w:rsidRPr="007D19C4" w:rsidRDefault="0DE37B90" w:rsidP="3328C818">
            <w:pPr>
              <w:pStyle w:val="Table-Text"/>
              <w:jc w:val="center"/>
            </w:pPr>
            <w:r>
              <w:t xml:space="preserve"> $   309,994 </w:t>
            </w:r>
          </w:p>
        </w:tc>
        <w:tc>
          <w:tcPr>
            <w:tcW w:w="1049" w:type="dxa"/>
            <w:tcBorders>
              <w:top w:val="nil"/>
              <w:left w:val="nil"/>
              <w:bottom w:val="single" w:sz="4" w:space="0" w:color="auto"/>
              <w:right w:val="single" w:sz="4" w:space="0" w:color="auto"/>
            </w:tcBorders>
            <w:shd w:val="clear" w:color="auto" w:fill="auto"/>
            <w:noWrap/>
            <w:vAlign w:val="center"/>
            <w:hideMark/>
          </w:tcPr>
          <w:p w14:paraId="6FB22D31" w14:textId="2B552503" w:rsidR="007D19C4" w:rsidRPr="007D19C4" w:rsidRDefault="0DE37B90" w:rsidP="3328C818">
            <w:pPr>
              <w:pStyle w:val="Table-Text"/>
              <w:jc w:val="center"/>
            </w:pPr>
            <w:r>
              <w:t xml:space="preserve"> $   774,023 </w:t>
            </w:r>
          </w:p>
        </w:tc>
        <w:tc>
          <w:tcPr>
            <w:tcW w:w="1087" w:type="dxa"/>
            <w:tcBorders>
              <w:top w:val="nil"/>
              <w:left w:val="nil"/>
              <w:bottom w:val="single" w:sz="4" w:space="0" w:color="auto"/>
              <w:right w:val="single" w:sz="4" w:space="0" w:color="auto"/>
            </w:tcBorders>
            <w:shd w:val="clear" w:color="auto" w:fill="auto"/>
            <w:noWrap/>
            <w:vAlign w:val="center"/>
            <w:hideMark/>
          </w:tcPr>
          <w:p w14:paraId="217C961B" w14:textId="61466E00" w:rsidR="007D19C4" w:rsidRPr="007D19C4" w:rsidRDefault="0DE37B90" w:rsidP="3328C818">
            <w:pPr>
              <w:pStyle w:val="Table-Text"/>
              <w:jc w:val="center"/>
            </w:pPr>
            <w:r>
              <w:t xml:space="preserve"> $   317,820 </w:t>
            </w:r>
          </w:p>
        </w:tc>
        <w:tc>
          <w:tcPr>
            <w:tcW w:w="1156" w:type="dxa"/>
            <w:tcBorders>
              <w:top w:val="nil"/>
              <w:left w:val="nil"/>
              <w:bottom w:val="single" w:sz="4" w:space="0" w:color="auto"/>
              <w:right w:val="single" w:sz="4" w:space="0" w:color="auto"/>
            </w:tcBorders>
            <w:shd w:val="clear" w:color="auto" w:fill="auto"/>
            <w:noWrap/>
            <w:vAlign w:val="center"/>
            <w:hideMark/>
          </w:tcPr>
          <w:p w14:paraId="43975377" w14:textId="098998F9" w:rsidR="007D19C4" w:rsidRPr="007D19C4" w:rsidRDefault="0DE37B90" w:rsidP="3328C818">
            <w:pPr>
              <w:pStyle w:val="Table-Text"/>
              <w:jc w:val="center"/>
            </w:pPr>
            <w:r>
              <w:t xml:space="preserve"> $     800,904 </w:t>
            </w:r>
          </w:p>
        </w:tc>
        <w:tc>
          <w:tcPr>
            <w:tcW w:w="1156" w:type="dxa"/>
            <w:tcBorders>
              <w:top w:val="nil"/>
              <w:left w:val="nil"/>
              <w:bottom w:val="single" w:sz="4" w:space="0" w:color="auto"/>
              <w:right w:val="single" w:sz="4" w:space="0" w:color="auto"/>
            </w:tcBorders>
            <w:shd w:val="clear" w:color="auto" w:fill="auto"/>
            <w:noWrap/>
            <w:vAlign w:val="center"/>
            <w:hideMark/>
          </w:tcPr>
          <w:p w14:paraId="1F69C4EA" w14:textId="3CF883C0" w:rsidR="007D19C4" w:rsidRPr="007D19C4" w:rsidRDefault="0DE37B90" w:rsidP="3328C818">
            <w:pPr>
              <w:pStyle w:val="Table-Text"/>
              <w:jc w:val="center"/>
            </w:pPr>
            <w:r>
              <w:t xml:space="preserve"> $ 2,442,551 </w:t>
            </w:r>
          </w:p>
        </w:tc>
        <w:tc>
          <w:tcPr>
            <w:tcW w:w="1156" w:type="dxa"/>
            <w:tcBorders>
              <w:top w:val="nil"/>
              <w:left w:val="nil"/>
              <w:bottom w:val="single" w:sz="4" w:space="0" w:color="auto"/>
              <w:right w:val="single" w:sz="8" w:space="0" w:color="auto"/>
            </w:tcBorders>
            <w:shd w:val="clear" w:color="auto" w:fill="auto"/>
            <w:noWrap/>
            <w:vAlign w:val="center"/>
            <w:hideMark/>
          </w:tcPr>
          <w:p w14:paraId="37B3FFD4" w14:textId="3E793BDF" w:rsidR="007D19C4" w:rsidRPr="007D19C4" w:rsidRDefault="0DE37B90" w:rsidP="3328C818">
            <w:pPr>
              <w:pStyle w:val="Table-Text"/>
              <w:jc w:val="center"/>
            </w:pPr>
            <w:r>
              <w:t xml:space="preserve"> $ 4,989,218 </w:t>
            </w:r>
          </w:p>
        </w:tc>
      </w:tr>
      <w:tr w:rsidR="00CE6335" w:rsidRPr="007D19C4" w14:paraId="3465B608" w14:textId="77777777" w:rsidTr="3328C818">
        <w:trPr>
          <w:trHeight w:hRule="exact" w:val="288"/>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780EBB84" w14:textId="77777777" w:rsidR="007D19C4" w:rsidRPr="007D19C4" w:rsidRDefault="0DE37B90" w:rsidP="3328C818">
            <w:pPr>
              <w:pStyle w:val="Table-Text"/>
            </w:pPr>
            <w:r>
              <w:t>Direct Cost/Variable O&amp;M</w:t>
            </w:r>
          </w:p>
        </w:tc>
        <w:tc>
          <w:tcPr>
            <w:tcW w:w="1050" w:type="dxa"/>
            <w:tcBorders>
              <w:top w:val="nil"/>
              <w:left w:val="nil"/>
              <w:bottom w:val="single" w:sz="4" w:space="0" w:color="auto"/>
              <w:right w:val="single" w:sz="4" w:space="0" w:color="auto"/>
            </w:tcBorders>
            <w:shd w:val="clear" w:color="auto" w:fill="auto"/>
            <w:noWrap/>
            <w:vAlign w:val="center"/>
            <w:hideMark/>
          </w:tcPr>
          <w:p w14:paraId="683CA9E4" w14:textId="728E9A00" w:rsidR="007D19C4" w:rsidRPr="007D19C4" w:rsidRDefault="0DE37B90" w:rsidP="3328C818">
            <w:pPr>
              <w:pStyle w:val="Table-Text"/>
              <w:jc w:val="center"/>
            </w:pPr>
            <w:r>
              <w:t xml:space="preserve"> $   830,823 </w:t>
            </w:r>
          </w:p>
        </w:tc>
        <w:tc>
          <w:tcPr>
            <w:tcW w:w="1049" w:type="dxa"/>
            <w:tcBorders>
              <w:top w:val="nil"/>
              <w:left w:val="nil"/>
              <w:bottom w:val="single" w:sz="4" w:space="0" w:color="auto"/>
              <w:right w:val="single" w:sz="4" w:space="0" w:color="auto"/>
            </w:tcBorders>
            <w:shd w:val="clear" w:color="auto" w:fill="auto"/>
            <w:noWrap/>
            <w:vAlign w:val="center"/>
            <w:hideMark/>
          </w:tcPr>
          <w:p w14:paraId="7A4E823E" w14:textId="446D3CE2" w:rsidR="007D19C4" w:rsidRPr="007D19C4" w:rsidRDefault="0DE37B90" w:rsidP="3328C818">
            <w:pPr>
              <w:pStyle w:val="Table-Text"/>
              <w:jc w:val="center"/>
            </w:pPr>
            <w:r>
              <w:t xml:space="preserve">$ 1,108,574 </w:t>
            </w:r>
          </w:p>
        </w:tc>
        <w:tc>
          <w:tcPr>
            <w:tcW w:w="1087" w:type="dxa"/>
            <w:tcBorders>
              <w:top w:val="nil"/>
              <w:left w:val="nil"/>
              <w:bottom w:val="single" w:sz="4" w:space="0" w:color="auto"/>
              <w:right w:val="single" w:sz="4" w:space="0" w:color="auto"/>
            </w:tcBorders>
            <w:shd w:val="clear" w:color="auto" w:fill="auto"/>
            <w:noWrap/>
            <w:vAlign w:val="center"/>
            <w:hideMark/>
          </w:tcPr>
          <w:p w14:paraId="30E76C60" w14:textId="25937D96" w:rsidR="007D19C4" w:rsidRPr="007D19C4" w:rsidRDefault="0DE37B90" w:rsidP="3328C818">
            <w:pPr>
              <w:pStyle w:val="Table-Text"/>
              <w:jc w:val="center"/>
            </w:pPr>
            <w:r>
              <w:t xml:space="preserve"> $   896,231 </w:t>
            </w:r>
          </w:p>
        </w:tc>
        <w:tc>
          <w:tcPr>
            <w:tcW w:w="1156" w:type="dxa"/>
            <w:tcBorders>
              <w:top w:val="nil"/>
              <w:left w:val="nil"/>
              <w:bottom w:val="single" w:sz="4" w:space="0" w:color="auto"/>
              <w:right w:val="single" w:sz="4" w:space="0" w:color="auto"/>
            </w:tcBorders>
            <w:shd w:val="clear" w:color="auto" w:fill="auto"/>
            <w:noWrap/>
            <w:vAlign w:val="center"/>
            <w:hideMark/>
          </w:tcPr>
          <w:p w14:paraId="39356F6C" w14:textId="67683857" w:rsidR="007D19C4" w:rsidRPr="007D19C4" w:rsidRDefault="0DE37B90" w:rsidP="3328C818">
            <w:pPr>
              <w:pStyle w:val="Table-Text"/>
              <w:jc w:val="center"/>
            </w:pPr>
            <w:r>
              <w:t xml:space="preserve"> $ 1,709,132 </w:t>
            </w:r>
          </w:p>
        </w:tc>
        <w:tc>
          <w:tcPr>
            <w:tcW w:w="1156" w:type="dxa"/>
            <w:tcBorders>
              <w:top w:val="nil"/>
              <w:left w:val="nil"/>
              <w:bottom w:val="single" w:sz="4" w:space="0" w:color="auto"/>
              <w:right w:val="single" w:sz="4" w:space="0" w:color="auto"/>
            </w:tcBorders>
            <w:shd w:val="clear" w:color="auto" w:fill="auto"/>
            <w:noWrap/>
            <w:vAlign w:val="center"/>
            <w:hideMark/>
          </w:tcPr>
          <w:p w14:paraId="52006630" w14:textId="6E3B9BD6" w:rsidR="007D19C4" w:rsidRPr="007D19C4" w:rsidRDefault="0DE37B90" w:rsidP="3328C818">
            <w:pPr>
              <w:pStyle w:val="Table-Text"/>
              <w:jc w:val="center"/>
            </w:pPr>
            <w:r>
              <w:t xml:space="preserve"> $ 2,084,642 </w:t>
            </w:r>
          </w:p>
        </w:tc>
        <w:tc>
          <w:tcPr>
            <w:tcW w:w="1156" w:type="dxa"/>
            <w:tcBorders>
              <w:top w:val="nil"/>
              <w:left w:val="nil"/>
              <w:bottom w:val="single" w:sz="4" w:space="0" w:color="auto"/>
              <w:right w:val="single" w:sz="8" w:space="0" w:color="auto"/>
            </w:tcBorders>
            <w:shd w:val="clear" w:color="auto" w:fill="auto"/>
            <w:noWrap/>
            <w:vAlign w:val="center"/>
            <w:hideMark/>
          </w:tcPr>
          <w:p w14:paraId="745D251D" w14:textId="084A218D" w:rsidR="007D19C4" w:rsidRPr="007D19C4" w:rsidRDefault="0DE37B90" w:rsidP="3328C818">
            <w:pPr>
              <w:pStyle w:val="Table-Text"/>
              <w:jc w:val="center"/>
            </w:pPr>
            <w:r>
              <w:t xml:space="preserve"> $ 3,563,030 </w:t>
            </w:r>
          </w:p>
        </w:tc>
      </w:tr>
      <w:tr w:rsidR="00CE6335" w:rsidRPr="007D19C4" w14:paraId="428B0789" w14:textId="77777777" w:rsidTr="3328C818">
        <w:trPr>
          <w:trHeight w:hRule="exact" w:val="288"/>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3D052B58" w14:textId="77777777" w:rsidR="007D19C4" w:rsidRPr="007D19C4" w:rsidRDefault="0DE37B90" w:rsidP="3328C818">
            <w:pPr>
              <w:pStyle w:val="Table-Text"/>
            </w:pPr>
            <w:r>
              <w:t xml:space="preserve">Total Annual Cost </w:t>
            </w:r>
          </w:p>
        </w:tc>
        <w:tc>
          <w:tcPr>
            <w:tcW w:w="1050" w:type="dxa"/>
            <w:tcBorders>
              <w:top w:val="nil"/>
              <w:left w:val="nil"/>
              <w:bottom w:val="single" w:sz="4" w:space="0" w:color="auto"/>
              <w:right w:val="single" w:sz="4" w:space="0" w:color="auto"/>
            </w:tcBorders>
            <w:shd w:val="clear" w:color="auto" w:fill="auto"/>
            <w:noWrap/>
            <w:vAlign w:val="center"/>
            <w:hideMark/>
          </w:tcPr>
          <w:p w14:paraId="0A5CB207" w14:textId="6D85CD42" w:rsidR="007D19C4" w:rsidRPr="007D19C4" w:rsidRDefault="0DE37B90" w:rsidP="3328C818">
            <w:pPr>
              <w:pStyle w:val="Table-Text"/>
              <w:jc w:val="center"/>
            </w:pPr>
            <w:r>
              <w:t xml:space="preserve">$ 1,523,344 </w:t>
            </w:r>
          </w:p>
        </w:tc>
        <w:tc>
          <w:tcPr>
            <w:tcW w:w="1049" w:type="dxa"/>
            <w:tcBorders>
              <w:top w:val="nil"/>
              <w:left w:val="nil"/>
              <w:bottom w:val="single" w:sz="4" w:space="0" w:color="auto"/>
              <w:right w:val="single" w:sz="4" w:space="0" w:color="auto"/>
            </w:tcBorders>
            <w:shd w:val="clear" w:color="auto" w:fill="auto"/>
            <w:noWrap/>
            <w:vAlign w:val="center"/>
            <w:hideMark/>
          </w:tcPr>
          <w:p w14:paraId="21266EF7" w14:textId="2F93D62C" w:rsidR="007D19C4" w:rsidRPr="007D19C4" w:rsidRDefault="0DE37B90" w:rsidP="3328C818">
            <w:pPr>
              <w:pStyle w:val="Table-Text"/>
              <w:jc w:val="center"/>
            </w:pPr>
            <w:r>
              <w:t xml:space="preserve">$ 2,208,791 </w:t>
            </w:r>
          </w:p>
        </w:tc>
        <w:tc>
          <w:tcPr>
            <w:tcW w:w="1087" w:type="dxa"/>
            <w:tcBorders>
              <w:top w:val="nil"/>
              <w:left w:val="nil"/>
              <w:bottom w:val="single" w:sz="4" w:space="0" w:color="auto"/>
              <w:right w:val="single" w:sz="4" w:space="0" w:color="auto"/>
            </w:tcBorders>
            <w:shd w:val="clear" w:color="auto" w:fill="auto"/>
            <w:noWrap/>
            <w:vAlign w:val="center"/>
            <w:hideMark/>
          </w:tcPr>
          <w:p w14:paraId="5A7BCAF4" w14:textId="1F223E03" w:rsidR="007D19C4" w:rsidRPr="007D19C4" w:rsidRDefault="0DE37B90" w:rsidP="3328C818">
            <w:pPr>
              <w:pStyle w:val="Table-Text"/>
              <w:jc w:val="center"/>
            </w:pPr>
            <w:r>
              <w:t xml:space="preserve">$ 1,653,162 </w:t>
            </w:r>
          </w:p>
        </w:tc>
        <w:tc>
          <w:tcPr>
            <w:tcW w:w="1156" w:type="dxa"/>
            <w:tcBorders>
              <w:top w:val="nil"/>
              <w:left w:val="nil"/>
              <w:bottom w:val="single" w:sz="4" w:space="0" w:color="auto"/>
              <w:right w:val="single" w:sz="4" w:space="0" w:color="auto"/>
            </w:tcBorders>
            <w:shd w:val="clear" w:color="auto" w:fill="auto"/>
            <w:noWrap/>
            <w:vAlign w:val="center"/>
            <w:hideMark/>
          </w:tcPr>
          <w:p w14:paraId="5A25C895" w14:textId="6407A372" w:rsidR="007D19C4" w:rsidRPr="007D19C4" w:rsidRDefault="0DE37B90" w:rsidP="3328C818">
            <w:pPr>
              <w:pStyle w:val="Table-Text"/>
              <w:jc w:val="center"/>
            </w:pPr>
            <w:r>
              <w:t xml:space="preserve">$ 3,030,587 </w:t>
            </w:r>
          </w:p>
        </w:tc>
        <w:tc>
          <w:tcPr>
            <w:tcW w:w="1156" w:type="dxa"/>
            <w:tcBorders>
              <w:top w:val="nil"/>
              <w:left w:val="nil"/>
              <w:bottom w:val="single" w:sz="4" w:space="0" w:color="auto"/>
              <w:right w:val="single" w:sz="4" w:space="0" w:color="auto"/>
            </w:tcBorders>
            <w:shd w:val="clear" w:color="auto" w:fill="auto"/>
            <w:noWrap/>
            <w:vAlign w:val="center"/>
            <w:hideMark/>
          </w:tcPr>
          <w:p w14:paraId="768CE314" w14:textId="350C7BC7" w:rsidR="007D19C4" w:rsidRPr="007D19C4" w:rsidRDefault="0DE37B90" w:rsidP="3328C818">
            <w:pPr>
              <w:pStyle w:val="Table-Text"/>
              <w:jc w:val="center"/>
            </w:pPr>
            <w:r>
              <w:t xml:space="preserve">$ 4,527,193 </w:t>
            </w:r>
          </w:p>
        </w:tc>
        <w:tc>
          <w:tcPr>
            <w:tcW w:w="1156" w:type="dxa"/>
            <w:tcBorders>
              <w:top w:val="nil"/>
              <w:left w:val="nil"/>
              <w:bottom w:val="single" w:sz="4" w:space="0" w:color="auto"/>
              <w:right w:val="single" w:sz="8" w:space="0" w:color="auto"/>
            </w:tcBorders>
            <w:shd w:val="clear" w:color="auto" w:fill="auto"/>
            <w:noWrap/>
            <w:vAlign w:val="center"/>
            <w:hideMark/>
          </w:tcPr>
          <w:p w14:paraId="15F06623" w14:textId="20DF6065" w:rsidR="007D19C4" w:rsidRPr="007D19C4" w:rsidRDefault="0DE37B90" w:rsidP="3328C818">
            <w:pPr>
              <w:pStyle w:val="Table-Text"/>
              <w:jc w:val="center"/>
            </w:pPr>
            <w:r>
              <w:t xml:space="preserve">$ 8,552,247 </w:t>
            </w:r>
          </w:p>
        </w:tc>
      </w:tr>
      <w:tr w:rsidR="00CE6335" w:rsidRPr="007D19C4" w14:paraId="668483A1" w14:textId="77777777" w:rsidTr="3328C818">
        <w:trPr>
          <w:trHeight w:hRule="exact" w:val="648"/>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6AACDCCC" w14:textId="77777777" w:rsidR="007D19C4" w:rsidRPr="007D19C4" w:rsidRDefault="0DE37B90" w:rsidP="3328C818">
            <w:pPr>
              <w:pStyle w:val="Table-Text"/>
            </w:pPr>
            <w:r>
              <w:t>Uncontrolled SO2 Emission Rate (</w:t>
            </w:r>
            <w:proofErr w:type="spellStart"/>
            <w:r>
              <w:t>lb</w:t>
            </w:r>
            <w:proofErr w:type="spellEnd"/>
            <w:r>
              <w:t>/</w:t>
            </w:r>
            <w:proofErr w:type="spellStart"/>
            <w:r>
              <w:t>mmbtu</w:t>
            </w:r>
            <w:proofErr w:type="spellEnd"/>
            <w:r>
              <w:t>)</w:t>
            </w:r>
          </w:p>
        </w:tc>
        <w:tc>
          <w:tcPr>
            <w:tcW w:w="1050" w:type="dxa"/>
            <w:tcBorders>
              <w:top w:val="nil"/>
              <w:left w:val="nil"/>
              <w:bottom w:val="single" w:sz="4" w:space="0" w:color="auto"/>
              <w:right w:val="single" w:sz="4" w:space="0" w:color="auto"/>
            </w:tcBorders>
            <w:shd w:val="clear" w:color="auto" w:fill="auto"/>
            <w:noWrap/>
            <w:vAlign w:val="center"/>
            <w:hideMark/>
          </w:tcPr>
          <w:p w14:paraId="049F69A3" w14:textId="77777777" w:rsidR="007D19C4" w:rsidRPr="007D19C4" w:rsidRDefault="0DE37B90" w:rsidP="3328C818">
            <w:pPr>
              <w:pStyle w:val="Table-Text"/>
              <w:jc w:val="center"/>
            </w:pPr>
            <w:r>
              <w:t>0.52</w:t>
            </w:r>
          </w:p>
        </w:tc>
        <w:tc>
          <w:tcPr>
            <w:tcW w:w="1049" w:type="dxa"/>
            <w:tcBorders>
              <w:top w:val="nil"/>
              <w:left w:val="nil"/>
              <w:bottom w:val="single" w:sz="4" w:space="0" w:color="auto"/>
              <w:right w:val="single" w:sz="4" w:space="0" w:color="auto"/>
            </w:tcBorders>
            <w:shd w:val="clear" w:color="auto" w:fill="auto"/>
            <w:noWrap/>
            <w:vAlign w:val="center"/>
            <w:hideMark/>
          </w:tcPr>
          <w:p w14:paraId="72A4386D" w14:textId="77777777" w:rsidR="007D19C4" w:rsidRPr="007D19C4" w:rsidRDefault="0DE37B90" w:rsidP="3328C818">
            <w:pPr>
              <w:pStyle w:val="Table-Text"/>
              <w:jc w:val="center"/>
            </w:pPr>
            <w:r>
              <w:t>0.52</w:t>
            </w:r>
          </w:p>
        </w:tc>
        <w:tc>
          <w:tcPr>
            <w:tcW w:w="1087" w:type="dxa"/>
            <w:tcBorders>
              <w:top w:val="nil"/>
              <w:left w:val="nil"/>
              <w:bottom w:val="single" w:sz="4" w:space="0" w:color="auto"/>
              <w:right w:val="single" w:sz="4" w:space="0" w:color="auto"/>
            </w:tcBorders>
            <w:shd w:val="clear" w:color="auto" w:fill="auto"/>
            <w:noWrap/>
            <w:vAlign w:val="center"/>
            <w:hideMark/>
          </w:tcPr>
          <w:p w14:paraId="21159FDE" w14:textId="77777777" w:rsidR="007D19C4" w:rsidRPr="007D19C4" w:rsidRDefault="0DE37B90" w:rsidP="3328C818">
            <w:pPr>
              <w:pStyle w:val="Table-Text"/>
              <w:jc w:val="center"/>
            </w:pPr>
            <w:r>
              <w:t>0.52</w:t>
            </w:r>
          </w:p>
        </w:tc>
        <w:tc>
          <w:tcPr>
            <w:tcW w:w="1156" w:type="dxa"/>
            <w:tcBorders>
              <w:top w:val="nil"/>
              <w:left w:val="nil"/>
              <w:bottom w:val="single" w:sz="4" w:space="0" w:color="auto"/>
              <w:right w:val="single" w:sz="4" w:space="0" w:color="auto"/>
            </w:tcBorders>
            <w:shd w:val="clear" w:color="auto" w:fill="auto"/>
            <w:noWrap/>
            <w:vAlign w:val="center"/>
            <w:hideMark/>
          </w:tcPr>
          <w:p w14:paraId="55A2BB46" w14:textId="77777777" w:rsidR="007D19C4" w:rsidRPr="007D19C4" w:rsidRDefault="0DE37B90" w:rsidP="3328C818">
            <w:pPr>
              <w:pStyle w:val="Table-Text"/>
              <w:jc w:val="center"/>
            </w:pPr>
            <w:r>
              <w:t>0.52</w:t>
            </w:r>
          </w:p>
        </w:tc>
        <w:tc>
          <w:tcPr>
            <w:tcW w:w="1156" w:type="dxa"/>
            <w:tcBorders>
              <w:top w:val="nil"/>
              <w:left w:val="nil"/>
              <w:bottom w:val="single" w:sz="4" w:space="0" w:color="auto"/>
              <w:right w:val="single" w:sz="4" w:space="0" w:color="auto"/>
            </w:tcBorders>
            <w:shd w:val="clear" w:color="auto" w:fill="auto"/>
            <w:noWrap/>
            <w:vAlign w:val="center"/>
            <w:hideMark/>
          </w:tcPr>
          <w:p w14:paraId="5EF74C09" w14:textId="77777777" w:rsidR="007D19C4" w:rsidRPr="007D19C4" w:rsidRDefault="0DE37B90" w:rsidP="3328C818">
            <w:pPr>
              <w:pStyle w:val="Table-Text"/>
              <w:jc w:val="center"/>
            </w:pPr>
            <w:r>
              <w:t>0.52</w:t>
            </w:r>
          </w:p>
        </w:tc>
        <w:tc>
          <w:tcPr>
            <w:tcW w:w="1156" w:type="dxa"/>
            <w:tcBorders>
              <w:top w:val="nil"/>
              <w:left w:val="nil"/>
              <w:bottom w:val="single" w:sz="4" w:space="0" w:color="auto"/>
              <w:right w:val="single" w:sz="8" w:space="0" w:color="auto"/>
            </w:tcBorders>
            <w:shd w:val="clear" w:color="auto" w:fill="auto"/>
            <w:noWrap/>
            <w:vAlign w:val="center"/>
            <w:hideMark/>
          </w:tcPr>
          <w:p w14:paraId="502CECC8" w14:textId="77777777" w:rsidR="007D19C4" w:rsidRPr="007D19C4" w:rsidRDefault="0DE37B90" w:rsidP="3328C818">
            <w:pPr>
              <w:pStyle w:val="Table-Text"/>
              <w:jc w:val="center"/>
            </w:pPr>
            <w:r>
              <w:t>0.52</w:t>
            </w:r>
          </w:p>
        </w:tc>
      </w:tr>
      <w:tr w:rsidR="00CE6335" w:rsidRPr="007D19C4" w14:paraId="64C50204" w14:textId="77777777" w:rsidTr="3328C818">
        <w:trPr>
          <w:trHeight w:hRule="exact" w:val="648"/>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04BAA291" w14:textId="77777777" w:rsidR="007D19C4" w:rsidRPr="007D19C4" w:rsidRDefault="0DE37B90" w:rsidP="3328C818">
            <w:pPr>
              <w:pStyle w:val="Table-Text"/>
            </w:pPr>
            <w:r>
              <w:t>Maximum Uncontrolled Tons/</w:t>
            </w:r>
            <w:proofErr w:type="spellStart"/>
            <w:r>
              <w:t>yr</w:t>
            </w:r>
            <w:proofErr w:type="spellEnd"/>
          </w:p>
        </w:tc>
        <w:tc>
          <w:tcPr>
            <w:tcW w:w="1050" w:type="dxa"/>
            <w:tcBorders>
              <w:top w:val="nil"/>
              <w:left w:val="nil"/>
              <w:bottom w:val="single" w:sz="4" w:space="0" w:color="auto"/>
              <w:right w:val="single" w:sz="4" w:space="0" w:color="auto"/>
            </w:tcBorders>
            <w:shd w:val="clear" w:color="auto" w:fill="auto"/>
            <w:noWrap/>
            <w:vAlign w:val="center"/>
            <w:hideMark/>
          </w:tcPr>
          <w:p w14:paraId="06FB3772" w14:textId="535FD4D4" w:rsidR="007D19C4" w:rsidRPr="007D19C4" w:rsidRDefault="0DE37B90" w:rsidP="3328C818">
            <w:pPr>
              <w:pStyle w:val="Table-Text"/>
              <w:jc w:val="center"/>
            </w:pPr>
            <w:r>
              <w:t xml:space="preserve">1,076 </w:t>
            </w:r>
          </w:p>
        </w:tc>
        <w:tc>
          <w:tcPr>
            <w:tcW w:w="1049" w:type="dxa"/>
            <w:tcBorders>
              <w:top w:val="nil"/>
              <w:left w:val="nil"/>
              <w:bottom w:val="single" w:sz="4" w:space="0" w:color="auto"/>
              <w:right w:val="single" w:sz="4" w:space="0" w:color="auto"/>
            </w:tcBorders>
            <w:shd w:val="clear" w:color="auto" w:fill="auto"/>
            <w:noWrap/>
            <w:vAlign w:val="center"/>
            <w:hideMark/>
          </w:tcPr>
          <w:p w14:paraId="6E8ACEAD" w14:textId="1E74AC26" w:rsidR="007D19C4" w:rsidRPr="007D19C4" w:rsidRDefault="0DE37B90" w:rsidP="3328C818">
            <w:pPr>
              <w:pStyle w:val="Table-Text"/>
              <w:jc w:val="center"/>
            </w:pPr>
            <w:r>
              <w:t xml:space="preserve">1,076 </w:t>
            </w:r>
          </w:p>
        </w:tc>
        <w:tc>
          <w:tcPr>
            <w:tcW w:w="1087" w:type="dxa"/>
            <w:tcBorders>
              <w:top w:val="nil"/>
              <w:left w:val="nil"/>
              <w:bottom w:val="single" w:sz="4" w:space="0" w:color="auto"/>
              <w:right w:val="single" w:sz="4" w:space="0" w:color="auto"/>
            </w:tcBorders>
            <w:shd w:val="clear" w:color="auto" w:fill="auto"/>
            <w:noWrap/>
            <w:vAlign w:val="center"/>
            <w:hideMark/>
          </w:tcPr>
          <w:p w14:paraId="5E27C0E0" w14:textId="7CFCED31" w:rsidR="007D19C4" w:rsidRPr="007D19C4" w:rsidRDefault="0DE37B90" w:rsidP="3328C818">
            <w:pPr>
              <w:pStyle w:val="Table-Text"/>
              <w:jc w:val="center"/>
            </w:pPr>
            <w:r>
              <w:t xml:space="preserve">1,076 </w:t>
            </w:r>
          </w:p>
        </w:tc>
        <w:tc>
          <w:tcPr>
            <w:tcW w:w="1156" w:type="dxa"/>
            <w:tcBorders>
              <w:top w:val="nil"/>
              <w:left w:val="nil"/>
              <w:bottom w:val="single" w:sz="4" w:space="0" w:color="auto"/>
              <w:right w:val="single" w:sz="4" w:space="0" w:color="auto"/>
            </w:tcBorders>
            <w:shd w:val="clear" w:color="auto" w:fill="auto"/>
            <w:noWrap/>
            <w:vAlign w:val="center"/>
            <w:hideMark/>
          </w:tcPr>
          <w:p w14:paraId="361F3F4C" w14:textId="0E246445" w:rsidR="007D19C4" w:rsidRPr="007D19C4" w:rsidRDefault="0DE37B90" w:rsidP="3328C818">
            <w:pPr>
              <w:pStyle w:val="Table-Text"/>
              <w:jc w:val="center"/>
            </w:pPr>
            <w:r>
              <w:t xml:space="preserve">1,076 </w:t>
            </w:r>
          </w:p>
        </w:tc>
        <w:tc>
          <w:tcPr>
            <w:tcW w:w="1156" w:type="dxa"/>
            <w:tcBorders>
              <w:top w:val="nil"/>
              <w:left w:val="nil"/>
              <w:bottom w:val="single" w:sz="4" w:space="0" w:color="auto"/>
              <w:right w:val="single" w:sz="4" w:space="0" w:color="auto"/>
            </w:tcBorders>
            <w:shd w:val="clear" w:color="auto" w:fill="auto"/>
            <w:noWrap/>
            <w:vAlign w:val="center"/>
            <w:hideMark/>
          </w:tcPr>
          <w:p w14:paraId="67CC0BFE" w14:textId="2AA94310" w:rsidR="007D19C4" w:rsidRPr="007D19C4" w:rsidRDefault="0DE37B90" w:rsidP="3328C818">
            <w:pPr>
              <w:pStyle w:val="Table-Text"/>
              <w:jc w:val="center"/>
            </w:pPr>
            <w:r>
              <w:t xml:space="preserve">1,076 </w:t>
            </w:r>
          </w:p>
        </w:tc>
        <w:tc>
          <w:tcPr>
            <w:tcW w:w="1156" w:type="dxa"/>
            <w:tcBorders>
              <w:top w:val="nil"/>
              <w:left w:val="nil"/>
              <w:bottom w:val="single" w:sz="4" w:space="0" w:color="auto"/>
              <w:right w:val="single" w:sz="8" w:space="0" w:color="auto"/>
            </w:tcBorders>
            <w:shd w:val="clear" w:color="auto" w:fill="auto"/>
            <w:noWrap/>
            <w:vAlign w:val="center"/>
            <w:hideMark/>
          </w:tcPr>
          <w:p w14:paraId="19F4F0C2" w14:textId="3A7E9814" w:rsidR="007D19C4" w:rsidRPr="007D19C4" w:rsidRDefault="0DE37B90" w:rsidP="3328C818">
            <w:pPr>
              <w:pStyle w:val="Table-Text"/>
              <w:jc w:val="center"/>
            </w:pPr>
            <w:r>
              <w:t xml:space="preserve">1,076 </w:t>
            </w:r>
          </w:p>
        </w:tc>
      </w:tr>
      <w:tr w:rsidR="00CE6335" w:rsidRPr="007D19C4" w14:paraId="751D3582" w14:textId="77777777" w:rsidTr="3328C818">
        <w:trPr>
          <w:trHeight w:hRule="exact" w:val="288"/>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74EB2E7D" w14:textId="77777777" w:rsidR="007D19C4" w:rsidRPr="007D19C4" w:rsidRDefault="0DE37B90" w:rsidP="3328C818">
            <w:pPr>
              <w:pStyle w:val="Table-Text"/>
            </w:pPr>
            <w:r>
              <w:t>Uncontrolled Tons</w:t>
            </w:r>
          </w:p>
        </w:tc>
        <w:tc>
          <w:tcPr>
            <w:tcW w:w="1050" w:type="dxa"/>
            <w:tcBorders>
              <w:top w:val="nil"/>
              <w:left w:val="nil"/>
              <w:bottom w:val="single" w:sz="4" w:space="0" w:color="auto"/>
              <w:right w:val="single" w:sz="4" w:space="0" w:color="auto"/>
            </w:tcBorders>
            <w:shd w:val="clear" w:color="auto" w:fill="auto"/>
            <w:noWrap/>
            <w:vAlign w:val="center"/>
            <w:hideMark/>
          </w:tcPr>
          <w:p w14:paraId="7D6365D8" w14:textId="77777777" w:rsidR="007D19C4" w:rsidRPr="007D19C4" w:rsidRDefault="0DE37B90" w:rsidP="3328C818">
            <w:pPr>
              <w:pStyle w:val="Table-Text"/>
              <w:jc w:val="center"/>
            </w:pPr>
            <w:r>
              <w:t>795</w:t>
            </w:r>
          </w:p>
        </w:tc>
        <w:tc>
          <w:tcPr>
            <w:tcW w:w="1049" w:type="dxa"/>
            <w:tcBorders>
              <w:top w:val="nil"/>
              <w:left w:val="nil"/>
              <w:bottom w:val="single" w:sz="4" w:space="0" w:color="auto"/>
              <w:right w:val="single" w:sz="4" w:space="0" w:color="auto"/>
            </w:tcBorders>
            <w:shd w:val="clear" w:color="auto" w:fill="auto"/>
            <w:noWrap/>
            <w:vAlign w:val="center"/>
            <w:hideMark/>
          </w:tcPr>
          <w:p w14:paraId="69471A29" w14:textId="77777777" w:rsidR="007D19C4" w:rsidRPr="007D19C4" w:rsidRDefault="0DE37B90" w:rsidP="3328C818">
            <w:pPr>
              <w:pStyle w:val="Table-Text"/>
              <w:jc w:val="center"/>
            </w:pPr>
            <w:r>
              <w:t>795</w:t>
            </w:r>
          </w:p>
        </w:tc>
        <w:tc>
          <w:tcPr>
            <w:tcW w:w="1087" w:type="dxa"/>
            <w:tcBorders>
              <w:top w:val="nil"/>
              <w:left w:val="nil"/>
              <w:bottom w:val="single" w:sz="4" w:space="0" w:color="auto"/>
              <w:right w:val="single" w:sz="4" w:space="0" w:color="auto"/>
            </w:tcBorders>
            <w:shd w:val="clear" w:color="auto" w:fill="auto"/>
            <w:noWrap/>
            <w:vAlign w:val="center"/>
            <w:hideMark/>
          </w:tcPr>
          <w:p w14:paraId="67C37920" w14:textId="77777777" w:rsidR="007D19C4" w:rsidRPr="007D19C4" w:rsidRDefault="0DE37B90" w:rsidP="3328C818">
            <w:pPr>
              <w:pStyle w:val="Table-Text"/>
              <w:jc w:val="center"/>
            </w:pPr>
            <w:r>
              <w:t>795</w:t>
            </w:r>
          </w:p>
        </w:tc>
        <w:tc>
          <w:tcPr>
            <w:tcW w:w="1156" w:type="dxa"/>
            <w:tcBorders>
              <w:top w:val="nil"/>
              <w:left w:val="nil"/>
              <w:bottom w:val="single" w:sz="4" w:space="0" w:color="auto"/>
              <w:right w:val="single" w:sz="4" w:space="0" w:color="auto"/>
            </w:tcBorders>
            <w:shd w:val="clear" w:color="auto" w:fill="auto"/>
            <w:noWrap/>
            <w:vAlign w:val="center"/>
            <w:hideMark/>
          </w:tcPr>
          <w:p w14:paraId="510A9F7C" w14:textId="77777777" w:rsidR="007D19C4" w:rsidRPr="007D19C4" w:rsidRDefault="0DE37B90" w:rsidP="3328C818">
            <w:pPr>
              <w:pStyle w:val="Table-Text"/>
              <w:jc w:val="center"/>
            </w:pPr>
            <w:r>
              <w:t>795</w:t>
            </w:r>
          </w:p>
        </w:tc>
        <w:tc>
          <w:tcPr>
            <w:tcW w:w="1156" w:type="dxa"/>
            <w:tcBorders>
              <w:top w:val="nil"/>
              <w:left w:val="nil"/>
              <w:bottom w:val="single" w:sz="4" w:space="0" w:color="auto"/>
              <w:right w:val="single" w:sz="4" w:space="0" w:color="auto"/>
            </w:tcBorders>
            <w:shd w:val="clear" w:color="auto" w:fill="auto"/>
            <w:noWrap/>
            <w:vAlign w:val="center"/>
            <w:hideMark/>
          </w:tcPr>
          <w:p w14:paraId="1F95303D" w14:textId="2471FC55" w:rsidR="007D19C4" w:rsidRPr="007D19C4" w:rsidRDefault="11CB46C1" w:rsidP="3328C818">
            <w:pPr>
              <w:pStyle w:val="Table-Text"/>
              <w:jc w:val="center"/>
            </w:pPr>
            <w:r>
              <w:t>795</w:t>
            </w:r>
          </w:p>
        </w:tc>
        <w:tc>
          <w:tcPr>
            <w:tcW w:w="1156" w:type="dxa"/>
            <w:tcBorders>
              <w:top w:val="nil"/>
              <w:left w:val="nil"/>
              <w:bottom w:val="single" w:sz="4" w:space="0" w:color="auto"/>
              <w:right w:val="single" w:sz="8" w:space="0" w:color="auto"/>
            </w:tcBorders>
            <w:shd w:val="clear" w:color="auto" w:fill="auto"/>
            <w:noWrap/>
            <w:vAlign w:val="center"/>
            <w:hideMark/>
          </w:tcPr>
          <w:p w14:paraId="396865FC" w14:textId="00E5AFC2" w:rsidR="007D19C4" w:rsidRPr="007D19C4" w:rsidRDefault="0DE37B90" w:rsidP="3328C818">
            <w:pPr>
              <w:pStyle w:val="Table-Text"/>
              <w:jc w:val="center"/>
            </w:pPr>
            <w:r>
              <w:t>79</w:t>
            </w:r>
            <w:r w:rsidR="11CB46C1">
              <w:t>5</w:t>
            </w:r>
          </w:p>
        </w:tc>
      </w:tr>
      <w:tr w:rsidR="00CE6335" w:rsidRPr="007D19C4" w14:paraId="39B5F781" w14:textId="77777777" w:rsidTr="3328C818">
        <w:trPr>
          <w:trHeight w:hRule="exact" w:val="288"/>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7C9AA892" w14:textId="77777777" w:rsidR="007D19C4" w:rsidRPr="007D19C4" w:rsidRDefault="0DE37B90" w:rsidP="3328C818">
            <w:pPr>
              <w:pStyle w:val="Table-Text"/>
            </w:pPr>
            <w:r>
              <w:t>SO2 Removal Efficiency (%)</w:t>
            </w:r>
          </w:p>
        </w:tc>
        <w:tc>
          <w:tcPr>
            <w:tcW w:w="1050" w:type="dxa"/>
            <w:tcBorders>
              <w:top w:val="nil"/>
              <w:left w:val="nil"/>
              <w:bottom w:val="single" w:sz="4" w:space="0" w:color="auto"/>
              <w:right w:val="single" w:sz="4" w:space="0" w:color="auto"/>
            </w:tcBorders>
            <w:shd w:val="clear" w:color="auto" w:fill="auto"/>
            <w:noWrap/>
            <w:vAlign w:val="center"/>
            <w:hideMark/>
          </w:tcPr>
          <w:p w14:paraId="5441DC0E" w14:textId="77777777" w:rsidR="007D19C4" w:rsidRPr="007D19C4" w:rsidRDefault="0DE37B90" w:rsidP="3328C818">
            <w:pPr>
              <w:pStyle w:val="Table-Text"/>
              <w:jc w:val="center"/>
            </w:pPr>
            <w:r>
              <w:t>30</w:t>
            </w:r>
          </w:p>
        </w:tc>
        <w:tc>
          <w:tcPr>
            <w:tcW w:w="1049" w:type="dxa"/>
            <w:tcBorders>
              <w:top w:val="nil"/>
              <w:left w:val="nil"/>
              <w:bottom w:val="single" w:sz="4" w:space="0" w:color="auto"/>
              <w:right w:val="single" w:sz="4" w:space="0" w:color="auto"/>
            </w:tcBorders>
            <w:shd w:val="clear" w:color="auto" w:fill="auto"/>
            <w:noWrap/>
            <w:vAlign w:val="center"/>
            <w:hideMark/>
          </w:tcPr>
          <w:p w14:paraId="7DA3D807" w14:textId="77777777" w:rsidR="007D19C4" w:rsidRPr="007D19C4" w:rsidRDefault="0DE37B90" w:rsidP="3328C818">
            <w:pPr>
              <w:pStyle w:val="Table-Text"/>
              <w:jc w:val="center"/>
            </w:pPr>
            <w:r>
              <w:t>50</w:t>
            </w:r>
          </w:p>
        </w:tc>
        <w:tc>
          <w:tcPr>
            <w:tcW w:w="1087" w:type="dxa"/>
            <w:tcBorders>
              <w:top w:val="nil"/>
              <w:left w:val="nil"/>
              <w:bottom w:val="single" w:sz="4" w:space="0" w:color="auto"/>
              <w:right w:val="single" w:sz="4" w:space="0" w:color="auto"/>
            </w:tcBorders>
            <w:shd w:val="clear" w:color="auto" w:fill="auto"/>
            <w:noWrap/>
            <w:vAlign w:val="center"/>
            <w:hideMark/>
          </w:tcPr>
          <w:p w14:paraId="11A387AC" w14:textId="77777777" w:rsidR="007D19C4" w:rsidRPr="007D19C4" w:rsidRDefault="0DE37B90" w:rsidP="3328C818">
            <w:pPr>
              <w:pStyle w:val="Table-Text"/>
              <w:jc w:val="center"/>
            </w:pPr>
            <w:r>
              <w:t>40</w:t>
            </w:r>
          </w:p>
        </w:tc>
        <w:tc>
          <w:tcPr>
            <w:tcW w:w="1156" w:type="dxa"/>
            <w:tcBorders>
              <w:top w:val="nil"/>
              <w:left w:val="nil"/>
              <w:bottom w:val="single" w:sz="4" w:space="0" w:color="auto"/>
              <w:right w:val="single" w:sz="4" w:space="0" w:color="auto"/>
            </w:tcBorders>
            <w:shd w:val="clear" w:color="auto" w:fill="auto"/>
            <w:noWrap/>
            <w:vAlign w:val="center"/>
            <w:hideMark/>
          </w:tcPr>
          <w:p w14:paraId="4998802A" w14:textId="77777777" w:rsidR="007D19C4" w:rsidRPr="007D19C4" w:rsidRDefault="0DE37B90" w:rsidP="3328C818">
            <w:pPr>
              <w:pStyle w:val="Table-Text"/>
              <w:jc w:val="center"/>
            </w:pPr>
            <w:r>
              <w:t>80</w:t>
            </w:r>
          </w:p>
        </w:tc>
        <w:tc>
          <w:tcPr>
            <w:tcW w:w="1156" w:type="dxa"/>
            <w:tcBorders>
              <w:top w:val="nil"/>
              <w:left w:val="nil"/>
              <w:bottom w:val="single" w:sz="4" w:space="0" w:color="auto"/>
              <w:right w:val="single" w:sz="4" w:space="0" w:color="auto"/>
            </w:tcBorders>
            <w:shd w:val="clear" w:color="auto" w:fill="auto"/>
            <w:noWrap/>
            <w:vAlign w:val="center"/>
            <w:hideMark/>
          </w:tcPr>
          <w:p w14:paraId="7A79AB50" w14:textId="77777777" w:rsidR="007D19C4" w:rsidRPr="007D19C4" w:rsidRDefault="0DE37B90" w:rsidP="3328C818">
            <w:pPr>
              <w:pStyle w:val="Table-Text"/>
              <w:jc w:val="center"/>
            </w:pPr>
            <w:r>
              <w:t>88</w:t>
            </w:r>
          </w:p>
        </w:tc>
        <w:tc>
          <w:tcPr>
            <w:tcW w:w="1156" w:type="dxa"/>
            <w:tcBorders>
              <w:top w:val="nil"/>
              <w:left w:val="nil"/>
              <w:bottom w:val="single" w:sz="4" w:space="0" w:color="auto"/>
              <w:right w:val="single" w:sz="8" w:space="0" w:color="auto"/>
            </w:tcBorders>
            <w:shd w:val="clear" w:color="auto" w:fill="auto"/>
            <w:noWrap/>
            <w:vAlign w:val="center"/>
            <w:hideMark/>
          </w:tcPr>
          <w:p w14:paraId="28AE1706" w14:textId="77777777" w:rsidR="007D19C4" w:rsidRPr="007D19C4" w:rsidRDefault="0DE37B90" w:rsidP="3328C818">
            <w:pPr>
              <w:pStyle w:val="Table-Text"/>
              <w:jc w:val="center"/>
            </w:pPr>
            <w:r>
              <w:t>92</w:t>
            </w:r>
          </w:p>
        </w:tc>
      </w:tr>
      <w:tr w:rsidR="00CE6335" w:rsidRPr="007D19C4" w14:paraId="44197E66" w14:textId="77777777" w:rsidTr="3328C818">
        <w:trPr>
          <w:trHeight w:hRule="exact" w:val="288"/>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14E4DDCB" w14:textId="77777777" w:rsidR="007D19C4" w:rsidRPr="007D19C4" w:rsidRDefault="0DE37B90" w:rsidP="3328C818">
            <w:pPr>
              <w:pStyle w:val="Table-Text"/>
            </w:pPr>
            <w:r>
              <w:t>Controlled SO2 Emission Rate (</w:t>
            </w:r>
            <w:proofErr w:type="spellStart"/>
            <w:r>
              <w:t>lb</w:t>
            </w:r>
            <w:proofErr w:type="spellEnd"/>
            <w:r>
              <w:t>/</w:t>
            </w:r>
            <w:proofErr w:type="spellStart"/>
            <w:r>
              <w:t>mmbtu</w:t>
            </w:r>
            <w:proofErr w:type="spellEnd"/>
            <w:r>
              <w:t>)</w:t>
            </w:r>
          </w:p>
        </w:tc>
        <w:tc>
          <w:tcPr>
            <w:tcW w:w="1050" w:type="dxa"/>
            <w:tcBorders>
              <w:top w:val="nil"/>
              <w:left w:val="nil"/>
              <w:bottom w:val="single" w:sz="4" w:space="0" w:color="auto"/>
              <w:right w:val="single" w:sz="4" w:space="0" w:color="auto"/>
            </w:tcBorders>
            <w:shd w:val="clear" w:color="auto" w:fill="auto"/>
            <w:noWrap/>
            <w:vAlign w:val="center"/>
            <w:hideMark/>
          </w:tcPr>
          <w:p w14:paraId="2B1D64A0" w14:textId="77777777" w:rsidR="007D19C4" w:rsidRPr="007D19C4" w:rsidRDefault="0DE37B90" w:rsidP="3328C818">
            <w:pPr>
              <w:pStyle w:val="Table-Text"/>
              <w:jc w:val="center"/>
            </w:pPr>
            <w:r>
              <w:t>0.36</w:t>
            </w:r>
          </w:p>
        </w:tc>
        <w:tc>
          <w:tcPr>
            <w:tcW w:w="1049" w:type="dxa"/>
            <w:tcBorders>
              <w:top w:val="nil"/>
              <w:left w:val="nil"/>
              <w:bottom w:val="single" w:sz="4" w:space="0" w:color="auto"/>
              <w:right w:val="single" w:sz="4" w:space="0" w:color="auto"/>
            </w:tcBorders>
            <w:shd w:val="clear" w:color="auto" w:fill="auto"/>
            <w:noWrap/>
            <w:vAlign w:val="center"/>
            <w:hideMark/>
          </w:tcPr>
          <w:p w14:paraId="21AA2A97" w14:textId="77777777" w:rsidR="007D19C4" w:rsidRPr="007D19C4" w:rsidRDefault="0DE37B90" w:rsidP="3328C818">
            <w:pPr>
              <w:pStyle w:val="Table-Text"/>
              <w:jc w:val="center"/>
            </w:pPr>
            <w:r>
              <w:t>0.26</w:t>
            </w:r>
          </w:p>
        </w:tc>
        <w:tc>
          <w:tcPr>
            <w:tcW w:w="1087" w:type="dxa"/>
            <w:tcBorders>
              <w:top w:val="nil"/>
              <w:left w:val="nil"/>
              <w:bottom w:val="single" w:sz="4" w:space="0" w:color="auto"/>
              <w:right w:val="single" w:sz="4" w:space="0" w:color="auto"/>
            </w:tcBorders>
            <w:shd w:val="clear" w:color="auto" w:fill="auto"/>
            <w:noWrap/>
            <w:vAlign w:val="center"/>
            <w:hideMark/>
          </w:tcPr>
          <w:p w14:paraId="18309BE1" w14:textId="77777777" w:rsidR="007D19C4" w:rsidRPr="007D19C4" w:rsidRDefault="0DE37B90" w:rsidP="3328C818">
            <w:pPr>
              <w:pStyle w:val="Table-Text"/>
              <w:jc w:val="center"/>
            </w:pPr>
            <w:r>
              <w:t>0.31</w:t>
            </w:r>
          </w:p>
        </w:tc>
        <w:tc>
          <w:tcPr>
            <w:tcW w:w="1156" w:type="dxa"/>
            <w:tcBorders>
              <w:top w:val="nil"/>
              <w:left w:val="nil"/>
              <w:bottom w:val="single" w:sz="4" w:space="0" w:color="auto"/>
              <w:right w:val="single" w:sz="4" w:space="0" w:color="auto"/>
            </w:tcBorders>
            <w:shd w:val="clear" w:color="auto" w:fill="auto"/>
            <w:noWrap/>
            <w:vAlign w:val="center"/>
            <w:hideMark/>
          </w:tcPr>
          <w:p w14:paraId="1BD8C2FC" w14:textId="77777777" w:rsidR="007D19C4" w:rsidRPr="007D19C4" w:rsidRDefault="0DE37B90" w:rsidP="3328C818">
            <w:pPr>
              <w:pStyle w:val="Table-Text"/>
              <w:jc w:val="center"/>
            </w:pPr>
            <w:r>
              <w:t>0.10</w:t>
            </w:r>
          </w:p>
        </w:tc>
        <w:tc>
          <w:tcPr>
            <w:tcW w:w="1156" w:type="dxa"/>
            <w:tcBorders>
              <w:top w:val="nil"/>
              <w:left w:val="nil"/>
              <w:bottom w:val="single" w:sz="4" w:space="0" w:color="auto"/>
              <w:right w:val="single" w:sz="4" w:space="0" w:color="auto"/>
            </w:tcBorders>
            <w:shd w:val="clear" w:color="auto" w:fill="auto"/>
            <w:noWrap/>
            <w:vAlign w:val="center"/>
            <w:hideMark/>
          </w:tcPr>
          <w:p w14:paraId="65BCF285" w14:textId="77777777" w:rsidR="007D19C4" w:rsidRPr="007D19C4" w:rsidRDefault="0DE37B90" w:rsidP="3328C818">
            <w:pPr>
              <w:pStyle w:val="Table-Text"/>
              <w:jc w:val="center"/>
            </w:pPr>
            <w:r>
              <w:t>0.06</w:t>
            </w:r>
          </w:p>
        </w:tc>
        <w:tc>
          <w:tcPr>
            <w:tcW w:w="1156" w:type="dxa"/>
            <w:tcBorders>
              <w:top w:val="nil"/>
              <w:left w:val="nil"/>
              <w:bottom w:val="single" w:sz="4" w:space="0" w:color="auto"/>
              <w:right w:val="single" w:sz="8" w:space="0" w:color="auto"/>
            </w:tcBorders>
            <w:shd w:val="clear" w:color="auto" w:fill="auto"/>
            <w:noWrap/>
            <w:vAlign w:val="center"/>
            <w:hideMark/>
          </w:tcPr>
          <w:p w14:paraId="1CB0C244" w14:textId="77777777" w:rsidR="007D19C4" w:rsidRPr="007D19C4" w:rsidRDefault="0DE37B90" w:rsidP="3328C818">
            <w:pPr>
              <w:pStyle w:val="Table-Text"/>
              <w:jc w:val="center"/>
            </w:pPr>
            <w:r>
              <w:t>0.04</w:t>
            </w:r>
          </w:p>
        </w:tc>
      </w:tr>
      <w:tr w:rsidR="00CE6335" w:rsidRPr="007D19C4" w14:paraId="72BF7B28" w14:textId="77777777" w:rsidTr="3328C818">
        <w:trPr>
          <w:trHeight w:hRule="exact" w:val="288"/>
        </w:trPr>
        <w:tc>
          <w:tcPr>
            <w:tcW w:w="2160" w:type="dxa"/>
            <w:tcBorders>
              <w:top w:val="nil"/>
              <w:left w:val="single" w:sz="8" w:space="0" w:color="auto"/>
              <w:bottom w:val="single" w:sz="4" w:space="0" w:color="auto"/>
              <w:right w:val="single" w:sz="4" w:space="0" w:color="auto"/>
            </w:tcBorders>
            <w:shd w:val="clear" w:color="auto" w:fill="auto"/>
            <w:noWrap/>
            <w:vAlign w:val="center"/>
            <w:hideMark/>
          </w:tcPr>
          <w:p w14:paraId="2112E4C6" w14:textId="77777777" w:rsidR="007D19C4" w:rsidRPr="007D19C4" w:rsidRDefault="0DE37B90" w:rsidP="3328C818">
            <w:pPr>
              <w:pStyle w:val="Table-Text"/>
            </w:pPr>
            <w:r>
              <w:t>Tons Removed</w:t>
            </w:r>
          </w:p>
        </w:tc>
        <w:tc>
          <w:tcPr>
            <w:tcW w:w="1050" w:type="dxa"/>
            <w:tcBorders>
              <w:top w:val="nil"/>
              <w:left w:val="nil"/>
              <w:bottom w:val="single" w:sz="4" w:space="0" w:color="auto"/>
              <w:right w:val="single" w:sz="4" w:space="0" w:color="auto"/>
            </w:tcBorders>
            <w:shd w:val="clear" w:color="auto" w:fill="auto"/>
            <w:noWrap/>
            <w:vAlign w:val="center"/>
            <w:hideMark/>
          </w:tcPr>
          <w:p w14:paraId="6CDF51F9" w14:textId="77777777" w:rsidR="007D19C4" w:rsidRPr="007D19C4" w:rsidRDefault="0DE37B90" w:rsidP="3328C818">
            <w:pPr>
              <w:pStyle w:val="Table-Text"/>
              <w:jc w:val="center"/>
            </w:pPr>
            <w:r>
              <w:t>239</w:t>
            </w:r>
          </w:p>
        </w:tc>
        <w:tc>
          <w:tcPr>
            <w:tcW w:w="1049" w:type="dxa"/>
            <w:tcBorders>
              <w:top w:val="nil"/>
              <w:left w:val="nil"/>
              <w:bottom w:val="single" w:sz="4" w:space="0" w:color="auto"/>
              <w:right w:val="single" w:sz="4" w:space="0" w:color="auto"/>
            </w:tcBorders>
            <w:shd w:val="clear" w:color="auto" w:fill="auto"/>
            <w:noWrap/>
            <w:vAlign w:val="center"/>
            <w:hideMark/>
          </w:tcPr>
          <w:p w14:paraId="4E58B9B0" w14:textId="77777777" w:rsidR="007D19C4" w:rsidRPr="007D19C4" w:rsidRDefault="0DE37B90" w:rsidP="3328C818">
            <w:pPr>
              <w:pStyle w:val="Table-Text"/>
              <w:jc w:val="center"/>
            </w:pPr>
            <w:r>
              <w:t>398</w:t>
            </w:r>
          </w:p>
        </w:tc>
        <w:tc>
          <w:tcPr>
            <w:tcW w:w="1087" w:type="dxa"/>
            <w:tcBorders>
              <w:top w:val="nil"/>
              <w:left w:val="nil"/>
              <w:bottom w:val="single" w:sz="4" w:space="0" w:color="auto"/>
              <w:right w:val="single" w:sz="4" w:space="0" w:color="auto"/>
            </w:tcBorders>
            <w:shd w:val="clear" w:color="auto" w:fill="auto"/>
            <w:noWrap/>
            <w:vAlign w:val="center"/>
            <w:hideMark/>
          </w:tcPr>
          <w:p w14:paraId="3CD87512" w14:textId="77777777" w:rsidR="007D19C4" w:rsidRPr="007D19C4" w:rsidRDefault="0DE37B90" w:rsidP="3328C818">
            <w:pPr>
              <w:pStyle w:val="Table-Text"/>
              <w:jc w:val="center"/>
            </w:pPr>
            <w:r>
              <w:t>318</w:t>
            </w:r>
          </w:p>
        </w:tc>
        <w:tc>
          <w:tcPr>
            <w:tcW w:w="1156" w:type="dxa"/>
            <w:tcBorders>
              <w:top w:val="nil"/>
              <w:left w:val="nil"/>
              <w:bottom w:val="single" w:sz="4" w:space="0" w:color="auto"/>
              <w:right w:val="single" w:sz="4" w:space="0" w:color="auto"/>
            </w:tcBorders>
            <w:shd w:val="clear" w:color="auto" w:fill="auto"/>
            <w:noWrap/>
            <w:vAlign w:val="center"/>
            <w:hideMark/>
          </w:tcPr>
          <w:p w14:paraId="57100F1A" w14:textId="77777777" w:rsidR="007D19C4" w:rsidRPr="007D19C4" w:rsidRDefault="0DE37B90" w:rsidP="3328C818">
            <w:pPr>
              <w:pStyle w:val="Table-Text"/>
              <w:jc w:val="center"/>
            </w:pPr>
            <w:r>
              <w:t>636</w:t>
            </w:r>
          </w:p>
        </w:tc>
        <w:tc>
          <w:tcPr>
            <w:tcW w:w="1156" w:type="dxa"/>
            <w:tcBorders>
              <w:top w:val="nil"/>
              <w:left w:val="nil"/>
              <w:bottom w:val="single" w:sz="4" w:space="0" w:color="auto"/>
              <w:right w:val="single" w:sz="4" w:space="0" w:color="auto"/>
            </w:tcBorders>
            <w:shd w:val="clear" w:color="auto" w:fill="auto"/>
            <w:noWrap/>
            <w:vAlign w:val="center"/>
            <w:hideMark/>
          </w:tcPr>
          <w:p w14:paraId="1E2030F0" w14:textId="77777777" w:rsidR="007D19C4" w:rsidRPr="007D19C4" w:rsidRDefault="0DE37B90" w:rsidP="3328C818">
            <w:pPr>
              <w:pStyle w:val="Table-Text"/>
              <w:jc w:val="center"/>
            </w:pPr>
            <w:r>
              <w:t>703</w:t>
            </w:r>
          </w:p>
        </w:tc>
        <w:tc>
          <w:tcPr>
            <w:tcW w:w="1156" w:type="dxa"/>
            <w:tcBorders>
              <w:top w:val="nil"/>
              <w:left w:val="nil"/>
              <w:bottom w:val="single" w:sz="4" w:space="0" w:color="auto"/>
              <w:right w:val="single" w:sz="8" w:space="0" w:color="auto"/>
            </w:tcBorders>
            <w:shd w:val="clear" w:color="auto" w:fill="auto"/>
            <w:noWrap/>
            <w:vAlign w:val="center"/>
            <w:hideMark/>
          </w:tcPr>
          <w:p w14:paraId="54022E85" w14:textId="77777777" w:rsidR="007D19C4" w:rsidRPr="007D19C4" w:rsidRDefault="0DE37B90" w:rsidP="3328C818">
            <w:pPr>
              <w:pStyle w:val="Table-Text"/>
              <w:jc w:val="center"/>
            </w:pPr>
            <w:r>
              <w:t>733</w:t>
            </w:r>
          </w:p>
        </w:tc>
      </w:tr>
      <w:tr w:rsidR="00CE6335" w:rsidRPr="007D19C4" w14:paraId="13BA22B8" w14:textId="77777777" w:rsidTr="3328C818">
        <w:trPr>
          <w:trHeight w:hRule="exact" w:val="288"/>
        </w:trPr>
        <w:tc>
          <w:tcPr>
            <w:tcW w:w="2160" w:type="dxa"/>
            <w:tcBorders>
              <w:top w:val="nil"/>
              <w:left w:val="single" w:sz="8" w:space="0" w:color="auto"/>
              <w:bottom w:val="single" w:sz="8" w:space="0" w:color="auto"/>
              <w:right w:val="single" w:sz="4" w:space="0" w:color="auto"/>
            </w:tcBorders>
            <w:shd w:val="clear" w:color="auto" w:fill="auto"/>
            <w:noWrap/>
            <w:vAlign w:val="center"/>
            <w:hideMark/>
          </w:tcPr>
          <w:p w14:paraId="36E49B61" w14:textId="77777777" w:rsidR="007D19C4" w:rsidRPr="007D19C4" w:rsidRDefault="0DE37B90" w:rsidP="3328C818">
            <w:pPr>
              <w:pStyle w:val="Table-Text"/>
            </w:pPr>
            <w:r>
              <w:t>Cost-Effectiveness</w:t>
            </w:r>
          </w:p>
        </w:tc>
        <w:tc>
          <w:tcPr>
            <w:tcW w:w="1050" w:type="dxa"/>
            <w:tcBorders>
              <w:top w:val="nil"/>
              <w:left w:val="nil"/>
              <w:bottom w:val="single" w:sz="8" w:space="0" w:color="auto"/>
              <w:right w:val="single" w:sz="4" w:space="0" w:color="auto"/>
            </w:tcBorders>
            <w:shd w:val="clear" w:color="auto" w:fill="auto"/>
            <w:noWrap/>
            <w:vAlign w:val="center"/>
            <w:hideMark/>
          </w:tcPr>
          <w:p w14:paraId="7B2996CD" w14:textId="3FFB8693" w:rsidR="007D19C4" w:rsidRPr="007D19C4" w:rsidRDefault="0DE37B90" w:rsidP="3328C818">
            <w:pPr>
              <w:pStyle w:val="Table-Text"/>
              <w:jc w:val="center"/>
            </w:pPr>
            <w:r>
              <w:t xml:space="preserve"> $       6,387 </w:t>
            </w:r>
          </w:p>
        </w:tc>
        <w:tc>
          <w:tcPr>
            <w:tcW w:w="1049" w:type="dxa"/>
            <w:tcBorders>
              <w:top w:val="nil"/>
              <w:left w:val="nil"/>
              <w:bottom w:val="single" w:sz="8" w:space="0" w:color="auto"/>
              <w:right w:val="single" w:sz="4" w:space="0" w:color="auto"/>
            </w:tcBorders>
            <w:shd w:val="clear" w:color="auto" w:fill="auto"/>
            <w:noWrap/>
            <w:vAlign w:val="center"/>
            <w:hideMark/>
          </w:tcPr>
          <w:p w14:paraId="058B2A04" w14:textId="75300169" w:rsidR="007D19C4" w:rsidRPr="007D19C4" w:rsidRDefault="0DE37B90" w:rsidP="3328C818">
            <w:pPr>
              <w:pStyle w:val="Table-Text"/>
              <w:jc w:val="center"/>
            </w:pPr>
            <w:r>
              <w:t xml:space="preserve"> $       5,557 </w:t>
            </w:r>
          </w:p>
        </w:tc>
        <w:tc>
          <w:tcPr>
            <w:tcW w:w="1087" w:type="dxa"/>
            <w:tcBorders>
              <w:top w:val="nil"/>
              <w:left w:val="nil"/>
              <w:bottom w:val="single" w:sz="8" w:space="0" w:color="auto"/>
              <w:right w:val="single" w:sz="4" w:space="0" w:color="auto"/>
            </w:tcBorders>
            <w:shd w:val="clear" w:color="auto" w:fill="auto"/>
            <w:noWrap/>
            <w:vAlign w:val="center"/>
            <w:hideMark/>
          </w:tcPr>
          <w:p w14:paraId="46D79286" w14:textId="0FFB6277" w:rsidR="007D19C4" w:rsidRPr="007D19C4" w:rsidRDefault="0DE37B90" w:rsidP="3328C818">
            <w:pPr>
              <w:pStyle w:val="Table-Text"/>
              <w:jc w:val="center"/>
            </w:pPr>
            <w:r>
              <w:t xml:space="preserve"> $       5,199 </w:t>
            </w:r>
          </w:p>
        </w:tc>
        <w:tc>
          <w:tcPr>
            <w:tcW w:w="1156" w:type="dxa"/>
            <w:tcBorders>
              <w:top w:val="nil"/>
              <w:left w:val="nil"/>
              <w:bottom w:val="single" w:sz="8" w:space="0" w:color="auto"/>
              <w:right w:val="single" w:sz="4" w:space="0" w:color="auto"/>
            </w:tcBorders>
            <w:shd w:val="clear" w:color="auto" w:fill="auto"/>
            <w:noWrap/>
            <w:vAlign w:val="center"/>
            <w:hideMark/>
          </w:tcPr>
          <w:p w14:paraId="571D0BED" w14:textId="3C961453" w:rsidR="007D19C4" w:rsidRPr="007D19C4" w:rsidRDefault="0DE37B90" w:rsidP="3328C818">
            <w:pPr>
              <w:pStyle w:val="Table-Text"/>
              <w:jc w:val="center"/>
            </w:pPr>
            <w:r>
              <w:t xml:space="preserve"> $         4,765 </w:t>
            </w:r>
          </w:p>
        </w:tc>
        <w:tc>
          <w:tcPr>
            <w:tcW w:w="1156" w:type="dxa"/>
            <w:tcBorders>
              <w:top w:val="nil"/>
              <w:left w:val="nil"/>
              <w:bottom w:val="single" w:sz="8" w:space="0" w:color="auto"/>
              <w:right w:val="single" w:sz="4" w:space="0" w:color="auto"/>
            </w:tcBorders>
            <w:shd w:val="clear" w:color="auto" w:fill="auto"/>
            <w:noWrap/>
            <w:vAlign w:val="center"/>
            <w:hideMark/>
          </w:tcPr>
          <w:p w14:paraId="105F567F" w14:textId="0A1FEA5B" w:rsidR="007D19C4" w:rsidRPr="007D19C4" w:rsidRDefault="0DE37B90" w:rsidP="3328C818">
            <w:pPr>
              <w:pStyle w:val="Table-Text"/>
              <w:jc w:val="center"/>
            </w:pPr>
            <w:r>
              <w:t xml:space="preserve"> $         6,441 </w:t>
            </w:r>
          </w:p>
        </w:tc>
        <w:tc>
          <w:tcPr>
            <w:tcW w:w="1156" w:type="dxa"/>
            <w:tcBorders>
              <w:top w:val="nil"/>
              <w:left w:val="nil"/>
              <w:bottom w:val="single" w:sz="8" w:space="0" w:color="auto"/>
              <w:right w:val="single" w:sz="8" w:space="0" w:color="auto"/>
            </w:tcBorders>
            <w:shd w:val="clear" w:color="auto" w:fill="auto"/>
            <w:noWrap/>
            <w:vAlign w:val="center"/>
            <w:hideMark/>
          </w:tcPr>
          <w:p w14:paraId="3485FFFB" w14:textId="39AF60A8" w:rsidR="007D19C4" w:rsidRPr="007D19C4" w:rsidRDefault="0DE37B90" w:rsidP="3328C818">
            <w:pPr>
              <w:pStyle w:val="Table-Text"/>
              <w:jc w:val="center"/>
            </w:pPr>
            <w:r>
              <w:t xml:space="preserve"> $       11,660 </w:t>
            </w:r>
          </w:p>
        </w:tc>
      </w:tr>
    </w:tbl>
    <w:p w14:paraId="07329AEC" w14:textId="77777777" w:rsidR="006C0ABD" w:rsidRDefault="006C0ABD" w:rsidP="00B1738B">
      <w:pPr>
        <w:spacing w:line="240" w:lineRule="auto"/>
        <w:contextualSpacing/>
      </w:pPr>
      <w:bookmarkStart w:id="32" w:name="_Hlk100061450"/>
    </w:p>
    <w:p w14:paraId="390BA41D" w14:textId="4A847E4E" w:rsidR="00867FDB" w:rsidRPr="00E56A09" w:rsidRDefault="007D395A" w:rsidP="00B1738B">
      <w:pPr>
        <w:spacing w:line="240" w:lineRule="auto"/>
        <w:contextualSpacing/>
      </w:pPr>
      <w:r>
        <w:t xml:space="preserve">MPCA estimated that </w:t>
      </w:r>
      <w:r w:rsidR="000A502A">
        <w:t xml:space="preserve">the cost-effectiveness of </w:t>
      </w:r>
      <w:r>
        <w:t xml:space="preserve">both DSI and </w:t>
      </w:r>
      <w:r w:rsidR="000A502A">
        <w:t xml:space="preserve">SDA/CDS would exceed $10,000/ton and did not complete a four-factor analysis of either control option. </w:t>
      </w:r>
      <w:r w:rsidR="00867FDB" w:rsidRPr="00E56A09">
        <w:t>MPCA’s higher costs for DSI and SDA are partially due to due to its application of a retrofit factor = 1.5 (versus = 1.0), and shorter equipment life</w:t>
      </w:r>
      <w:bookmarkEnd w:id="32"/>
      <w:r w:rsidR="00867FDB" w:rsidRPr="00E56A09">
        <w:t xml:space="preserve">. </w:t>
      </w:r>
      <w:r w:rsidR="00867FDB">
        <w:t>NPS</w:t>
      </w:r>
      <w:r w:rsidR="00867FDB" w:rsidRPr="00E56A09">
        <w:t xml:space="preserve"> estimates indicate that DSI (with trona and a new baghouse) and SDA/CDS are</w:t>
      </w:r>
      <w:r w:rsidR="00867FDB">
        <w:t xml:space="preserve"> both</w:t>
      </w:r>
      <w:r w:rsidR="00867FDB" w:rsidRPr="00E56A09">
        <w:t xml:space="preserve"> cost-effective.</w:t>
      </w:r>
    </w:p>
    <w:p w14:paraId="72DF02CC" w14:textId="77777777" w:rsidR="00867FDB" w:rsidRDefault="00867FDB" w:rsidP="00B1738B">
      <w:pPr>
        <w:pStyle w:val="Heading4"/>
        <w:spacing w:line="240" w:lineRule="auto"/>
        <w:contextualSpacing/>
      </w:pPr>
      <w:r>
        <w:t>Statutory Factor 2: Time Necessary for Compliance</w:t>
      </w:r>
    </w:p>
    <w:p w14:paraId="6A89787F" w14:textId="78A3E12E" w:rsidR="00867FDB" w:rsidRPr="000C1673" w:rsidRDefault="00867FDB" w:rsidP="00B1738B">
      <w:pPr>
        <w:spacing w:line="240" w:lineRule="auto"/>
        <w:contextualSpacing/>
      </w:pPr>
      <w:r>
        <w:rPr>
          <w:bCs/>
        </w:rPr>
        <w:t>Time necessary for compliance is</w:t>
      </w:r>
      <w:r w:rsidRPr="008844EF">
        <w:rPr>
          <w:bCs/>
        </w:rPr>
        <w:t xml:space="preserve"> estimate</w:t>
      </w:r>
      <w:r>
        <w:rPr>
          <w:bCs/>
        </w:rPr>
        <w:t>d to be</w:t>
      </w:r>
      <w:r w:rsidRPr="008844EF">
        <w:rPr>
          <w:bCs/>
        </w:rPr>
        <w:t xml:space="preserve"> 18 months for DSI with milled trona and 4 – 5 years for SDA.</w:t>
      </w:r>
    </w:p>
    <w:p w14:paraId="707B32C2" w14:textId="77777777" w:rsidR="00867FDB" w:rsidRDefault="00867FDB" w:rsidP="00B1738B">
      <w:pPr>
        <w:pStyle w:val="Heading4"/>
        <w:spacing w:line="240" w:lineRule="auto"/>
        <w:contextualSpacing/>
      </w:pPr>
      <w:r>
        <w:t>Statutory Factor 3: Energy and Non-Air Quality Environmental Impacts</w:t>
      </w:r>
    </w:p>
    <w:p w14:paraId="621ADF49" w14:textId="719C8BC8" w:rsidR="00867FDB" w:rsidRDefault="00867FDB" w:rsidP="00B1738B">
      <w:pPr>
        <w:spacing w:line="240" w:lineRule="auto"/>
        <w:contextualSpacing/>
      </w:pPr>
      <w:r>
        <w:t>SMBSC consultant Barr cites potential increased energy usage and solid waste generation concerns. In most circumstances, energy usage is most appropriately accounted for in the Cost of Compliance analysis. The solid waste generation concerns are not unique to this site.</w:t>
      </w:r>
    </w:p>
    <w:p w14:paraId="415736FC" w14:textId="36E09E04" w:rsidR="00867FDB" w:rsidRDefault="00867FDB" w:rsidP="00B1738B">
      <w:pPr>
        <w:pStyle w:val="Heading4"/>
        <w:spacing w:line="240" w:lineRule="auto"/>
        <w:contextualSpacing/>
      </w:pPr>
      <w:r w:rsidRPr="00294DA7">
        <w:t>Stat</w:t>
      </w:r>
      <w:r>
        <w:t>utory</w:t>
      </w:r>
      <w:r w:rsidRPr="00294DA7">
        <w:t xml:space="preserve"> Factor 4: Remaining Useful Life</w:t>
      </w:r>
    </w:p>
    <w:p w14:paraId="3B4B9F04" w14:textId="2A85CC4D" w:rsidR="00867FDB" w:rsidRPr="000C1673" w:rsidRDefault="00867FDB" w:rsidP="00B1738B">
      <w:pPr>
        <w:spacing w:line="240" w:lineRule="auto"/>
        <w:contextualSpacing/>
      </w:pPr>
      <w:r w:rsidRPr="00C17FDD">
        <w:t xml:space="preserve">The CCM recommends </w:t>
      </w:r>
      <w:r>
        <w:t xml:space="preserve">a </w:t>
      </w:r>
      <w:r w:rsidRPr="00C17FDD">
        <w:t>30-year life for scrubbers unless limited by a federally-enforceable condition.</w:t>
      </w:r>
    </w:p>
    <w:p w14:paraId="49E53AC9" w14:textId="5654D0EA" w:rsidR="00867FDB" w:rsidRDefault="00867FDB" w:rsidP="00B1738B">
      <w:pPr>
        <w:pStyle w:val="Heading3"/>
        <w:spacing w:line="240" w:lineRule="auto"/>
        <w:contextualSpacing/>
      </w:pPr>
      <w:r w:rsidRPr="00A9462F">
        <w:t>NO</w:t>
      </w:r>
      <w:r>
        <w:rPr>
          <w:vertAlign w:val="subscript"/>
        </w:rPr>
        <w:t>x</w:t>
      </w:r>
      <w:r>
        <w:t xml:space="preserve"> Four-factor Analysis</w:t>
      </w:r>
    </w:p>
    <w:p w14:paraId="7A0D17AB" w14:textId="7C702B9D" w:rsidR="00867FDB" w:rsidRDefault="00867FDB" w:rsidP="00B1738B">
      <w:pPr>
        <w:pStyle w:val="Heading4"/>
        <w:spacing w:line="240" w:lineRule="auto"/>
        <w:contextualSpacing/>
      </w:pPr>
      <w:r>
        <w:t>Control Efficiency</w:t>
      </w:r>
    </w:p>
    <w:p w14:paraId="4A2DC55E" w14:textId="3313A5C0" w:rsidR="00044C31" w:rsidRPr="0071166A" w:rsidRDefault="00867FDB" w:rsidP="00B1738B">
      <w:pPr>
        <w:spacing w:line="240" w:lineRule="auto"/>
        <w:contextualSpacing/>
      </w:pPr>
      <w:r w:rsidRPr="00C90F10">
        <w:t xml:space="preserve">MPCA assumed 49% efficiency by SNCR with an estimated Normalized Stoichiometric Ratio (NSR) = 1.57. </w:t>
      </w:r>
      <w:r>
        <w:t>NPS</w:t>
      </w:r>
      <w:r w:rsidRPr="00C90F10">
        <w:t xml:space="preserve"> application of CCM Equation 1.17 yielded NSR = 0.94</w:t>
      </w:r>
      <w:r>
        <w:t>. As a result</w:t>
      </w:r>
      <w:r w:rsidRPr="00C90F10">
        <w:t xml:space="preserve"> </w:t>
      </w:r>
      <w:r>
        <w:t xml:space="preserve">NPS analyses project </w:t>
      </w:r>
      <w:r w:rsidRPr="00C90F10">
        <w:t xml:space="preserve">a 30% </w:t>
      </w:r>
      <w:r w:rsidRPr="00A9462F">
        <w:t>NO</w:t>
      </w:r>
      <w:r>
        <w:rPr>
          <w:vertAlign w:val="subscript"/>
        </w:rPr>
        <w:t>x</w:t>
      </w:r>
      <w:r w:rsidRPr="00C90F10">
        <w:t xml:space="preserve"> reduction (from CCM Figure 1.1c) down to 0.30 </w:t>
      </w:r>
      <w:proofErr w:type="spellStart"/>
      <w:r w:rsidRPr="00C90F10">
        <w:t>lb</w:t>
      </w:r>
      <w:proofErr w:type="spellEnd"/>
      <w:r w:rsidRPr="00C90F10">
        <w:t>/</w:t>
      </w:r>
      <w:proofErr w:type="spellStart"/>
      <w:r w:rsidRPr="00C90F10">
        <w:t>mmBtu</w:t>
      </w:r>
      <w:proofErr w:type="spellEnd"/>
      <w:r w:rsidRPr="00C90F10">
        <w:t xml:space="preserve"> with much less reagent</w:t>
      </w:r>
      <w:r w:rsidR="000A502A">
        <w:t xml:space="preserve"> than estimated by MPCA</w:t>
      </w:r>
      <w:r w:rsidRPr="00C90F10">
        <w:t>.</w:t>
      </w:r>
      <w:r w:rsidR="00044C31">
        <w:t xml:space="preserve"> For SCR, MPCA assumed 92% efficiency @ 0.05 </w:t>
      </w:r>
      <w:proofErr w:type="spellStart"/>
      <w:r w:rsidR="00044C31">
        <w:t>lb</w:t>
      </w:r>
      <w:proofErr w:type="spellEnd"/>
      <w:r w:rsidR="00044C31">
        <w:t>/</w:t>
      </w:r>
      <w:proofErr w:type="spellStart"/>
      <w:r w:rsidR="00044C31">
        <w:t>mmBtu</w:t>
      </w:r>
      <w:proofErr w:type="spellEnd"/>
      <w:r w:rsidR="00044C31">
        <w:t>; NPS assumed 88% - 90% efficiency</w:t>
      </w:r>
      <w:r w:rsidR="000A502A">
        <w:t xml:space="preserve"> down to 0.05 – 0.06 </w:t>
      </w:r>
      <w:proofErr w:type="spellStart"/>
      <w:r w:rsidR="000A502A">
        <w:t>lb</w:t>
      </w:r>
      <w:proofErr w:type="spellEnd"/>
      <w:r w:rsidR="000A502A">
        <w:t>/</w:t>
      </w:r>
      <w:proofErr w:type="spellStart"/>
      <w:r w:rsidR="000A502A">
        <w:t>mmBtu</w:t>
      </w:r>
      <w:proofErr w:type="spellEnd"/>
      <w:r w:rsidR="00044C31">
        <w:t>.</w:t>
      </w:r>
    </w:p>
    <w:p w14:paraId="6351F57A" w14:textId="77777777" w:rsidR="00867FDB" w:rsidRDefault="00867FDB" w:rsidP="00B1738B">
      <w:pPr>
        <w:pStyle w:val="Heading4"/>
        <w:spacing w:line="240" w:lineRule="auto"/>
        <w:contextualSpacing/>
      </w:pPr>
      <w:r>
        <w:t>Statutory Factor 1: Cost of Compliance</w:t>
      </w:r>
    </w:p>
    <w:p w14:paraId="6058DACA" w14:textId="77777777" w:rsidR="00867FDB" w:rsidRDefault="00867FDB" w:rsidP="00B1738B">
      <w:pPr>
        <w:pStyle w:val="Heading5"/>
        <w:spacing w:line="240" w:lineRule="auto"/>
        <w:contextualSpacing/>
      </w:pPr>
      <w:r>
        <w:t>Basis for the selected retrofit factor</w:t>
      </w:r>
    </w:p>
    <w:p w14:paraId="6A25EEDB" w14:textId="35BE7D82" w:rsidR="00867FDB" w:rsidRPr="005346A8" w:rsidRDefault="00867FDB" w:rsidP="00B1738B">
      <w:pPr>
        <w:spacing w:line="240" w:lineRule="auto"/>
        <w:contextualSpacing/>
      </w:pPr>
      <w:r>
        <w:t xml:space="preserve">In the draft SIP SMBSC cost calculations for </w:t>
      </w:r>
      <w:r w:rsidRPr="005346A8">
        <w:t>SNCR and SCR, Barr</w:t>
      </w:r>
      <w:r>
        <w:t xml:space="preserve"> </w:t>
      </w:r>
      <w:r w:rsidR="00AB4123">
        <w:t xml:space="preserve">(and MPCA) </w:t>
      </w:r>
      <w:r>
        <w:t>included a</w:t>
      </w:r>
      <w:r w:rsidRPr="005346A8">
        <w:t xml:space="preserve"> 1.5 retrofit factor</w:t>
      </w:r>
      <w:r>
        <w:t>. The CCM requires specific justification and documentation to support use of factors greater than 1.0</w:t>
      </w:r>
      <w:r w:rsidRPr="005346A8">
        <w:t>. The EPA CCM default retrofit factor = 1</w:t>
      </w:r>
      <w:r>
        <w:t>.0</w:t>
      </w:r>
      <w:r w:rsidRPr="005346A8">
        <w:t xml:space="preserve"> already includes a 20%</w:t>
      </w:r>
      <w:r>
        <w:t>–</w:t>
      </w:r>
      <w:r w:rsidRPr="005346A8">
        <w:t xml:space="preserve">25% markup for many of the issues cited </w:t>
      </w:r>
      <w:r>
        <w:t>as rationale for the higher rate</w:t>
      </w:r>
      <w:r w:rsidRPr="005346A8">
        <w:t>.</w:t>
      </w:r>
      <w:r w:rsidRPr="005346A8">
        <w:rPr>
          <w:b/>
          <w:bCs/>
        </w:rPr>
        <w:t xml:space="preserve"> </w:t>
      </w:r>
      <w:r w:rsidRPr="005346A8">
        <w:t xml:space="preserve">After observing Google earth photos of the facility, and in consideration of the issues described in SMBSC’s July 23, 2021 submittal, </w:t>
      </w:r>
      <w:r>
        <w:t xml:space="preserve">NPS review finds that </w:t>
      </w:r>
      <w:r w:rsidRPr="005346A8">
        <w:t>it appears that a higher retrofit factor may be justified for SCR installed on the roof (</w:t>
      </w:r>
      <w:r>
        <w:t>NPS</w:t>
      </w:r>
      <w:r w:rsidRPr="005346A8">
        <w:t xml:space="preserve"> assumed 1.5</w:t>
      </w:r>
      <w:r>
        <w:t xml:space="preserve"> for this calculation</w:t>
      </w:r>
      <w:r w:rsidRPr="005346A8">
        <w:t xml:space="preserve">). However, </w:t>
      </w:r>
      <w:r>
        <w:t>this</w:t>
      </w:r>
      <w:r w:rsidRPr="005346A8">
        <w:t xml:space="preserve"> should not be necessary for SNCR (or SCR installed following the ESP) unless supported by a vendor</w:t>
      </w:r>
      <w:r>
        <w:t>. For this reason, NPS analyses</w:t>
      </w:r>
      <w:r w:rsidRPr="005346A8">
        <w:t xml:space="preserve"> used the default retrofit factor = 1.0</w:t>
      </w:r>
      <w:r>
        <w:t xml:space="preserve"> for those other options</w:t>
      </w:r>
      <w:r w:rsidRPr="005346A8">
        <w:t xml:space="preserve">. </w:t>
      </w:r>
    </w:p>
    <w:p w14:paraId="052C4D8D" w14:textId="77777777" w:rsidR="00867FDB" w:rsidRPr="005346A8" w:rsidRDefault="00867FDB" w:rsidP="00B1738B">
      <w:pPr>
        <w:pStyle w:val="Heading5"/>
        <w:spacing w:line="240" w:lineRule="auto"/>
        <w:contextualSpacing/>
      </w:pPr>
      <w:r w:rsidRPr="005346A8">
        <w:t>Basis and Cost for SCR Reheat</w:t>
      </w:r>
    </w:p>
    <w:p w14:paraId="0FA7D44C" w14:textId="2EAF8B02" w:rsidR="00867FDB" w:rsidRDefault="647749C5" w:rsidP="00B1738B">
      <w:pPr>
        <w:spacing w:line="240" w:lineRule="auto"/>
        <w:contextualSpacing/>
      </w:pPr>
      <w:r>
        <w:t xml:space="preserve">SMBSC (and MPCA) has included costs to reheat the flue gas entering the SCR in addition to applying a 1.5 retrofit factor due to the difficulty of locating the SCR above the boiler exhaust. </w:t>
      </w:r>
      <w:r w:rsidR="33B459D3">
        <w:t>However, MPCA’s Appendix E appears to have omitted the calculations that lead to its conclusion that SCR with reheat could remove 832 tons/</w:t>
      </w:r>
      <w:proofErr w:type="spellStart"/>
      <w:r w:rsidR="33B459D3">
        <w:t>yr</w:t>
      </w:r>
      <w:proofErr w:type="spellEnd"/>
      <w:r w:rsidR="33B459D3">
        <w:t xml:space="preserve"> at an annual cost of $4,979,799 for cost-effectiveness of $5,986. </w:t>
      </w:r>
      <w:r>
        <w:t xml:space="preserve">The SIP could </w:t>
      </w:r>
      <w:r w:rsidR="33B459D3">
        <w:t xml:space="preserve">also </w:t>
      </w:r>
      <w:r>
        <w:t xml:space="preserve">be improved by a demonstration of why both of these costs (retrofit factor =1.5 and reheat costs) are necessary. </w:t>
      </w:r>
    </w:p>
    <w:p w14:paraId="00B7E720" w14:textId="77777777" w:rsidR="00B441E5" w:rsidRPr="005346A8" w:rsidRDefault="00B441E5" w:rsidP="00B1738B">
      <w:pPr>
        <w:spacing w:line="240" w:lineRule="auto"/>
        <w:contextualSpacing/>
      </w:pPr>
    </w:p>
    <w:p w14:paraId="63339BCB" w14:textId="0BD65DB5" w:rsidR="00867FDB" w:rsidRPr="005346A8" w:rsidRDefault="00867FDB" w:rsidP="00B1738B">
      <w:pPr>
        <w:spacing w:line="240" w:lineRule="auto"/>
        <w:contextualSpacing/>
      </w:pPr>
      <w:r w:rsidRPr="005346A8">
        <w:t xml:space="preserve">Due to the high cost of natural gas, </w:t>
      </w:r>
      <w:r w:rsidR="00A7044B">
        <w:t xml:space="preserve">both the MPCA and the </w:t>
      </w:r>
      <w:r>
        <w:t>NPS analyses</w:t>
      </w:r>
      <w:r w:rsidRPr="005346A8">
        <w:t xml:space="preserve"> included a 70%-efficient heat exchanger in the reheat system and applied CCM methods to estimate operating parameters and costs. </w:t>
      </w:r>
      <w:r w:rsidR="00A7044B">
        <w:t>However, i</w:t>
      </w:r>
      <w:r w:rsidRPr="005346A8">
        <w:t xml:space="preserve">n estimating the capital and operating costs of SCR, </w:t>
      </w:r>
      <w:r>
        <w:t>the NPS</w:t>
      </w:r>
      <w:r w:rsidRPr="005346A8">
        <w:t xml:space="preserve"> included the duct burner heat input to </w:t>
      </w:r>
      <w:r w:rsidR="000A502A">
        <w:t xml:space="preserve">increase the </w:t>
      </w:r>
      <w:r w:rsidRPr="005346A8">
        <w:t>size the SCR to handle the additional load</w:t>
      </w:r>
      <w:r w:rsidR="00A7044B">
        <w:t>—MPCA did not make this adjustment.</w:t>
      </w:r>
    </w:p>
    <w:p w14:paraId="0B404B4F" w14:textId="77777777" w:rsidR="00867FDB" w:rsidRPr="005346A8" w:rsidRDefault="00867FDB" w:rsidP="00B1738B">
      <w:pPr>
        <w:pStyle w:val="Heading5"/>
        <w:spacing w:line="240" w:lineRule="auto"/>
        <w:contextualSpacing/>
      </w:pPr>
      <w:r w:rsidRPr="005346A8">
        <w:t>SCR Catalyst and Equipment Life Basis</w:t>
      </w:r>
    </w:p>
    <w:p w14:paraId="27D9559A" w14:textId="77777777" w:rsidR="00867FDB" w:rsidRPr="00410A6D" w:rsidRDefault="00867FDB" w:rsidP="00B1738B">
      <w:pPr>
        <w:spacing w:line="240" w:lineRule="auto"/>
        <w:contextualSpacing/>
      </w:pPr>
      <w:r w:rsidRPr="00410A6D">
        <w:t xml:space="preserve">In response to earlier input </w:t>
      </w:r>
      <w:r w:rsidRPr="005346A8">
        <w:t xml:space="preserve">SMBSC </w:t>
      </w:r>
      <w:r w:rsidRPr="00410A6D">
        <w:t>replied (</w:t>
      </w:r>
      <w:r w:rsidRPr="005346A8">
        <w:t>July 23, 2021</w:t>
      </w:r>
      <w:r w:rsidRPr="00410A6D">
        <w:t>)</w:t>
      </w:r>
      <w:r w:rsidRPr="005346A8">
        <w:t xml:space="preserve">:  </w:t>
      </w:r>
    </w:p>
    <w:p w14:paraId="3C95D77D" w14:textId="756E7319" w:rsidR="00867FDB" w:rsidRPr="005346A8" w:rsidRDefault="00867FDB" w:rsidP="00B1738B">
      <w:pPr>
        <w:pStyle w:val="Quote"/>
        <w:spacing w:line="240" w:lineRule="auto"/>
        <w:contextualSpacing/>
      </w:pPr>
      <w:r w:rsidRPr="00410A6D">
        <w:t>FLMs stated that the catalyst and equipment life are underestimated compare</w:t>
      </w:r>
      <w:r w:rsidRPr="005346A8">
        <w:t>d to EPA CCM defaults. Section 4, Chapter 2 of the EPA CCM discusses catalyst and SCR life. SMBSC assumed the mid-range for the typical catalyst life guarantees (16,000–24,000 hours). While these numbers represent high dust scenarios, SMBSC will not assume that SCR catalyst will maintain proper performance without a guarantee from a vendor. This would require a detailed SCR evaluation, which is not warranted because the technology is not cost effective.</w:t>
      </w:r>
    </w:p>
    <w:p w14:paraId="1A822105" w14:textId="3AC70DB7" w:rsidR="00A7044B" w:rsidRDefault="00A7044B" w:rsidP="00B1738B">
      <w:pPr>
        <w:spacing w:line="240" w:lineRule="auto"/>
        <w:contextualSpacing/>
      </w:pPr>
      <w:r>
        <w:t>Contrary to SMBSC’s assertion, as demonstrated by both MPCA and NPS, SCR is cost-effective</w:t>
      </w:r>
      <w:r w:rsidR="00CA53DB">
        <w:t xml:space="preserve"> and a detailed SCR evaluation is warranted.</w:t>
      </w:r>
    </w:p>
    <w:p w14:paraId="59EE1C2D" w14:textId="77777777" w:rsidR="00A7044B" w:rsidRDefault="00A7044B" w:rsidP="00B1738B">
      <w:pPr>
        <w:spacing w:line="240" w:lineRule="auto"/>
        <w:contextualSpacing/>
      </w:pPr>
    </w:p>
    <w:p w14:paraId="5B789C51" w14:textId="0BC91E8A" w:rsidR="00867FDB" w:rsidRDefault="00867FDB" w:rsidP="00B1738B">
      <w:pPr>
        <w:spacing w:line="240" w:lineRule="auto"/>
        <w:contextualSpacing/>
      </w:pPr>
      <w:r w:rsidRPr="005346A8">
        <w:t>SMBSC selected “Method 2” to estimate catalyst replacement cost; this tends to produce higher cost estimates than “Method 1.” 20,000 hours is an acceptable mid-range value for catalyst life for a hig</w:t>
      </w:r>
      <w:r>
        <w:t>h</w:t>
      </w:r>
      <w:r w:rsidRPr="005346A8">
        <w:t>-dust configuration. However, SCR located following the ESP should have a longer catalyst life—</w:t>
      </w:r>
      <w:r>
        <w:t>NPS</w:t>
      </w:r>
      <w:r w:rsidRPr="005346A8">
        <w:t xml:space="preserve"> estimate</w:t>
      </w:r>
      <w:r>
        <w:t>s</w:t>
      </w:r>
      <w:r w:rsidRPr="005346A8">
        <w:t xml:space="preserve"> 24,000 hours</w:t>
      </w:r>
      <w:r w:rsidR="000A502A">
        <w:t xml:space="preserve"> for a “clean side” application</w:t>
      </w:r>
      <w:r w:rsidRPr="005346A8">
        <w:t>.</w:t>
      </w:r>
    </w:p>
    <w:p w14:paraId="2487956E" w14:textId="77777777" w:rsidR="00A7044B" w:rsidRPr="005346A8" w:rsidRDefault="00A7044B" w:rsidP="00B1738B">
      <w:pPr>
        <w:spacing w:line="240" w:lineRule="auto"/>
        <w:contextualSpacing/>
      </w:pPr>
    </w:p>
    <w:p w14:paraId="404A35B1" w14:textId="77777777" w:rsidR="00867FDB" w:rsidRPr="00837CA8" w:rsidRDefault="00867FDB" w:rsidP="00B1738B">
      <w:pPr>
        <w:spacing w:line="240" w:lineRule="auto"/>
        <w:contextualSpacing/>
      </w:pPr>
      <w:r w:rsidRPr="005346A8">
        <w:t xml:space="preserve">SMBSC </w:t>
      </w:r>
      <w:r w:rsidRPr="00837CA8">
        <w:t>also replied (</w:t>
      </w:r>
      <w:r w:rsidRPr="005346A8">
        <w:t>July 23, 2021</w:t>
      </w:r>
      <w:r w:rsidRPr="00837CA8">
        <w:t>)</w:t>
      </w:r>
      <w:r w:rsidRPr="005346A8">
        <w:t>:</w:t>
      </w:r>
    </w:p>
    <w:p w14:paraId="6C4C2834" w14:textId="4419C954" w:rsidR="00867FDB" w:rsidRPr="005346A8" w:rsidRDefault="00867FDB" w:rsidP="00B1738B">
      <w:pPr>
        <w:pStyle w:val="Quote"/>
        <w:spacing w:line="240" w:lineRule="auto"/>
        <w:contextualSpacing/>
      </w:pPr>
      <w:r w:rsidRPr="005346A8">
        <w:t>In addition, the CCM states that the expected SCR equipment life for industrial boilers is 20-25 years. SMBSC assumed 20 years for the SCR life because it is a reasonable approximation of what could be expected for an equipment life for purposes of the FFA and is within the default range provided by the CCM.</w:t>
      </w:r>
    </w:p>
    <w:p w14:paraId="31F5B6EA" w14:textId="6D68C8DF" w:rsidR="003406C6" w:rsidRDefault="647749C5" w:rsidP="00CA53DB">
      <w:pPr>
        <w:autoSpaceDE w:val="0"/>
        <w:autoSpaceDN w:val="0"/>
        <w:adjustRightInd w:val="0"/>
        <w:spacing w:after="0" w:line="240" w:lineRule="auto"/>
      </w:pPr>
      <w:r>
        <w:t xml:space="preserve">According to the CCM, </w:t>
      </w:r>
      <w:r w:rsidRPr="3328C818">
        <w:rPr>
          <w:rStyle w:val="QuoteChar"/>
        </w:rPr>
        <w:t>“</w:t>
      </w:r>
      <w:r w:rsidR="3B75B3A3" w:rsidRPr="3328C818">
        <w:rPr>
          <w:rStyle w:val="QuoteChar"/>
        </w:rPr>
        <w:t>…</w:t>
      </w:r>
      <w:r w:rsidR="3B75B3A3" w:rsidRPr="3328C818">
        <w:rPr>
          <w:rFonts w:cs="Times New Roman"/>
        </w:rPr>
        <w:t>the equipment lifetime of an SCR system is assumed to be 30 years for power plants and 20 to 25 years for industrial boilers</w:t>
      </w:r>
      <w:r w:rsidRPr="3328C818">
        <w:rPr>
          <w:rStyle w:val="QuoteChar"/>
        </w:rPr>
        <w:t>.”</w:t>
      </w:r>
      <w:r>
        <w:t xml:space="preserve"> </w:t>
      </w:r>
      <w:r w:rsidR="3B75B3A3">
        <w:t>NPS assumed</w:t>
      </w:r>
      <w:r>
        <w:t xml:space="preserve"> the 25-year </w:t>
      </w:r>
      <w:r w:rsidR="3B0C2F14">
        <w:t>value which</w:t>
      </w:r>
      <w:r>
        <w:t xml:space="preserve"> </w:t>
      </w:r>
      <w:r w:rsidR="3B75B3A3">
        <w:t>should be</w:t>
      </w:r>
      <w:r>
        <w:t xml:space="preserve"> appropriate for a seasonal facility that only operates 314 days per year. </w:t>
      </w:r>
    </w:p>
    <w:p w14:paraId="056B6F77" w14:textId="77777777" w:rsidR="00CA53DB" w:rsidRDefault="00CA53DB" w:rsidP="00A348A7"/>
    <w:p w14:paraId="42362636" w14:textId="77777777" w:rsidR="0063481C" w:rsidRDefault="0063481C">
      <w:pPr>
        <w:rPr>
          <w:rFonts w:asciiTheme="majorHAnsi" w:eastAsiaTheme="majorEastAsia" w:hAnsiTheme="majorHAnsi" w:cstheme="majorBidi"/>
          <w:color w:val="2F5496" w:themeColor="accent1" w:themeShade="BF"/>
        </w:rPr>
      </w:pPr>
      <w:r>
        <w:br w:type="page"/>
      </w:r>
    </w:p>
    <w:p w14:paraId="7ECA5AE1" w14:textId="2742A163" w:rsidR="00867FDB" w:rsidRDefault="00867FDB" w:rsidP="00B1738B">
      <w:pPr>
        <w:pStyle w:val="Heading5"/>
        <w:spacing w:line="240" w:lineRule="auto"/>
        <w:contextualSpacing/>
      </w:pPr>
      <w:r>
        <w:t>NPS Estimated</w:t>
      </w:r>
      <w:r w:rsidRPr="005346A8">
        <w:t xml:space="preserve"> Cost of Compliance for SNCR</w:t>
      </w:r>
    </w:p>
    <w:p w14:paraId="3F8DA32D" w14:textId="77777777" w:rsidR="00A7044B" w:rsidRDefault="00A7044B" w:rsidP="00A348A7"/>
    <w:p w14:paraId="01895598" w14:textId="3A67C956" w:rsidR="00867FDB" w:rsidRDefault="000448AA" w:rsidP="000448AA">
      <w:pPr>
        <w:pStyle w:val="Caption"/>
        <w:keepNext/>
      </w:pPr>
      <w:r>
        <w:t xml:space="preserve">Table </w:t>
      </w:r>
      <w:r>
        <w:fldChar w:fldCharType="begin"/>
      </w:r>
      <w:r>
        <w:instrText>SEQ Table \* ARABIC</w:instrText>
      </w:r>
      <w:r>
        <w:fldChar w:fldCharType="separate"/>
      </w:r>
      <w:r>
        <w:rPr>
          <w:noProof/>
        </w:rPr>
        <w:t>10</w:t>
      </w:r>
      <w:r>
        <w:fldChar w:fldCharType="end"/>
      </w:r>
      <w:r>
        <w:t xml:space="preserve">. </w:t>
      </w:r>
      <w:r w:rsidR="00867FDB">
        <w:t>NPS estimated</w:t>
      </w:r>
      <w:r w:rsidR="00867FDB" w:rsidRPr="004B48D7">
        <w:t xml:space="preserve"> SNCR costs </w:t>
      </w:r>
      <w:r w:rsidR="00867FDB">
        <w:t xml:space="preserve">for SMSBC compared to </w:t>
      </w:r>
      <w:r w:rsidR="00867FDB" w:rsidRPr="004B48D7">
        <w:t xml:space="preserve">MPCA </w:t>
      </w:r>
      <w:r w:rsidR="00867FDB">
        <w:t>estimates</w:t>
      </w:r>
    </w:p>
    <w:tbl>
      <w:tblPr>
        <w:tblW w:w="5000" w:type="pct"/>
        <w:tblLook w:val="04A0" w:firstRow="1" w:lastRow="0" w:firstColumn="1" w:lastColumn="0" w:noHBand="0" w:noVBand="1"/>
      </w:tblPr>
      <w:tblGrid>
        <w:gridCol w:w="5934"/>
        <w:gridCol w:w="1706"/>
        <w:gridCol w:w="1705"/>
      </w:tblGrid>
      <w:tr w:rsidR="00A7044B" w:rsidRPr="00A7044B" w14:paraId="07EA4368" w14:textId="77777777" w:rsidTr="00B368BF">
        <w:trPr>
          <w:trHeight w:val="290"/>
        </w:trPr>
        <w:tc>
          <w:tcPr>
            <w:tcW w:w="31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102D6" w14:textId="77777777" w:rsidR="00A7044B" w:rsidRPr="00AA4413" w:rsidRDefault="00A7044B" w:rsidP="00AA4413">
            <w:pPr>
              <w:pStyle w:val="Table-Text"/>
              <w:rPr>
                <w:b/>
              </w:rPr>
            </w:pPr>
            <w:r w:rsidRPr="00AA4413">
              <w:rPr>
                <w:b/>
              </w:rPr>
              <w:t xml:space="preserve">SMBS Boiler 1 </w:t>
            </w:r>
          </w:p>
        </w:tc>
        <w:tc>
          <w:tcPr>
            <w:tcW w:w="1825" w:type="pct"/>
            <w:gridSpan w:val="2"/>
            <w:tcBorders>
              <w:top w:val="single" w:sz="8" w:space="0" w:color="auto"/>
              <w:left w:val="single" w:sz="4" w:space="0" w:color="auto"/>
              <w:bottom w:val="single" w:sz="4" w:space="0" w:color="auto"/>
              <w:right w:val="single" w:sz="8" w:space="0" w:color="000000" w:themeColor="text1"/>
            </w:tcBorders>
            <w:shd w:val="clear" w:color="auto" w:fill="auto"/>
            <w:noWrap/>
            <w:vAlign w:val="center"/>
            <w:hideMark/>
          </w:tcPr>
          <w:p w14:paraId="79F6B0D1" w14:textId="77777777" w:rsidR="00A7044B" w:rsidRPr="00AA4413" w:rsidRDefault="7A7677E6" w:rsidP="3328C818">
            <w:pPr>
              <w:pStyle w:val="Table-Text"/>
              <w:jc w:val="center"/>
              <w:rPr>
                <w:b/>
                <w:bCs/>
              </w:rPr>
            </w:pPr>
            <w:r w:rsidRPr="3328C818">
              <w:rPr>
                <w:b/>
                <w:bCs/>
              </w:rPr>
              <w:t>SNCR</w:t>
            </w:r>
          </w:p>
        </w:tc>
      </w:tr>
      <w:tr w:rsidR="00A7044B" w:rsidRPr="00A7044B" w14:paraId="347DDFEA" w14:textId="77777777" w:rsidTr="00B368BF">
        <w:trPr>
          <w:trHeight w:val="300"/>
        </w:trPr>
        <w:tc>
          <w:tcPr>
            <w:tcW w:w="3175" w:type="pct"/>
            <w:vMerge/>
            <w:tcBorders>
              <w:left w:val="single" w:sz="4" w:space="0" w:color="auto"/>
              <w:bottom w:val="single" w:sz="4" w:space="0" w:color="auto"/>
              <w:right w:val="single" w:sz="4" w:space="0" w:color="auto"/>
            </w:tcBorders>
            <w:noWrap/>
            <w:vAlign w:val="center"/>
            <w:hideMark/>
          </w:tcPr>
          <w:p w14:paraId="41289B76" w14:textId="5A065452" w:rsidR="00A7044B" w:rsidRPr="00AA4413" w:rsidRDefault="00A7044B" w:rsidP="00AA4413">
            <w:pPr>
              <w:pStyle w:val="Table-Text"/>
              <w:rPr>
                <w:b/>
              </w:rPr>
            </w:pPr>
          </w:p>
        </w:tc>
        <w:tc>
          <w:tcPr>
            <w:tcW w:w="913" w:type="pct"/>
            <w:tcBorders>
              <w:top w:val="nil"/>
              <w:left w:val="single" w:sz="4" w:space="0" w:color="auto"/>
              <w:bottom w:val="nil"/>
              <w:right w:val="single" w:sz="4" w:space="0" w:color="auto"/>
            </w:tcBorders>
            <w:shd w:val="clear" w:color="auto" w:fill="auto"/>
            <w:noWrap/>
            <w:vAlign w:val="center"/>
            <w:hideMark/>
          </w:tcPr>
          <w:p w14:paraId="4DE0DDED" w14:textId="77777777" w:rsidR="00A7044B" w:rsidRPr="00AA4413" w:rsidRDefault="7A7677E6" w:rsidP="3328C818">
            <w:pPr>
              <w:pStyle w:val="Table-Text"/>
              <w:jc w:val="center"/>
              <w:rPr>
                <w:b/>
                <w:bCs/>
              </w:rPr>
            </w:pPr>
            <w:r w:rsidRPr="3328C818">
              <w:rPr>
                <w:b/>
                <w:bCs/>
              </w:rPr>
              <w:t>NPS</w:t>
            </w:r>
          </w:p>
        </w:tc>
        <w:tc>
          <w:tcPr>
            <w:tcW w:w="912" w:type="pct"/>
            <w:tcBorders>
              <w:top w:val="nil"/>
              <w:left w:val="nil"/>
              <w:bottom w:val="nil"/>
              <w:right w:val="single" w:sz="8" w:space="0" w:color="auto"/>
            </w:tcBorders>
            <w:shd w:val="clear" w:color="auto" w:fill="auto"/>
            <w:noWrap/>
            <w:vAlign w:val="center"/>
            <w:hideMark/>
          </w:tcPr>
          <w:p w14:paraId="46AEA1B1" w14:textId="77777777" w:rsidR="00A7044B" w:rsidRPr="00AA4413" w:rsidRDefault="7A7677E6" w:rsidP="3328C818">
            <w:pPr>
              <w:pStyle w:val="Table-Text"/>
              <w:jc w:val="center"/>
              <w:rPr>
                <w:b/>
                <w:bCs/>
              </w:rPr>
            </w:pPr>
            <w:r w:rsidRPr="3328C818">
              <w:rPr>
                <w:b/>
                <w:bCs/>
              </w:rPr>
              <w:t>MPCA</w:t>
            </w:r>
          </w:p>
        </w:tc>
      </w:tr>
      <w:tr w:rsidR="00A7044B" w:rsidRPr="00A7044B" w14:paraId="2ACE75BE" w14:textId="77777777" w:rsidTr="00B368BF">
        <w:trPr>
          <w:trHeight w:hRule="exact" w:val="288"/>
        </w:trPr>
        <w:tc>
          <w:tcPr>
            <w:tcW w:w="3175"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C03DAF7" w14:textId="77777777" w:rsidR="00A7044B" w:rsidRPr="00A7044B" w:rsidRDefault="00A7044B" w:rsidP="00AA4413">
            <w:pPr>
              <w:pStyle w:val="Table-Text"/>
            </w:pPr>
            <w:r w:rsidRPr="00A7044B">
              <w:t>Capacity (</w:t>
            </w:r>
            <w:proofErr w:type="spellStart"/>
            <w:r w:rsidRPr="00A7044B">
              <w:t>mmBtu</w:t>
            </w:r>
            <w:proofErr w:type="spellEnd"/>
            <w:r w:rsidRPr="00A7044B">
              <w:t>/</w:t>
            </w:r>
            <w:proofErr w:type="spellStart"/>
            <w:r w:rsidRPr="00A7044B">
              <w:t>hr</w:t>
            </w:r>
            <w:proofErr w:type="spellEnd"/>
            <w:r w:rsidRPr="00A7044B">
              <w:t>)</w:t>
            </w:r>
          </w:p>
        </w:tc>
        <w:tc>
          <w:tcPr>
            <w:tcW w:w="913" w:type="pct"/>
            <w:tcBorders>
              <w:top w:val="single" w:sz="8" w:space="0" w:color="auto"/>
              <w:left w:val="nil"/>
              <w:bottom w:val="single" w:sz="4" w:space="0" w:color="auto"/>
              <w:right w:val="single" w:sz="4" w:space="0" w:color="auto"/>
            </w:tcBorders>
            <w:shd w:val="clear" w:color="auto" w:fill="auto"/>
            <w:noWrap/>
            <w:vAlign w:val="center"/>
            <w:hideMark/>
          </w:tcPr>
          <w:p w14:paraId="1AF41019" w14:textId="77777777" w:rsidR="00A7044B" w:rsidRPr="00A7044B" w:rsidRDefault="7A7677E6" w:rsidP="3328C818">
            <w:pPr>
              <w:pStyle w:val="Table-Text"/>
              <w:jc w:val="center"/>
            </w:pPr>
            <w:r>
              <w:t>472.4</w:t>
            </w:r>
          </w:p>
        </w:tc>
        <w:tc>
          <w:tcPr>
            <w:tcW w:w="912" w:type="pct"/>
            <w:tcBorders>
              <w:top w:val="single" w:sz="8" w:space="0" w:color="auto"/>
              <w:left w:val="nil"/>
              <w:bottom w:val="single" w:sz="4" w:space="0" w:color="auto"/>
              <w:right w:val="single" w:sz="8" w:space="0" w:color="auto"/>
            </w:tcBorders>
            <w:shd w:val="clear" w:color="auto" w:fill="auto"/>
            <w:noWrap/>
            <w:vAlign w:val="center"/>
            <w:hideMark/>
          </w:tcPr>
          <w:p w14:paraId="201A44CF" w14:textId="77777777" w:rsidR="00A7044B" w:rsidRPr="00A7044B" w:rsidRDefault="7A7677E6" w:rsidP="3328C818">
            <w:pPr>
              <w:pStyle w:val="Table-Text"/>
              <w:jc w:val="center"/>
            </w:pPr>
            <w:r>
              <w:t>472.4</w:t>
            </w:r>
          </w:p>
        </w:tc>
      </w:tr>
      <w:tr w:rsidR="00A7044B" w:rsidRPr="00A7044B" w14:paraId="66BA6EA8" w14:textId="77777777" w:rsidTr="3328C818">
        <w:trPr>
          <w:trHeight w:hRule="exact" w:val="288"/>
        </w:trPr>
        <w:tc>
          <w:tcPr>
            <w:tcW w:w="3175" w:type="pct"/>
            <w:tcBorders>
              <w:top w:val="nil"/>
              <w:left w:val="single" w:sz="8" w:space="0" w:color="auto"/>
              <w:bottom w:val="single" w:sz="4" w:space="0" w:color="auto"/>
              <w:right w:val="single" w:sz="8" w:space="0" w:color="auto"/>
            </w:tcBorders>
            <w:shd w:val="clear" w:color="auto" w:fill="auto"/>
            <w:noWrap/>
            <w:vAlign w:val="center"/>
            <w:hideMark/>
          </w:tcPr>
          <w:p w14:paraId="4D87CADF" w14:textId="77777777" w:rsidR="00A7044B" w:rsidRPr="00A7044B" w:rsidRDefault="00A7044B" w:rsidP="00AA4413">
            <w:pPr>
              <w:pStyle w:val="Table-Text"/>
            </w:pPr>
            <w:r w:rsidRPr="00A7044B">
              <w:t>Retrofit factor</w:t>
            </w:r>
          </w:p>
        </w:tc>
        <w:tc>
          <w:tcPr>
            <w:tcW w:w="913" w:type="pct"/>
            <w:tcBorders>
              <w:top w:val="nil"/>
              <w:left w:val="nil"/>
              <w:bottom w:val="single" w:sz="4" w:space="0" w:color="auto"/>
              <w:right w:val="single" w:sz="4" w:space="0" w:color="auto"/>
            </w:tcBorders>
            <w:shd w:val="clear" w:color="auto" w:fill="FFFF00"/>
            <w:noWrap/>
            <w:vAlign w:val="center"/>
            <w:hideMark/>
          </w:tcPr>
          <w:p w14:paraId="6D7EA679" w14:textId="77777777" w:rsidR="00A7044B" w:rsidRPr="00A7044B" w:rsidRDefault="7A7677E6" w:rsidP="3328C818">
            <w:pPr>
              <w:pStyle w:val="Table-Text"/>
              <w:jc w:val="center"/>
            </w:pPr>
            <w:r>
              <w:t>1.0</w:t>
            </w:r>
          </w:p>
        </w:tc>
        <w:tc>
          <w:tcPr>
            <w:tcW w:w="912" w:type="pct"/>
            <w:tcBorders>
              <w:top w:val="nil"/>
              <w:left w:val="nil"/>
              <w:bottom w:val="single" w:sz="4" w:space="0" w:color="auto"/>
              <w:right w:val="single" w:sz="8" w:space="0" w:color="auto"/>
            </w:tcBorders>
            <w:shd w:val="clear" w:color="auto" w:fill="FFFF00"/>
            <w:noWrap/>
            <w:vAlign w:val="center"/>
            <w:hideMark/>
          </w:tcPr>
          <w:p w14:paraId="2EC56B84" w14:textId="77777777" w:rsidR="00A7044B" w:rsidRPr="00A7044B" w:rsidRDefault="7A7677E6" w:rsidP="3328C818">
            <w:pPr>
              <w:pStyle w:val="Table-Text"/>
              <w:jc w:val="center"/>
            </w:pPr>
            <w:r>
              <w:t>1.5</w:t>
            </w:r>
          </w:p>
        </w:tc>
      </w:tr>
      <w:tr w:rsidR="00A7044B" w:rsidRPr="00A7044B" w14:paraId="4B3D8A48" w14:textId="77777777" w:rsidTr="3328C818">
        <w:trPr>
          <w:trHeight w:hRule="exact" w:val="288"/>
        </w:trPr>
        <w:tc>
          <w:tcPr>
            <w:tcW w:w="3175" w:type="pct"/>
            <w:tcBorders>
              <w:top w:val="nil"/>
              <w:left w:val="single" w:sz="8" w:space="0" w:color="auto"/>
              <w:bottom w:val="single" w:sz="4" w:space="0" w:color="auto"/>
              <w:right w:val="single" w:sz="8" w:space="0" w:color="auto"/>
            </w:tcBorders>
            <w:shd w:val="clear" w:color="auto" w:fill="auto"/>
            <w:noWrap/>
            <w:vAlign w:val="center"/>
            <w:hideMark/>
          </w:tcPr>
          <w:p w14:paraId="19341CB8" w14:textId="77777777" w:rsidR="00A7044B" w:rsidRPr="00A7044B" w:rsidRDefault="00A7044B" w:rsidP="00AA4413">
            <w:pPr>
              <w:pStyle w:val="Table-Text"/>
            </w:pPr>
            <w:r w:rsidRPr="00A7044B">
              <w:t>CEPCI</w:t>
            </w:r>
          </w:p>
        </w:tc>
        <w:tc>
          <w:tcPr>
            <w:tcW w:w="913" w:type="pct"/>
            <w:tcBorders>
              <w:top w:val="nil"/>
              <w:left w:val="nil"/>
              <w:bottom w:val="single" w:sz="4" w:space="0" w:color="auto"/>
              <w:right w:val="single" w:sz="4" w:space="0" w:color="auto"/>
            </w:tcBorders>
            <w:shd w:val="clear" w:color="auto" w:fill="auto"/>
            <w:noWrap/>
            <w:vAlign w:val="center"/>
            <w:hideMark/>
          </w:tcPr>
          <w:p w14:paraId="7F3E71B7" w14:textId="77777777" w:rsidR="00A7044B" w:rsidRPr="00A7044B" w:rsidRDefault="7A7677E6" w:rsidP="3328C818">
            <w:pPr>
              <w:pStyle w:val="Table-Text"/>
              <w:jc w:val="center"/>
            </w:pPr>
            <w:r>
              <w:t>607.5</w:t>
            </w:r>
          </w:p>
        </w:tc>
        <w:tc>
          <w:tcPr>
            <w:tcW w:w="912" w:type="pct"/>
            <w:tcBorders>
              <w:top w:val="nil"/>
              <w:left w:val="nil"/>
              <w:bottom w:val="single" w:sz="4" w:space="0" w:color="auto"/>
              <w:right w:val="single" w:sz="8" w:space="0" w:color="auto"/>
            </w:tcBorders>
            <w:shd w:val="clear" w:color="auto" w:fill="auto"/>
            <w:noWrap/>
            <w:vAlign w:val="center"/>
            <w:hideMark/>
          </w:tcPr>
          <w:p w14:paraId="199D8680" w14:textId="77777777" w:rsidR="00A7044B" w:rsidRPr="00A7044B" w:rsidRDefault="7A7677E6" w:rsidP="3328C818">
            <w:pPr>
              <w:pStyle w:val="Table-Text"/>
              <w:jc w:val="center"/>
            </w:pPr>
            <w:r>
              <w:t>607.5</w:t>
            </w:r>
          </w:p>
        </w:tc>
      </w:tr>
      <w:tr w:rsidR="00A7044B" w:rsidRPr="00A7044B" w14:paraId="47047FC1" w14:textId="77777777" w:rsidTr="3328C818">
        <w:trPr>
          <w:trHeight w:hRule="exact" w:val="288"/>
        </w:trPr>
        <w:tc>
          <w:tcPr>
            <w:tcW w:w="3175" w:type="pct"/>
            <w:tcBorders>
              <w:top w:val="nil"/>
              <w:left w:val="single" w:sz="8" w:space="0" w:color="auto"/>
              <w:bottom w:val="single" w:sz="4" w:space="0" w:color="auto"/>
              <w:right w:val="single" w:sz="8" w:space="0" w:color="auto"/>
            </w:tcBorders>
            <w:shd w:val="clear" w:color="auto" w:fill="auto"/>
            <w:noWrap/>
            <w:vAlign w:val="bottom"/>
            <w:hideMark/>
          </w:tcPr>
          <w:p w14:paraId="12EEC553" w14:textId="77777777" w:rsidR="00A7044B" w:rsidRPr="00A7044B" w:rsidRDefault="00A7044B" w:rsidP="00AA4413">
            <w:pPr>
              <w:pStyle w:val="Table-Text"/>
            </w:pPr>
            <w:r w:rsidRPr="00A7044B">
              <w:t xml:space="preserve">Capital Cost </w:t>
            </w:r>
          </w:p>
        </w:tc>
        <w:tc>
          <w:tcPr>
            <w:tcW w:w="913" w:type="pct"/>
            <w:tcBorders>
              <w:top w:val="nil"/>
              <w:left w:val="nil"/>
              <w:bottom w:val="single" w:sz="4" w:space="0" w:color="auto"/>
              <w:right w:val="single" w:sz="4" w:space="0" w:color="auto"/>
            </w:tcBorders>
            <w:shd w:val="clear" w:color="auto" w:fill="auto"/>
            <w:noWrap/>
            <w:vAlign w:val="center"/>
            <w:hideMark/>
          </w:tcPr>
          <w:p w14:paraId="6D14BA78" w14:textId="77777777" w:rsidR="00A7044B" w:rsidRPr="00A7044B" w:rsidRDefault="7A7677E6" w:rsidP="3328C818">
            <w:pPr>
              <w:pStyle w:val="Table-Text"/>
              <w:jc w:val="center"/>
            </w:pPr>
            <w:r>
              <w:t xml:space="preserve"> $ 4,595,032 </w:t>
            </w:r>
          </w:p>
        </w:tc>
        <w:tc>
          <w:tcPr>
            <w:tcW w:w="912" w:type="pct"/>
            <w:tcBorders>
              <w:top w:val="nil"/>
              <w:left w:val="nil"/>
              <w:bottom w:val="single" w:sz="4" w:space="0" w:color="auto"/>
              <w:right w:val="single" w:sz="8" w:space="0" w:color="auto"/>
            </w:tcBorders>
            <w:shd w:val="clear" w:color="auto" w:fill="auto"/>
            <w:noWrap/>
            <w:vAlign w:val="center"/>
            <w:hideMark/>
          </w:tcPr>
          <w:p w14:paraId="4F428C12" w14:textId="77777777" w:rsidR="00A7044B" w:rsidRPr="00A7044B" w:rsidRDefault="7A7677E6" w:rsidP="3328C818">
            <w:pPr>
              <w:pStyle w:val="Table-Text"/>
              <w:jc w:val="center"/>
            </w:pPr>
            <w:r>
              <w:t xml:space="preserve"> $ 7,159,267 </w:t>
            </w:r>
          </w:p>
        </w:tc>
      </w:tr>
      <w:tr w:rsidR="00A7044B" w:rsidRPr="00A7044B" w14:paraId="49930804" w14:textId="77777777" w:rsidTr="3328C818">
        <w:trPr>
          <w:trHeight w:hRule="exact" w:val="288"/>
        </w:trPr>
        <w:tc>
          <w:tcPr>
            <w:tcW w:w="3175" w:type="pct"/>
            <w:tcBorders>
              <w:top w:val="nil"/>
              <w:left w:val="single" w:sz="8" w:space="0" w:color="auto"/>
              <w:bottom w:val="single" w:sz="4" w:space="0" w:color="auto"/>
              <w:right w:val="single" w:sz="8" w:space="0" w:color="auto"/>
            </w:tcBorders>
            <w:shd w:val="clear" w:color="auto" w:fill="auto"/>
            <w:noWrap/>
            <w:vAlign w:val="bottom"/>
            <w:hideMark/>
          </w:tcPr>
          <w:p w14:paraId="12A5FA90" w14:textId="77777777" w:rsidR="00A7044B" w:rsidRPr="00A7044B" w:rsidRDefault="00A7044B" w:rsidP="00AA4413">
            <w:pPr>
              <w:pStyle w:val="Table-Text"/>
            </w:pPr>
            <w:r w:rsidRPr="00A7044B">
              <w:t>Interest rate (%)</w:t>
            </w:r>
          </w:p>
        </w:tc>
        <w:tc>
          <w:tcPr>
            <w:tcW w:w="913" w:type="pct"/>
            <w:tcBorders>
              <w:top w:val="nil"/>
              <w:left w:val="nil"/>
              <w:bottom w:val="single" w:sz="4" w:space="0" w:color="auto"/>
              <w:right w:val="single" w:sz="4" w:space="0" w:color="auto"/>
            </w:tcBorders>
            <w:shd w:val="clear" w:color="auto" w:fill="auto"/>
            <w:noWrap/>
            <w:vAlign w:val="center"/>
            <w:hideMark/>
          </w:tcPr>
          <w:p w14:paraId="048A2BED" w14:textId="77777777" w:rsidR="00A7044B" w:rsidRPr="00A7044B" w:rsidRDefault="7A7677E6" w:rsidP="3328C818">
            <w:pPr>
              <w:pStyle w:val="Table-Text"/>
              <w:jc w:val="center"/>
            </w:pPr>
            <w:r>
              <w:t>3.50</w:t>
            </w:r>
          </w:p>
        </w:tc>
        <w:tc>
          <w:tcPr>
            <w:tcW w:w="912" w:type="pct"/>
            <w:tcBorders>
              <w:top w:val="nil"/>
              <w:left w:val="nil"/>
              <w:bottom w:val="single" w:sz="4" w:space="0" w:color="auto"/>
              <w:right w:val="single" w:sz="8" w:space="0" w:color="auto"/>
            </w:tcBorders>
            <w:shd w:val="clear" w:color="auto" w:fill="auto"/>
            <w:noWrap/>
            <w:vAlign w:val="center"/>
            <w:hideMark/>
          </w:tcPr>
          <w:p w14:paraId="43C3CCC2" w14:textId="77777777" w:rsidR="00A7044B" w:rsidRPr="00A7044B" w:rsidRDefault="7A7677E6" w:rsidP="3328C818">
            <w:pPr>
              <w:pStyle w:val="Table-Text"/>
              <w:jc w:val="center"/>
            </w:pPr>
            <w:r>
              <w:t>3.50</w:t>
            </w:r>
          </w:p>
        </w:tc>
      </w:tr>
      <w:tr w:rsidR="00A7044B" w:rsidRPr="00A7044B" w14:paraId="09D3525B" w14:textId="77777777" w:rsidTr="3328C818">
        <w:trPr>
          <w:trHeight w:hRule="exact" w:val="288"/>
        </w:trPr>
        <w:tc>
          <w:tcPr>
            <w:tcW w:w="3175" w:type="pct"/>
            <w:tcBorders>
              <w:top w:val="nil"/>
              <w:left w:val="single" w:sz="8" w:space="0" w:color="auto"/>
              <w:bottom w:val="single" w:sz="4" w:space="0" w:color="auto"/>
              <w:right w:val="single" w:sz="8" w:space="0" w:color="auto"/>
            </w:tcBorders>
            <w:shd w:val="clear" w:color="auto" w:fill="auto"/>
            <w:noWrap/>
            <w:vAlign w:val="bottom"/>
            <w:hideMark/>
          </w:tcPr>
          <w:p w14:paraId="28A75D9E" w14:textId="77777777" w:rsidR="00A7044B" w:rsidRPr="00A7044B" w:rsidRDefault="00A7044B" w:rsidP="00AA4413">
            <w:pPr>
              <w:pStyle w:val="Table-Text"/>
            </w:pPr>
            <w:r w:rsidRPr="00A7044B">
              <w:t>Control Equipment Life (</w:t>
            </w:r>
            <w:proofErr w:type="spellStart"/>
            <w:r w:rsidRPr="00A7044B">
              <w:t>yr</w:t>
            </w:r>
            <w:proofErr w:type="spellEnd"/>
            <w:r w:rsidRPr="00A7044B">
              <w:t>)</w:t>
            </w:r>
          </w:p>
        </w:tc>
        <w:tc>
          <w:tcPr>
            <w:tcW w:w="913" w:type="pct"/>
            <w:tcBorders>
              <w:top w:val="nil"/>
              <w:left w:val="nil"/>
              <w:bottom w:val="single" w:sz="4" w:space="0" w:color="auto"/>
              <w:right w:val="single" w:sz="4" w:space="0" w:color="auto"/>
            </w:tcBorders>
            <w:shd w:val="clear" w:color="auto" w:fill="auto"/>
            <w:noWrap/>
            <w:vAlign w:val="center"/>
            <w:hideMark/>
          </w:tcPr>
          <w:p w14:paraId="37BF39E9" w14:textId="77777777" w:rsidR="00A7044B" w:rsidRPr="00A7044B" w:rsidRDefault="7A7677E6" w:rsidP="3328C818">
            <w:pPr>
              <w:pStyle w:val="Table-Text"/>
              <w:jc w:val="center"/>
            </w:pPr>
            <w:r>
              <w:t>20</w:t>
            </w:r>
          </w:p>
        </w:tc>
        <w:tc>
          <w:tcPr>
            <w:tcW w:w="912" w:type="pct"/>
            <w:tcBorders>
              <w:top w:val="nil"/>
              <w:left w:val="nil"/>
              <w:bottom w:val="single" w:sz="4" w:space="0" w:color="auto"/>
              <w:right w:val="single" w:sz="8" w:space="0" w:color="auto"/>
            </w:tcBorders>
            <w:shd w:val="clear" w:color="auto" w:fill="auto"/>
            <w:noWrap/>
            <w:vAlign w:val="center"/>
            <w:hideMark/>
          </w:tcPr>
          <w:p w14:paraId="3E1D6C5F" w14:textId="77777777" w:rsidR="00A7044B" w:rsidRPr="00A7044B" w:rsidRDefault="7A7677E6" w:rsidP="3328C818">
            <w:pPr>
              <w:pStyle w:val="Table-Text"/>
              <w:jc w:val="center"/>
            </w:pPr>
            <w:r>
              <w:t>20</w:t>
            </w:r>
          </w:p>
        </w:tc>
      </w:tr>
      <w:tr w:rsidR="00A7044B" w:rsidRPr="00A7044B" w14:paraId="143CC02D" w14:textId="77777777" w:rsidTr="3328C818">
        <w:trPr>
          <w:trHeight w:hRule="exact" w:val="288"/>
        </w:trPr>
        <w:tc>
          <w:tcPr>
            <w:tcW w:w="3175" w:type="pct"/>
            <w:tcBorders>
              <w:top w:val="nil"/>
              <w:left w:val="single" w:sz="8" w:space="0" w:color="auto"/>
              <w:bottom w:val="single" w:sz="4" w:space="0" w:color="auto"/>
              <w:right w:val="single" w:sz="8" w:space="0" w:color="auto"/>
            </w:tcBorders>
            <w:shd w:val="clear" w:color="auto" w:fill="auto"/>
            <w:noWrap/>
            <w:vAlign w:val="bottom"/>
            <w:hideMark/>
          </w:tcPr>
          <w:p w14:paraId="0B0B185F" w14:textId="77777777" w:rsidR="00A7044B" w:rsidRPr="00A7044B" w:rsidRDefault="00A7044B" w:rsidP="00AA4413">
            <w:pPr>
              <w:pStyle w:val="Table-Text"/>
            </w:pPr>
            <w:r w:rsidRPr="00A7044B">
              <w:t>Capital Recovery Cost</w:t>
            </w:r>
          </w:p>
        </w:tc>
        <w:tc>
          <w:tcPr>
            <w:tcW w:w="913" w:type="pct"/>
            <w:tcBorders>
              <w:top w:val="nil"/>
              <w:left w:val="nil"/>
              <w:bottom w:val="single" w:sz="4" w:space="0" w:color="auto"/>
              <w:right w:val="single" w:sz="4" w:space="0" w:color="auto"/>
            </w:tcBorders>
            <w:shd w:val="clear" w:color="auto" w:fill="auto"/>
            <w:noWrap/>
            <w:vAlign w:val="center"/>
            <w:hideMark/>
          </w:tcPr>
          <w:p w14:paraId="43B2A78A" w14:textId="77777777" w:rsidR="00A7044B" w:rsidRPr="00A7044B" w:rsidRDefault="7A7677E6" w:rsidP="3328C818">
            <w:pPr>
              <w:pStyle w:val="Table-Text"/>
              <w:jc w:val="center"/>
            </w:pPr>
            <w:r>
              <w:t xml:space="preserve"> $    323,490 </w:t>
            </w:r>
          </w:p>
        </w:tc>
        <w:tc>
          <w:tcPr>
            <w:tcW w:w="912" w:type="pct"/>
            <w:tcBorders>
              <w:top w:val="nil"/>
              <w:left w:val="nil"/>
              <w:bottom w:val="single" w:sz="4" w:space="0" w:color="auto"/>
              <w:right w:val="single" w:sz="8" w:space="0" w:color="auto"/>
            </w:tcBorders>
            <w:shd w:val="clear" w:color="auto" w:fill="auto"/>
            <w:noWrap/>
            <w:vAlign w:val="center"/>
            <w:hideMark/>
          </w:tcPr>
          <w:p w14:paraId="37D2275C" w14:textId="77777777" w:rsidR="00A7044B" w:rsidRPr="00A7044B" w:rsidRDefault="7A7677E6" w:rsidP="3328C818">
            <w:pPr>
              <w:pStyle w:val="Table-Text"/>
              <w:jc w:val="center"/>
            </w:pPr>
            <w:r>
              <w:t xml:space="preserve"> $    504,012 </w:t>
            </w:r>
          </w:p>
        </w:tc>
      </w:tr>
      <w:tr w:rsidR="00A7044B" w:rsidRPr="00A7044B" w14:paraId="70BA5EE5" w14:textId="77777777" w:rsidTr="3328C818">
        <w:trPr>
          <w:trHeight w:hRule="exact" w:val="288"/>
        </w:trPr>
        <w:tc>
          <w:tcPr>
            <w:tcW w:w="3175" w:type="pct"/>
            <w:tcBorders>
              <w:top w:val="nil"/>
              <w:left w:val="single" w:sz="8" w:space="0" w:color="auto"/>
              <w:bottom w:val="single" w:sz="4" w:space="0" w:color="auto"/>
              <w:right w:val="single" w:sz="8" w:space="0" w:color="auto"/>
            </w:tcBorders>
            <w:shd w:val="clear" w:color="auto" w:fill="auto"/>
            <w:noWrap/>
            <w:vAlign w:val="bottom"/>
            <w:hideMark/>
          </w:tcPr>
          <w:p w14:paraId="79A54A52" w14:textId="77777777" w:rsidR="00A7044B" w:rsidRPr="00A7044B" w:rsidRDefault="00A7044B" w:rsidP="00AA4413">
            <w:pPr>
              <w:pStyle w:val="Table-Text"/>
            </w:pPr>
            <w:r w:rsidRPr="00A7044B">
              <w:t>Indirect Cost/Fixed O&amp;M</w:t>
            </w:r>
          </w:p>
        </w:tc>
        <w:tc>
          <w:tcPr>
            <w:tcW w:w="913" w:type="pct"/>
            <w:tcBorders>
              <w:top w:val="nil"/>
              <w:left w:val="nil"/>
              <w:bottom w:val="single" w:sz="4" w:space="0" w:color="auto"/>
              <w:right w:val="single" w:sz="4" w:space="0" w:color="auto"/>
            </w:tcBorders>
            <w:shd w:val="clear" w:color="auto" w:fill="auto"/>
            <w:noWrap/>
            <w:vAlign w:val="center"/>
            <w:hideMark/>
          </w:tcPr>
          <w:p w14:paraId="55213309" w14:textId="77777777" w:rsidR="00A7044B" w:rsidRPr="00A7044B" w:rsidRDefault="7A7677E6" w:rsidP="3328C818">
            <w:pPr>
              <w:pStyle w:val="Table-Text"/>
              <w:jc w:val="center"/>
            </w:pPr>
            <w:r>
              <w:t xml:space="preserve"> $    325,558 </w:t>
            </w:r>
          </w:p>
        </w:tc>
        <w:tc>
          <w:tcPr>
            <w:tcW w:w="912" w:type="pct"/>
            <w:tcBorders>
              <w:top w:val="nil"/>
              <w:left w:val="nil"/>
              <w:bottom w:val="single" w:sz="4" w:space="0" w:color="auto"/>
              <w:right w:val="single" w:sz="8" w:space="0" w:color="auto"/>
            </w:tcBorders>
            <w:shd w:val="clear" w:color="auto" w:fill="auto"/>
            <w:noWrap/>
            <w:vAlign w:val="center"/>
            <w:hideMark/>
          </w:tcPr>
          <w:p w14:paraId="75AFB4DC" w14:textId="77777777" w:rsidR="00A7044B" w:rsidRPr="00A7044B" w:rsidRDefault="7A7677E6" w:rsidP="3328C818">
            <w:pPr>
              <w:pStyle w:val="Table-Text"/>
              <w:jc w:val="center"/>
            </w:pPr>
            <w:r>
              <w:t xml:space="preserve"> $    507,234 </w:t>
            </w:r>
          </w:p>
        </w:tc>
      </w:tr>
      <w:tr w:rsidR="00A7044B" w:rsidRPr="00A7044B" w14:paraId="1B0FEF5E" w14:textId="77777777" w:rsidTr="3328C818">
        <w:trPr>
          <w:trHeight w:hRule="exact" w:val="288"/>
        </w:trPr>
        <w:tc>
          <w:tcPr>
            <w:tcW w:w="3175" w:type="pct"/>
            <w:tcBorders>
              <w:top w:val="nil"/>
              <w:left w:val="single" w:sz="8" w:space="0" w:color="auto"/>
              <w:bottom w:val="single" w:sz="4" w:space="0" w:color="auto"/>
              <w:right w:val="single" w:sz="8" w:space="0" w:color="auto"/>
            </w:tcBorders>
            <w:shd w:val="clear" w:color="auto" w:fill="auto"/>
            <w:noWrap/>
            <w:vAlign w:val="bottom"/>
            <w:hideMark/>
          </w:tcPr>
          <w:p w14:paraId="38D76483" w14:textId="77777777" w:rsidR="00A7044B" w:rsidRPr="00A7044B" w:rsidRDefault="00A7044B" w:rsidP="00AA4413">
            <w:pPr>
              <w:pStyle w:val="Table-Text"/>
            </w:pPr>
            <w:r w:rsidRPr="00A7044B">
              <w:t>Total System Capacity Factor</w:t>
            </w:r>
          </w:p>
        </w:tc>
        <w:tc>
          <w:tcPr>
            <w:tcW w:w="913" w:type="pct"/>
            <w:tcBorders>
              <w:top w:val="nil"/>
              <w:left w:val="nil"/>
              <w:bottom w:val="single" w:sz="4" w:space="0" w:color="auto"/>
              <w:right w:val="single" w:sz="4" w:space="0" w:color="auto"/>
            </w:tcBorders>
            <w:shd w:val="clear" w:color="auto" w:fill="auto"/>
            <w:noWrap/>
            <w:vAlign w:val="center"/>
            <w:hideMark/>
          </w:tcPr>
          <w:p w14:paraId="3A37D007" w14:textId="77777777" w:rsidR="00A7044B" w:rsidRPr="00A7044B" w:rsidRDefault="7A7677E6" w:rsidP="3328C818">
            <w:pPr>
              <w:pStyle w:val="Table-Text"/>
              <w:jc w:val="center"/>
            </w:pPr>
            <w:r>
              <w:t>0.745</w:t>
            </w:r>
          </w:p>
        </w:tc>
        <w:tc>
          <w:tcPr>
            <w:tcW w:w="912" w:type="pct"/>
            <w:tcBorders>
              <w:top w:val="nil"/>
              <w:left w:val="nil"/>
              <w:bottom w:val="single" w:sz="4" w:space="0" w:color="auto"/>
              <w:right w:val="single" w:sz="8" w:space="0" w:color="auto"/>
            </w:tcBorders>
            <w:shd w:val="clear" w:color="auto" w:fill="auto"/>
            <w:noWrap/>
            <w:vAlign w:val="center"/>
            <w:hideMark/>
          </w:tcPr>
          <w:p w14:paraId="0A347F9A" w14:textId="77777777" w:rsidR="00A7044B" w:rsidRPr="00A7044B" w:rsidRDefault="7A7677E6" w:rsidP="3328C818">
            <w:pPr>
              <w:pStyle w:val="Table-Text"/>
              <w:jc w:val="center"/>
            </w:pPr>
            <w:r>
              <w:t>0.745</w:t>
            </w:r>
          </w:p>
        </w:tc>
      </w:tr>
      <w:tr w:rsidR="00A7044B" w:rsidRPr="00A7044B" w14:paraId="040C548F" w14:textId="77777777" w:rsidTr="3328C818">
        <w:trPr>
          <w:trHeight w:hRule="exact" w:val="288"/>
        </w:trPr>
        <w:tc>
          <w:tcPr>
            <w:tcW w:w="3175" w:type="pct"/>
            <w:tcBorders>
              <w:top w:val="nil"/>
              <w:left w:val="single" w:sz="8" w:space="0" w:color="auto"/>
              <w:bottom w:val="single" w:sz="4" w:space="0" w:color="auto"/>
              <w:right w:val="single" w:sz="8" w:space="0" w:color="auto"/>
            </w:tcBorders>
            <w:shd w:val="clear" w:color="auto" w:fill="auto"/>
            <w:noWrap/>
            <w:vAlign w:val="bottom"/>
            <w:hideMark/>
          </w:tcPr>
          <w:p w14:paraId="752B4494" w14:textId="77777777" w:rsidR="00A7044B" w:rsidRPr="00A7044B" w:rsidRDefault="00A7044B" w:rsidP="00AA4413">
            <w:pPr>
              <w:pStyle w:val="Table-Text"/>
            </w:pPr>
            <w:r w:rsidRPr="00A7044B">
              <w:t>Direct Cost/Variable O&amp;M</w:t>
            </w:r>
          </w:p>
        </w:tc>
        <w:tc>
          <w:tcPr>
            <w:tcW w:w="913" w:type="pct"/>
            <w:tcBorders>
              <w:top w:val="nil"/>
              <w:left w:val="nil"/>
              <w:bottom w:val="single" w:sz="4" w:space="0" w:color="auto"/>
              <w:right w:val="single" w:sz="4" w:space="0" w:color="auto"/>
            </w:tcBorders>
            <w:shd w:val="clear" w:color="auto" w:fill="auto"/>
            <w:noWrap/>
            <w:vAlign w:val="center"/>
            <w:hideMark/>
          </w:tcPr>
          <w:p w14:paraId="17F2DC6D" w14:textId="77777777" w:rsidR="00A7044B" w:rsidRPr="00A7044B" w:rsidRDefault="7A7677E6" w:rsidP="3328C818">
            <w:pPr>
              <w:pStyle w:val="Table-Text"/>
              <w:jc w:val="center"/>
            </w:pPr>
            <w:r>
              <w:t xml:space="preserve"> $    488,267 </w:t>
            </w:r>
          </w:p>
        </w:tc>
        <w:tc>
          <w:tcPr>
            <w:tcW w:w="912" w:type="pct"/>
            <w:tcBorders>
              <w:top w:val="nil"/>
              <w:left w:val="nil"/>
              <w:bottom w:val="single" w:sz="4" w:space="0" w:color="auto"/>
              <w:right w:val="single" w:sz="8" w:space="0" w:color="auto"/>
            </w:tcBorders>
            <w:shd w:val="clear" w:color="auto" w:fill="auto"/>
            <w:noWrap/>
            <w:vAlign w:val="center"/>
            <w:hideMark/>
          </w:tcPr>
          <w:p w14:paraId="5AFF0269" w14:textId="77777777" w:rsidR="00A7044B" w:rsidRPr="00A7044B" w:rsidRDefault="7A7677E6" w:rsidP="3328C818">
            <w:pPr>
              <w:pStyle w:val="Table-Text"/>
              <w:jc w:val="center"/>
            </w:pPr>
            <w:r>
              <w:t xml:space="preserve"> $    806,838 </w:t>
            </w:r>
          </w:p>
        </w:tc>
      </w:tr>
      <w:tr w:rsidR="00A7044B" w:rsidRPr="00A7044B" w14:paraId="14635105" w14:textId="77777777" w:rsidTr="3328C818">
        <w:trPr>
          <w:trHeight w:hRule="exact" w:val="288"/>
        </w:trPr>
        <w:tc>
          <w:tcPr>
            <w:tcW w:w="3175" w:type="pct"/>
            <w:tcBorders>
              <w:top w:val="nil"/>
              <w:left w:val="single" w:sz="8" w:space="0" w:color="auto"/>
              <w:bottom w:val="single" w:sz="4" w:space="0" w:color="auto"/>
              <w:right w:val="single" w:sz="8" w:space="0" w:color="auto"/>
            </w:tcBorders>
            <w:shd w:val="clear" w:color="auto" w:fill="auto"/>
            <w:noWrap/>
            <w:vAlign w:val="bottom"/>
            <w:hideMark/>
          </w:tcPr>
          <w:p w14:paraId="6814A054" w14:textId="77777777" w:rsidR="00A7044B" w:rsidRPr="00A7044B" w:rsidRDefault="00A7044B" w:rsidP="00AA4413">
            <w:pPr>
              <w:pStyle w:val="Table-Text"/>
            </w:pPr>
            <w:r w:rsidRPr="00A7044B">
              <w:t xml:space="preserve">Total Annual Cost </w:t>
            </w:r>
          </w:p>
        </w:tc>
        <w:tc>
          <w:tcPr>
            <w:tcW w:w="913" w:type="pct"/>
            <w:tcBorders>
              <w:top w:val="nil"/>
              <w:left w:val="nil"/>
              <w:bottom w:val="single" w:sz="4" w:space="0" w:color="auto"/>
              <w:right w:val="single" w:sz="4" w:space="0" w:color="auto"/>
            </w:tcBorders>
            <w:shd w:val="clear" w:color="auto" w:fill="auto"/>
            <w:noWrap/>
            <w:vAlign w:val="center"/>
            <w:hideMark/>
          </w:tcPr>
          <w:p w14:paraId="7A57A10F" w14:textId="77777777" w:rsidR="00A7044B" w:rsidRPr="00A7044B" w:rsidRDefault="7A7677E6" w:rsidP="3328C818">
            <w:pPr>
              <w:pStyle w:val="Table-Text"/>
              <w:jc w:val="center"/>
            </w:pPr>
            <w:r>
              <w:t xml:space="preserve"> $    813,825 </w:t>
            </w:r>
          </w:p>
        </w:tc>
        <w:tc>
          <w:tcPr>
            <w:tcW w:w="912" w:type="pct"/>
            <w:tcBorders>
              <w:top w:val="nil"/>
              <w:left w:val="nil"/>
              <w:bottom w:val="single" w:sz="4" w:space="0" w:color="auto"/>
              <w:right w:val="single" w:sz="8" w:space="0" w:color="auto"/>
            </w:tcBorders>
            <w:shd w:val="clear" w:color="auto" w:fill="auto"/>
            <w:noWrap/>
            <w:vAlign w:val="center"/>
            <w:hideMark/>
          </w:tcPr>
          <w:p w14:paraId="0ECAC7E5" w14:textId="77777777" w:rsidR="00A7044B" w:rsidRPr="00A7044B" w:rsidRDefault="7A7677E6" w:rsidP="3328C818">
            <w:pPr>
              <w:pStyle w:val="Table-Text"/>
              <w:jc w:val="center"/>
            </w:pPr>
            <w:r>
              <w:t xml:space="preserve"> $ 1,314,072 </w:t>
            </w:r>
          </w:p>
        </w:tc>
      </w:tr>
      <w:tr w:rsidR="00A7044B" w:rsidRPr="00A7044B" w14:paraId="04A54AF3" w14:textId="77777777" w:rsidTr="3328C818">
        <w:trPr>
          <w:trHeight w:hRule="exact" w:val="288"/>
        </w:trPr>
        <w:tc>
          <w:tcPr>
            <w:tcW w:w="3175" w:type="pct"/>
            <w:tcBorders>
              <w:top w:val="nil"/>
              <w:left w:val="single" w:sz="8" w:space="0" w:color="auto"/>
              <w:bottom w:val="single" w:sz="4" w:space="0" w:color="auto"/>
              <w:right w:val="single" w:sz="8" w:space="0" w:color="auto"/>
            </w:tcBorders>
            <w:shd w:val="clear" w:color="auto" w:fill="auto"/>
            <w:noWrap/>
            <w:vAlign w:val="bottom"/>
            <w:hideMark/>
          </w:tcPr>
          <w:p w14:paraId="4127E277" w14:textId="77777777" w:rsidR="00A7044B" w:rsidRPr="00A7044B" w:rsidRDefault="00A7044B" w:rsidP="00AA4413">
            <w:pPr>
              <w:pStyle w:val="Table-Text"/>
            </w:pPr>
            <w:r w:rsidRPr="00A7044B">
              <w:t>Uncontrolled NOx Emissions (Tons/</w:t>
            </w:r>
            <w:proofErr w:type="spellStart"/>
            <w:r w:rsidRPr="00A7044B">
              <w:t>yr</w:t>
            </w:r>
            <w:proofErr w:type="spellEnd"/>
            <w:r w:rsidRPr="00A7044B">
              <w:t>)</w:t>
            </w:r>
          </w:p>
        </w:tc>
        <w:tc>
          <w:tcPr>
            <w:tcW w:w="913" w:type="pct"/>
            <w:tcBorders>
              <w:top w:val="nil"/>
              <w:left w:val="nil"/>
              <w:bottom w:val="single" w:sz="4" w:space="0" w:color="auto"/>
              <w:right w:val="single" w:sz="4" w:space="0" w:color="auto"/>
            </w:tcBorders>
            <w:shd w:val="clear" w:color="auto" w:fill="auto"/>
            <w:noWrap/>
            <w:vAlign w:val="center"/>
            <w:hideMark/>
          </w:tcPr>
          <w:p w14:paraId="3227CB2B" w14:textId="77777777" w:rsidR="00A7044B" w:rsidRPr="00A7044B" w:rsidRDefault="7A7677E6" w:rsidP="3328C818">
            <w:pPr>
              <w:pStyle w:val="Table-Text"/>
              <w:jc w:val="center"/>
            </w:pPr>
            <w:r>
              <w:t>909</w:t>
            </w:r>
          </w:p>
        </w:tc>
        <w:tc>
          <w:tcPr>
            <w:tcW w:w="912" w:type="pct"/>
            <w:tcBorders>
              <w:top w:val="nil"/>
              <w:left w:val="nil"/>
              <w:bottom w:val="single" w:sz="4" w:space="0" w:color="auto"/>
              <w:right w:val="single" w:sz="8" w:space="0" w:color="auto"/>
            </w:tcBorders>
            <w:shd w:val="clear" w:color="auto" w:fill="auto"/>
            <w:noWrap/>
            <w:vAlign w:val="center"/>
            <w:hideMark/>
          </w:tcPr>
          <w:p w14:paraId="3BAA0597" w14:textId="77777777" w:rsidR="00A7044B" w:rsidRPr="00A7044B" w:rsidRDefault="7A7677E6" w:rsidP="3328C818">
            <w:pPr>
              <w:pStyle w:val="Table-Text"/>
              <w:jc w:val="center"/>
            </w:pPr>
            <w:r>
              <w:t>909</w:t>
            </w:r>
          </w:p>
        </w:tc>
      </w:tr>
      <w:tr w:rsidR="00A7044B" w:rsidRPr="00A7044B" w14:paraId="29B34F54" w14:textId="77777777" w:rsidTr="3328C818">
        <w:trPr>
          <w:trHeight w:hRule="exact" w:val="288"/>
        </w:trPr>
        <w:tc>
          <w:tcPr>
            <w:tcW w:w="3175" w:type="pct"/>
            <w:tcBorders>
              <w:top w:val="nil"/>
              <w:left w:val="single" w:sz="8" w:space="0" w:color="auto"/>
              <w:bottom w:val="single" w:sz="4" w:space="0" w:color="auto"/>
              <w:right w:val="single" w:sz="8" w:space="0" w:color="auto"/>
            </w:tcBorders>
            <w:shd w:val="clear" w:color="auto" w:fill="auto"/>
            <w:noWrap/>
            <w:vAlign w:val="bottom"/>
            <w:hideMark/>
          </w:tcPr>
          <w:p w14:paraId="5438FEA1" w14:textId="77777777" w:rsidR="00A7044B" w:rsidRPr="00A7044B" w:rsidRDefault="00A7044B" w:rsidP="00AA4413">
            <w:pPr>
              <w:pStyle w:val="Table-Text"/>
            </w:pPr>
            <w:r w:rsidRPr="00A7044B">
              <w:t>Uncontrolled NOx Emission Rate (</w:t>
            </w:r>
            <w:proofErr w:type="spellStart"/>
            <w:r w:rsidRPr="00A7044B">
              <w:t>lb</w:t>
            </w:r>
            <w:proofErr w:type="spellEnd"/>
            <w:r w:rsidRPr="00A7044B">
              <w:t>/</w:t>
            </w:r>
            <w:proofErr w:type="spellStart"/>
            <w:r w:rsidRPr="00A7044B">
              <w:t>mmbtu</w:t>
            </w:r>
            <w:proofErr w:type="spellEnd"/>
            <w:r w:rsidRPr="00A7044B">
              <w:t>)</w:t>
            </w:r>
          </w:p>
        </w:tc>
        <w:tc>
          <w:tcPr>
            <w:tcW w:w="913" w:type="pct"/>
            <w:tcBorders>
              <w:top w:val="nil"/>
              <w:left w:val="nil"/>
              <w:bottom w:val="single" w:sz="4" w:space="0" w:color="auto"/>
              <w:right w:val="single" w:sz="4" w:space="0" w:color="auto"/>
            </w:tcBorders>
            <w:shd w:val="clear" w:color="auto" w:fill="auto"/>
            <w:noWrap/>
            <w:vAlign w:val="center"/>
            <w:hideMark/>
          </w:tcPr>
          <w:p w14:paraId="298D42BA" w14:textId="77777777" w:rsidR="00A7044B" w:rsidRPr="00A7044B" w:rsidRDefault="7A7677E6" w:rsidP="3328C818">
            <w:pPr>
              <w:pStyle w:val="Table-Text"/>
              <w:jc w:val="center"/>
            </w:pPr>
            <w:r>
              <w:t>0.59</w:t>
            </w:r>
          </w:p>
        </w:tc>
        <w:tc>
          <w:tcPr>
            <w:tcW w:w="912" w:type="pct"/>
            <w:tcBorders>
              <w:top w:val="nil"/>
              <w:left w:val="nil"/>
              <w:bottom w:val="single" w:sz="4" w:space="0" w:color="auto"/>
              <w:right w:val="single" w:sz="8" w:space="0" w:color="auto"/>
            </w:tcBorders>
            <w:shd w:val="clear" w:color="auto" w:fill="auto"/>
            <w:noWrap/>
            <w:vAlign w:val="center"/>
            <w:hideMark/>
          </w:tcPr>
          <w:p w14:paraId="2B45A40D" w14:textId="77777777" w:rsidR="00A7044B" w:rsidRPr="00A7044B" w:rsidRDefault="7A7677E6" w:rsidP="3328C818">
            <w:pPr>
              <w:pStyle w:val="Table-Text"/>
              <w:jc w:val="center"/>
            </w:pPr>
            <w:r>
              <w:t>0.59</w:t>
            </w:r>
          </w:p>
        </w:tc>
      </w:tr>
      <w:tr w:rsidR="00A7044B" w:rsidRPr="00A7044B" w14:paraId="3D1E9564" w14:textId="77777777" w:rsidTr="3328C818">
        <w:trPr>
          <w:trHeight w:hRule="exact" w:val="288"/>
        </w:trPr>
        <w:tc>
          <w:tcPr>
            <w:tcW w:w="3175" w:type="pct"/>
            <w:tcBorders>
              <w:top w:val="nil"/>
              <w:left w:val="single" w:sz="8" w:space="0" w:color="auto"/>
              <w:bottom w:val="single" w:sz="4" w:space="0" w:color="auto"/>
              <w:right w:val="single" w:sz="8" w:space="0" w:color="auto"/>
            </w:tcBorders>
            <w:shd w:val="clear" w:color="auto" w:fill="auto"/>
            <w:noWrap/>
            <w:vAlign w:val="bottom"/>
            <w:hideMark/>
          </w:tcPr>
          <w:p w14:paraId="5EF723BA" w14:textId="77777777" w:rsidR="00A7044B" w:rsidRPr="00A7044B" w:rsidRDefault="00A7044B" w:rsidP="00AA4413">
            <w:pPr>
              <w:pStyle w:val="Table-Text"/>
            </w:pPr>
            <w:r w:rsidRPr="00A7044B">
              <w:t>NOx Removal Efficiency (%)</w:t>
            </w:r>
          </w:p>
        </w:tc>
        <w:tc>
          <w:tcPr>
            <w:tcW w:w="913" w:type="pct"/>
            <w:tcBorders>
              <w:top w:val="nil"/>
              <w:left w:val="nil"/>
              <w:bottom w:val="single" w:sz="4" w:space="0" w:color="auto"/>
              <w:right w:val="single" w:sz="4" w:space="0" w:color="auto"/>
            </w:tcBorders>
            <w:shd w:val="clear" w:color="auto" w:fill="FFFF00"/>
            <w:noWrap/>
            <w:vAlign w:val="center"/>
            <w:hideMark/>
          </w:tcPr>
          <w:p w14:paraId="4A228B15" w14:textId="77777777" w:rsidR="00A7044B" w:rsidRPr="00A7044B" w:rsidRDefault="7A7677E6" w:rsidP="3328C818">
            <w:pPr>
              <w:pStyle w:val="Table-Text"/>
              <w:jc w:val="center"/>
            </w:pPr>
            <w:r>
              <w:t>30</w:t>
            </w:r>
          </w:p>
        </w:tc>
        <w:tc>
          <w:tcPr>
            <w:tcW w:w="912" w:type="pct"/>
            <w:tcBorders>
              <w:top w:val="nil"/>
              <w:left w:val="nil"/>
              <w:bottom w:val="single" w:sz="4" w:space="0" w:color="auto"/>
              <w:right w:val="single" w:sz="8" w:space="0" w:color="auto"/>
            </w:tcBorders>
            <w:shd w:val="clear" w:color="auto" w:fill="FFFF00"/>
            <w:noWrap/>
            <w:vAlign w:val="center"/>
            <w:hideMark/>
          </w:tcPr>
          <w:p w14:paraId="2A3E8FC7" w14:textId="77777777" w:rsidR="00A7044B" w:rsidRPr="00A7044B" w:rsidRDefault="7A7677E6" w:rsidP="3328C818">
            <w:pPr>
              <w:pStyle w:val="Table-Text"/>
              <w:jc w:val="center"/>
            </w:pPr>
            <w:r>
              <w:t>49</w:t>
            </w:r>
          </w:p>
        </w:tc>
      </w:tr>
      <w:tr w:rsidR="00A7044B" w:rsidRPr="00A7044B" w14:paraId="1FED897D" w14:textId="77777777" w:rsidTr="3328C818">
        <w:trPr>
          <w:trHeight w:hRule="exact" w:val="288"/>
        </w:trPr>
        <w:tc>
          <w:tcPr>
            <w:tcW w:w="3175" w:type="pct"/>
            <w:tcBorders>
              <w:top w:val="nil"/>
              <w:left w:val="single" w:sz="8" w:space="0" w:color="auto"/>
              <w:bottom w:val="single" w:sz="4" w:space="0" w:color="auto"/>
              <w:right w:val="single" w:sz="8" w:space="0" w:color="auto"/>
            </w:tcBorders>
            <w:shd w:val="clear" w:color="auto" w:fill="auto"/>
            <w:noWrap/>
            <w:vAlign w:val="bottom"/>
            <w:hideMark/>
          </w:tcPr>
          <w:p w14:paraId="5955FDD6" w14:textId="77777777" w:rsidR="00A7044B" w:rsidRPr="00A7044B" w:rsidRDefault="00A7044B" w:rsidP="00AA4413">
            <w:pPr>
              <w:pStyle w:val="Table-Text"/>
            </w:pPr>
            <w:r w:rsidRPr="00A7044B">
              <w:t>Controlled NOx Emission Rate (</w:t>
            </w:r>
            <w:proofErr w:type="spellStart"/>
            <w:r w:rsidRPr="00A7044B">
              <w:t>lb</w:t>
            </w:r>
            <w:proofErr w:type="spellEnd"/>
            <w:r w:rsidRPr="00A7044B">
              <w:t>/</w:t>
            </w:r>
            <w:proofErr w:type="spellStart"/>
            <w:r w:rsidRPr="00A7044B">
              <w:t>mmbtu</w:t>
            </w:r>
            <w:proofErr w:type="spellEnd"/>
            <w:r w:rsidRPr="00A7044B">
              <w:t>)</w:t>
            </w:r>
          </w:p>
        </w:tc>
        <w:tc>
          <w:tcPr>
            <w:tcW w:w="913" w:type="pct"/>
            <w:tcBorders>
              <w:top w:val="nil"/>
              <w:left w:val="nil"/>
              <w:bottom w:val="single" w:sz="4" w:space="0" w:color="auto"/>
              <w:right w:val="single" w:sz="4" w:space="0" w:color="auto"/>
            </w:tcBorders>
            <w:shd w:val="clear" w:color="auto" w:fill="FFFF00"/>
            <w:noWrap/>
            <w:vAlign w:val="center"/>
            <w:hideMark/>
          </w:tcPr>
          <w:p w14:paraId="52F7D2C8" w14:textId="77777777" w:rsidR="00A7044B" w:rsidRPr="00A7044B" w:rsidRDefault="7A7677E6" w:rsidP="3328C818">
            <w:pPr>
              <w:pStyle w:val="Table-Text"/>
              <w:jc w:val="center"/>
            </w:pPr>
            <w:r>
              <w:t>0.42</w:t>
            </w:r>
          </w:p>
        </w:tc>
        <w:tc>
          <w:tcPr>
            <w:tcW w:w="912" w:type="pct"/>
            <w:tcBorders>
              <w:top w:val="nil"/>
              <w:left w:val="nil"/>
              <w:bottom w:val="single" w:sz="4" w:space="0" w:color="auto"/>
              <w:right w:val="single" w:sz="8" w:space="0" w:color="auto"/>
            </w:tcBorders>
            <w:shd w:val="clear" w:color="auto" w:fill="FFFF00"/>
            <w:noWrap/>
            <w:vAlign w:val="center"/>
            <w:hideMark/>
          </w:tcPr>
          <w:p w14:paraId="085E2CE9" w14:textId="77777777" w:rsidR="00A7044B" w:rsidRPr="00A7044B" w:rsidRDefault="7A7677E6" w:rsidP="3328C818">
            <w:pPr>
              <w:pStyle w:val="Table-Text"/>
              <w:jc w:val="center"/>
            </w:pPr>
            <w:r>
              <w:t>0.30</w:t>
            </w:r>
          </w:p>
        </w:tc>
      </w:tr>
      <w:tr w:rsidR="00A7044B" w:rsidRPr="00A7044B" w14:paraId="4639B6F6" w14:textId="77777777" w:rsidTr="3328C818">
        <w:trPr>
          <w:trHeight w:hRule="exact" w:val="288"/>
        </w:trPr>
        <w:tc>
          <w:tcPr>
            <w:tcW w:w="3175" w:type="pct"/>
            <w:tcBorders>
              <w:top w:val="nil"/>
              <w:left w:val="single" w:sz="8" w:space="0" w:color="auto"/>
              <w:bottom w:val="single" w:sz="4" w:space="0" w:color="auto"/>
              <w:right w:val="single" w:sz="8" w:space="0" w:color="auto"/>
            </w:tcBorders>
            <w:shd w:val="clear" w:color="auto" w:fill="auto"/>
            <w:noWrap/>
            <w:vAlign w:val="bottom"/>
            <w:hideMark/>
          </w:tcPr>
          <w:p w14:paraId="76C045A4" w14:textId="77777777" w:rsidR="00A7044B" w:rsidRPr="00A7044B" w:rsidRDefault="00A7044B" w:rsidP="00AA4413">
            <w:pPr>
              <w:pStyle w:val="Table-Text"/>
            </w:pPr>
            <w:r w:rsidRPr="00A7044B">
              <w:t>Tons Remaining</w:t>
            </w:r>
          </w:p>
        </w:tc>
        <w:tc>
          <w:tcPr>
            <w:tcW w:w="913" w:type="pct"/>
            <w:tcBorders>
              <w:top w:val="nil"/>
              <w:left w:val="nil"/>
              <w:bottom w:val="nil"/>
              <w:right w:val="single" w:sz="4" w:space="0" w:color="auto"/>
            </w:tcBorders>
            <w:shd w:val="clear" w:color="auto" w:fill="auto"/>
            <w:noWrap/>
            <w:vAlign w:val="center"/>
            <w:hideMark/>
          </w:tcPr>
          <w:p w14:paraId="493C9E7C" w14:textId="77777777" w:rsidR="00A7044B" w:rsidRPr="00A7044B" w:rsidRDefault="7A7677E6" w:rsidP="3328C818">
            <w:pPr>
              <w:pStyle w:val="Table-Text"/>
              <w:jc w:val="center"/>
            </w:pPr>
            <w:r>
              <w:t> </w:t>
            </w:r>
          </w:p>
        </w:tc>
        <w:tc>
          <w:tcPr>
            <w:tcW w:w="912" w:type="pct"/>
            <w:tcBorders>
              <w:top w:val="nil"/>
              <w:left w:val="nil"/>
              <w:bottom w:val="nil"/>
              <w:right w:val="single" w:sz="8" w:space="0" w:color="auto"/>
            </w:tcBorders>
            <w:shd w:val="clear" w:color="auto" w:fill="auto"/>
            <w:noWrap/>
            <w:vAlign w:val="center"/>
            <w:hideMark/>
          </w:tcPr>
          <w:p w14:paraId="3598E944" w14:textId="77777777" w:rsidR="00A7044B" w:rsidRPr="00A7044B" w:rsidRDefault="7A7677E6" w:rsidP="3328C818">
            <w:pPr>
              <w:pStyle w:val="Table-Text"/>
              <w:jc w:val="center"/>
            </w:pPr>
            <w:r>
              <w:t> </w:t>
            </w:r>
          </w:p>
        </w:tc>
      </w:tr>
      <w:tr w:rsidR="00A7044B" w:rsidRPr="00A7044B" w14:paraId="7A20D5B5" w14:textId="77777777" w:rsidTr="3328C818">
        <w:trPr>
          <w:trHeight w:hRule="exact" w:val="288"/>
        </w:trPr>
        <w:tc>
          <w:tcPr>
            <w:tcW w:w="3175" w:type="pct"/>
            <w:tcBorders>
              <w:top w:val="nil"/>
              <w:left w:val="single" w:sz="8" w:space="0" w:color="auto"/>
              <w:bottom w:val="single" w:sz="4" w:space="0" w:color="auto"/>
              <w:right w:val="single" w:sz="8" w:space="0" w:color="auto"/>
            </w:tcBorders>
            <w:shd w:val="clear" w:color="auto" w:fill="auto"/>
            <w:noWrap/>
            <w:vAlign w:val="bottom"/>
            <w:hideMark/>
          </w:tcPr>
          <w:p w14:paraId="2F2CCC5E" w14:textId="77777777" w:rsidR="00A7044B" w:rsidRPr="00A7044B" w:rsidRDefault="00A7044B" w:rsidP="00AA4413">
            <w:pPr>
              <w:pStyle w:val="Table-Text"/>
            </w:pPr>
            <w:r w:rsidRPr="00A7044B">
              <w:t>Tons Removed</w:t>
            </w:r>
          </w:p>
        </w:tc>
        <w:tc>
          <w:tcPr>
            <w:tcW w:w="913" w:type="pct"/>
            <w:tcBorders>
              <w:top w:val="single" w:sz="4" w:space="0" w:color="auto"/>
              <w:left w:val="nil"/>
              <w:bottom w:val="single" w:sz="4" w:space="0" w:color="auto"/>
              <w:right w:val="single" w:sz="4" w:space="0" w:color="auto"/>
            </w:tcBorders>
            <w:shd w:val="clear" w:color="auto" w:fill="FFFF00"/>
            <w:noWrap/>
            <w:vAlign w:val="center"/>
            <w:hideMark/>
          </w:tcPr>
          <w:p w14:paraId="64A8F32F" w14:textId="77777777" w:rsidR="00A7044B" w:rsidRPr="00A7044B" w:rsidRDefault="7A7677E6" w:rsidP="3328C818">
            <w:pPr>
              <w:pStyle w:val="Table-Text"/>
              <w:jc w:val="center"/>
            </w:pPr>
            <w:r>
              <w:t>269</w:t>
            </w:r>
          </w:p>
        </w:tc>
        <w:tc>
          <w:tcPr>
            <w:tcW w:w="912" w:type="pct"/>
            <w:tcBorders>
              <w:top w:val="single" w:sz="4" w:space="0" w:color="auto"/>
              <w:left w:val="nil"/>
              <w:bottom w:val="single" w:sz="4" w:space="0" w:color="auto"/>
              <w:right w:val="single" w:sz="8" w:space="0" w:color="auto"/>
            </w:tcBorders>
            <w:shd w:val="clear" w:color="auto" w:fill="FFFF00"/>
            <w:noWrap/>
            <w:vAlign w:val="center"/>
            <w:hideMark/>
          </w:tcPr>
          <w:p w14:paraId="40864564" w14:textId="77777777" w:rsidR="00A7044B" w:rsidRPr="00A7044B" w:rsidRDefault="7A7677E6" w:rsidP="3328C818">
            <w:pPr>
              <w:pStyle w:val="Table-Text"/>
              <w:jc w:val="center"/>
            </w:pPr>
            <w:r>
              <w:t>447</w:t>
            </w:r>
          </w:p>
        </w:tc>
      </w:tr>
      <w:tr w:rsidR="00A7044B" w:rsidRPr="00A7044B" w14:paraId="7AF5BAB7" w14:textId="77777777" w:rsidTr="3328C818">
        <w:trPr>
          <w:trHeight w:hRule="exact" w:val="288"/>
        </w:trPr>
        <w:tc>
          <w:tcPr>
            <w:tcW w:w="3175" w:type="pct"/>
            <w:tcBorders>
              <w:top w:val="nil"/>
              <w:left w:val="single" w:sz="8" w:space="0" w:color="auto"/>
              <w:bottom w:val="single" w:sz="8" w:space="0" w:color="auto"/>
              <w:right w:val="single" w:sz="8" w:space="0" w:color="auto"/>
            </w:tcBorders>
            <w:shd w:val="clear" w:color="auto" w:fill="auto"/>
            <w:noWrap/>
            <w:vAlign w:val="bottom"/>
            <w:hideMark/>
          </w:tcPr>
          <w:p w14:paraId="58B36C6D" w14:textId="77777777" w:rsidR="00A7044B" w:rsidRPr="00A7044B" w:rsidRDefault="00A7044B" w:rsidP="00AA4413">
            <w:pPr>
              <w:pStyle w:val="Table-Text"/>
            </w:pPr>
            <w:r w:rsidRPr="00A7044B">
              <w:t>Cost-Effectiveness</w:t>
            </w:r>
          </w:p>
        </w:tc>
        <w:tc>
          <w:tcPr>
            <w:tcW w:w="913" w:type="pct"/>
            <w:tcBorders>
              <w:top w:val="nil"/>
              <w:left w:val="nil"/>
              <w:bottom w:val="single" w:sz="8" w:space="0" w:color="auto"/>
              <w:right w:val="single" w:sz="4" w:space="0" w:color="auto"/>
            </w:tcBorders>
            <w:shd w:val="clear" w:color="auto" w:fill="FFFF00"/>
            <w:noWrap/>
            <w:vAlign w:val="center"/>
            <w:hideMark/>
          </w:tcPr>
          <w:p w14:paraId="76536C2F" w14:textId="77777777" w:rsidR="00A7044B" w:rsidRPr="00A7044B" w:rsidRDefault="7A7677E6" w:rsidP="3328C818">
            <w:pPr>
              <w:pStyle w:val="Table-Text"/>
              <w:jc w:val="center"/>
            </w:pPr>
            <w:r>
              <w:t xml:space="preserve"> $        3,030 </w:t>
            </w:r>
          </w:p>
        </w:tc>
        <w:tc>
          <w:tcPr>
            <w:tcW w:w="912" w:type="pct"/>
            <w:tcBorders>
              <w:top w:val="nil"/>
              <w:left w:val="nil"/>
              <w:bottom w:val="single" w:sz="8" w:space="0" w:color="auto"/>
              <w:right w:val="single" w:sz="8" w:space="0" w:color="auto"/>
            </w:tcBorders>
            <w:shd w:val="clear" w:color="auto" w:fill="FFFF00"/>
            <w:noWrap/>
            <w:vAlign w:val="center"/>
            <w:hideMark/>
          </w:tcPr>
          <w:p w14:paraId="796A3810" w14:textId="77777777" w:rsidR="00A7044B" w:rsidRPr="00A7044B" w:rsidRDefault="7A7677E6" w:rsidP="3328C818">
            <w:pPr>
              <w:pStyle w:val="Table-Text"/>
              <w:jc w:val="center"/>
            </w:pPr>
            <w:r>
              <w:t xml:space="preserve"> $        2,942 </w:t>
            </w:r>
          </w:p>
        </w:tc>
      </w:tr>
    </w:tbl>
    <w:p w14:paraId="5547CE5D" w14:textId="77777777" w:rsidR="00695917" w:rsidRDefault="00695917" w:rsidP="00B1738B">
      <w:pPr>
        <w:pStyle w:val="Heading5"/>
        <w:spacing w:line="240" w:lineRule="auto"/>
        <w:contextualSpacing/>
      </w:pPr>
    </w:p>
    <w:p w14:paraId="3F1E5991" w14:textId="0D2EBE51" w:rsidR="00867FDB" w:rsidRPr="005346A8" w:rsidRDefault="00867FDB" w:rsidP="00B1738B">
      <w:pPr>
        <w:pStyle w:val="Heading5"/>
        <w:spacing w:line="240" w:lineRule="auto"/>
        <w:contextualSpacing/>
      </w:pPr>
      <w:r w:rsidRPr="005346A8">
        <w:t>Significant Issues regarding SNCR Cost-Effectiveness:</w:t>
      </w:r>
    </w:p>
    <w:p w14:paraId="0A5EF283" w14:textId="77777777" w:rsidR="00867FDB" w:rsidRPr="005346A8" w:rsidRDefault="00867FDB" w:rsidP="00B1738B">
      <w:pPr>
        <w:pStyle w:val="ListParagraph"/>
      </w:pPr>
      <w:r w:rsidRPr="005346A8">
        <w:t>A retrofit factor greater than the CCM default value of 1.0 (which represents a 20% increase over a “greenfield” application) is likely unjustified considering the relative simplicity of typical SNCR systems. The CCM advises that:</w:t>
      </w:r>
    </w:p>
    <w:p w14:paraId="0B3DFC66" w14:textId="5D888F8D" w:rsidR="00867FDB" w:rsidRPr="005346A8" w:rsidRDefault="00867FDB" w:rsidP="00B1738B">
      <w:pPr>
        <w:pStyle w:val="ListParagraph"/>
        <w:numPr>
          <w:ilvl w:val="1"/>
          <w:numId w:val="13"/>
        </w:numPr>
      </w:pPr>
      <w:r w:rsidRPr="005346A8">
        <w:t>If the SNCR will be installed on an existing boiler, enter a retrofit factor equal to or greater than 0.84. Use 1 for retrofits with an average level of difficulty. For more difficult retrofits, you may use a retrofit factor greater than 1; however, you must document why the value used is appropriate.</w:t>
      </w:r>
      <w:r>
        <w:t xml:space="preserve"> </w:t>
      </w:r>
      <w:r w:rsidRPr="005346A8">
        <w:t>According to the CCM, “You must document why a retrofit factor of “__" is appropriate for the proposed project"</w:t>
      </w:r>
    </w:p>
    <w:p w14:paraId="35ACE39D" w14:textId="3F585BD1" w:rsidR="00867FDB" w:rsidRPr="005346A8" w:rsidRDefault="00867FDB" w:rsidP="00B1738B">
      <w:pPr>
        <w:pStyle w:val="ListParagraph"/>
      </w:pPr>
      <w:r w:rsidRPr="005346A8">
        <w:t>It is likely that MPCA has overestimated SNCR control efficiency and the resulting Direct Operating Costs and Tons Removed.</w:t>
      </w:r>
      <w:bookmarkStart w:id="33" w:name="_Hlk106019977"/>
      <w:r>
        <w:t xml:space="preserve"> NPS</w:t>
      </w:r>
      <w:r w:rsidRPr="005346A8">
        <w:t xml:space="preserve"> recommend</w:t>
      </w:r>
      <w:r>
        <w:t>s</w:t>
      </w:r>
      <w:r w:rsidRPr="005346A8">
        <w:t xml:space="preserve"> application of the relationship shown in CCM Figure 1.1c.</w:t>
      </w:r>
    </w:p>
    <w:bookmarkEnd w:id="33"/>
    <w:p w14:paraId="44A4DADF" w14:textId="33562BDC" w:rsidR="00867FDB" w:rsidRPr="005346A8" w:rsidRDefault="00867FDB" w:rsidP="00B1738B">
      <w:pPr>
        <w:spacing w:line="240" w:lineRule="auto"/>
        <w:contextualSpacing/>
      </w:pPr>
      <w:r>
        <w:t>NPS analyses</w:t>
      </w:r>
      <w:r w:rsidRPr="005346A8">
        <w:t xml:space="preserve"> estimate that addition of SNCR could reduce annual </w:t>
      </w:r>
      <w:r w:rsidRPr="00A9462F">
        <w:t>NO</w:t>
      </w:r>
      <w:r>
        <w:rPr>
          <w:vertAlign w:val="subscript"/>
        </w:rPr>
        <w:t>x</w:t>
      </w:r>
      <w:r w:rsidRPr="005346A8">
        <w:t xml:space="preserve"> by almost 300 tons at an annual cost of about $</w:t>
      </w:r>
      <w:r w:rsidR="00695917">
        <w:t>0.8</w:t>
      </w:r>
      <w:r w:rsidRPr="005346A8">
        <w:t xml:space="preserve"> million resulting in a very cost-effective strategy</w:t>
      </w:r>
      <w:r>
        <w:t xml:space="preserve"> of</w:t>
      </w:r>
      <w:r w:rsidRPr="005346A8">
        <w:t xml:space="preserve"> about $</w:t>
      </w:r>
      <w:r w:rsidR="00695917">
        <w:t>3</w:t>
      </w:r>
      <w:r w:rsidRPr="005346A8">
        <w:t xml:space="preserve">,000/ton of </w:t>
      </w:r>
      <w:r w:rsidRPr="00A9462F">
        <w:t>NO</w:t>
      </w:r>
      <w:r>
        <w:rPr>
          <w:vertAlign w:val="subscript"/>
        </w:rPr>
        <w:t>x</w:t>
      </w:r>
      <w:r w:rsidRPr="005346A8">
        <w:t xml:space="preserve"> removed.</w:t>
      </w:r>
      <w:r w:rsidR="00695917">
        <w:t xml:space="preserve"> Despite the unjustified 1.5 retrofit factor, MPCA has also estimated that addition of SNCR is very cost-effective.</w:t>
      </w:r>
    </w:p>
    <w:p w14:paraId="19C2F761" w14:textId="1119B644" w:rsidR="00867FDB" w:rsidRPr="005346A8" w:rsidRDefault="00867FDB" w:rsidP="00B1738B">
      <w:pPr>
        <w:pStyle w:val="Heading5"/>
        <w:spacing w:line="240" w:lineRule="auto"/>
        <w:contextualSpacing/>
      </w:pPr>
      <w:r>
        <w:t>NPS Estimated</w:t>
      </w:r>
      <w:r w:rsidRPr="005346A8">
        <w:t xml:space="preserve"> Cost of Compliance for SCR</w:t>
      </w:r>
    </w:p>
    <w:p w14:paraId="56C94DA9" w14:textId="77777777" w:rsidR="00867FDB" w:rsidRDefault="00867FDB" w:rsidP="00541741">
      <w:r w:rsidRPr="005346A8">
        <w:t>The table below shows the SCR costs estimated by MPCA and NPS</w:t>
      </w:r>
      <w:r>
        <w:t xml:space="preserve">. </w:t>
      </w:r>
      <w:r w:rsidRPr="005346A8">
        <w:t>The column</w:t>
      </w:r>
      <w:r w:rsidR="000841D5">
        <w:t>s</w:t>
      </w:r>
      <w:r w:rsidRPr="005346A8">
        <w:t xml:space="preserve"> labeled “SCR” do not include reheat. The column labeled “Reheat” shows the costs of adding a 211 </w:t>
      </w:r>
      <w:proofErr w:type="spellStart"/>
      <w:r w:rsidRPr="005346A8">
        <w:t>mmBtu</w:t>
      </w:r>
      <w:proofErr w:type="spellEnd"/>
      <w:r w:rsidRPr="005346A8">
        <w:t>/</w:t>
      </w:r>
      <w:proofErr w:type="spellStart"/>
      <w:r w:rsidRPr="005346A8">
        <w:t>hr</w:t>
      </w:r>
      <w:proofErr w:type="spellEnd"/>
      <w:r w:rsidRPr="005346A8">
        <w:t xml:space="preserve"> burner. The next column to the right shows costs associated with the SCR enlarged to treat the combined gas streams from the boiler and the burner. The next column to the right shows the combined costs of the reheat burner and the enlarged SCR. The cost-effectiveness of this combination is $</w:t>
      </w:r>
      <w:r w:rsidR="00BA6C21">
        <w:t>5,381</w:t>
      </w:r>
      <w:r w:rsidRPr="005346A8">
        <w:t>/ton.</w:t>
      </w:r>
      <w:r w:rsidR="00695917">
        <w:t xml:space="preserve"> </w:t>
      </w:r>
      <w:r w:rsidRPr="005346A8">
        <w:t xml:space="preserve">The “MPCA” column shows the actual MPCA </w:t>
      </w:r>
      <w:r w:rsidR="00695917">
        <w:t>estimates</w:t>
      </w:r>
      <w:r w:rsidRPr="005346A8">
        <w:t>.</w:t>
      </w:r>
    </w:p>
    <w:p w14:paraId="6F7DC3E2" w14:textId="77777777" w:rsidR="00B467D3" w:rsidRDefault="00B467D3">
      <w:pPr>
        <w:rPr>
          <w:bCs/>
          <w:i/>
          <w:iCs/>
          <w:color w:val="44546A" w:themeColor="text2"/>
          <w:sz w:val="22"/>
          <w:szCs w:val="18"/>
        </w:rPr>
      </w:pPr>
      <w:r>
        <w:br w:type="page"/>
      </w:r>
    </w:p>
    <w:p w14:paraId="786C40BB" w14:textId="611EA3C6" w:rsidR="00867FDB" w:rsidRDefault="00541741" w:rsidP="00541741">
      <w:pPr>
        <w:pStyle w:val="Caption"/>
      </w:pPr>
      <w:r>
        <w:t xml:space="preserve">Table </w:t>
      </w:r>
      <w:r>
        <w:fldChar w:fldCharType="begin"/>
      </w:r>
      <w:r>
        <w:instrText>SEQ Table \* ARABIC</w:instrText>
      </w:r>
      <w:r>
        <w:fldChar w:fldCharType="separate"/>
      </w:r>
      <w:r w:rsidR="00324681">
        <w:rPr>
          <w:noProof/>
        </w:rPr>
        <w:t>11</w:t>
      </w:r>
      <w:r>
        <w:fldChar w:fldCharType="end"/>
      </w:r>
      <w:r>
        <w:t xml:space="preserve">. </w:t>
      </w:r>
      <w:r w:rsidR="00867FDB">
        <w:t>NPS estimated</w:t>
      </w:r>
      <w:r w:rsidR="00867FDB" w:rsidRPr="004B48D7">
        <w:t xml:space="preserve"> SCR costs </w:t>
      </w:r>
      <w:r w:rsidR="00867FDB">
        <w:t xml:space="preserve">for SMSBC compared to </w:t>
      </w:r>
      <w:r w:rsidR="00867FDB" w:rsidRPr="004B48D7">
        <w:t xml:space="preserve">MPCA </w:t>
      </w:r>
      <w:r w:rsidR="00867FDB">
        <w:t>estimates</w:t>
      </w:r>
    </w:p>
    <w:tbl>
      <w:tblPr>
        <w:tblW w:w="5000" w:type="pct"/>
        <w:tblLook w:val="04A0" w:firstRow="1" w:lastRow="0" w:firstColumn="1" w:lastColumn="0" w:noHBand="0" w:noVBand="1"/>
      </w:tblPr>
      <w:tblGrid>
        <w:gridCol w:w="1939"/>
        <w:gridCol w:w="1217"/>
        <w:gridCol w:w="1218"/>
        <w:gridCol w:w="1265"/>
        <w:gridCol w:w="1265"/>
        <w:gridCol w:w="1218"/>
        <w:gridCol w:w="1218"/>
      </w:tblGrid>
      <w:tr w:rsidR="00BA6C21" w:rsidRPr="00BA6C21" w14:paraId="150EA83A" w14:textId="77777777" w:rsidTr="3328C818">
        <w:trPr>
          <w:trHeight w:val="290"/>
        </w:trPr>
        <w:tc>
          <w:tcPr>
            <w:tcW w:w="18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9F2CA6A" w14:textId="77777777" w:rsidR="00BA6C21" w:rsidRPr="00F5214A" w:rsidRDefault="00BA6C21" w:rsidP="00541741">
            <w:pPr>
              <w:pStyle w:val="Table-Text"/>
              <w:rPr>
                <w:b/>
              </w:rPr>
            </w:pPr>
            <w:r w:rsidRPr="00F5214A">
              <w:rPr>
                <w:b/>
              </w:rPr>
              <w:t xml:space="preserve">SMBS Boiler 1 </w:t>
            </w:r>
          </w:p>
        </w:tc>
        <w:tc>
          <w:tcPr>
            <w:tcW w:w="2260" w:type="dxa"/>
            <w:gridSpan w:val="2"/>
            <w:tcBorders>
              <w:top w:val="single" w:sz="8" w:space="0" w:color="auto"/>
              <w:left w:val="nil"/>
              <w:bottom w:val="single" w:sz="4" w:space="0" w:color="auto"/>
              <w:right w:val="single" w:sz="4" w:space="0" w:color="auto"/>
            </w:tcBorders>
            <w:shd w:val="clear" w:color="auto" w:fill="auto"/>
            <w:noWrap/>
            <w:vAlign w:val="center"/>
            <w:hideMark/>
          </w:tcPr>
          <w:p w14:paraId="124C058C" w14:textId="77777777" w:rsidR="00BA6C21" w:rsidRPr="00F5214A" w:rsidRDefault="535062B3" w:rsidP="3328C818">
            <w:pPr>
              <w:pStyle w:val="Table-Text"/>
              <w:jc w:val="center"/>
              <w:rPr>
                <w:b/>
                <w:bCs/>
              </w:rPr>
            </w:pPr>
            <w:r w:rsidRPr="3328C818">
              <w:rPr>
                <w:b/>
                <w:bCs/>
              </w:rPr>
              <w:t>SCR</w:t>
            </w:r>
          </w:p>
        </w:tc>
        <w:tc>
          <w:tcPr>
            <w:tcW w:w="1062" w:type="dxa"/>
            <w:tcBorders>
              <w:top w:val="single" w:sz="8" w:space="0" w:color="auto"/>
              <w:left w:val="nil"/>
              <w:bottom w:val="single" w:sz="4" w:space="0" w:color="auto"/>
              <w:right w:val="single" w:sz="4" w:space="0" w:color="auto"/>
            </w:tcBorders>
            <w:shd w:val="clear" w:color="auto" w:fill="auto"/>
            <w:noWrap/>
            <w:vAlign w:val="center"/>
            <w:hideMark/>
          </w:tcPr>
          <w:p w14:paraId="097D98D0" w14:textId="77777777" w:rsidR="00BA6C21" w:rsidRPr="00F5214A" w:rsidRDefault="535062B3" w:rsidP="3328C818">
            <w:pPr>
              <w:pStyle w:val="Table-Text"/>
              <w:jc w:val="center"/>
              <w:rPr>
                <w:b/>
                <w:bCs/>
              </w:rPr>
            </w:pPr>
            <w:r w:rsidRPr="3328C818">
              <w:rPr>
                <w:b/>
                <w:bCs/>
              </w:rPr>
              <w:t>Reheat</w:t>
            </w:r>
          </w:p>
        </w:tc>
        <w:tc>
          <w:tcPr>
            <w:tcW w:w="3390"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325C2BF2" w14:textId="77777777" w:rsidR="00BA6C21" w:rsidRPr="00F5214A" w:rsidRDefault="535062B3" w:rsidP="3328C818">
            <w:pPr>
              <w:pStyle w:val="Table-Text"/>
              <w:jc w:val="center"/>
              <w:rPr>
                <w:b/>
                <w:bCs/>
              </w:rPr>
            </w:pPr>
            <w:proofErr w:type="spellStart"/>
            <w:r w:rsidRPr="3328C818">
              <w:rPr>
                <w:b/>
                <w:bCs/>
              </w:rPr>
              <w:t>SCR+Reheat</w:t>
            </w:r>
            <w:proofErr w:type="spellEnd"/>
          </w:p>
        </w:tc>
      </w:tr>
      <w:tr w:rsidR="00557C5F" w:rsidRPr="00BA6C21" w14:paraId="4EA3A01B"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6E586D38" w14:textId="77777777" w:rsidR="00BA6C21" w:rsidRPr="00F5214A" w:rsidRDefault="00BA6C21" w:rsidP="00541741">
            <w:pPr>
              <w:pStyle w:val="Table-Text"/>
              <w:rPr>
                <w:b/>
              </w:rPr>
            </w:pPr>
            <w:r w:rsidRPr="00F5214A">
              <w:rPr>
                <w:b/>
              </w:rPr>
              <w:t>Control Technology</w:t>
            </w:r>
          </w:p>
        </w:tc>
        <w:tc>
          <w:tcPr>
            <w:tcW w:w="1130" w:type="dxa"/>
            <w:tcBorders>
              <w:top w:val="nil"/>
              <w:left w:val="nil"/>
              <w:bottom w:val="single" w:sz="4" w:space="0" w:color="auto"/>
              <w:right w:val="single" w:sz="4" w:space="0" w:color="auto"/>
            </w:tcBorders>
            <w:shd w:val="clear" w:color="auto" w:fill="auto"/>
            <w:noWrap/>
            <w:vAlign w:val="center"/>
            <w:hideMark/>
          </w:tcPr>
          <w:p w14:paraId="5162E75E" w14:textId="77777777" w:rsidR="00BA6C21" w:rsidRPr="00F5214A" w:rsidRDefault="535062B3" w:rsidP="3328C818">
            <w:pPr>
              <w:pStyle w:val="Table-Text"/>
              <w:jc w:val="center"/>
              <w:rPr>
                <w:b/>
                <w:bCs/>
              </w:rPr>
            </w:pPr>
            <w:r w:rsidRPr="3328C818">
              <w:rPr>
                <w:b/>
                <w:bCs/>
              </w:rPr>
              <w:t>NPS</w:t>
            </w:r>
          </w:p>
        </w:tc>
        <w:tc>
          <w:tcPr>
            <w:tcW w:w="1130" w:type="dxa"/>
            <w:tcBorders>
              <w:top w:val="nil"/>
              <w:left w:val="nil"/>
              <w:bottom w:val="single" w:sz="4" w:space="0" w:color="auto"/>
              <w:right w:val="single" w:sz="4" w:space="0" w:color="auto"/>
            </w:tcBorders>
            <w:shd w:val="clear" w:color="auto" w:fill="auto"/>
            <w:noWrap/>
            <w:vAlign w:val="center"/>
            <w:hideMark/>
          </w:tcPr>
          <w:p w14:paraId="5A52DBE3" w14:textId="77777777" w:rsidR="00BA6C21" w:rsidRPr="00F5214A" w:rsidRDefault="535062B3" w:rsidP="3328C818">
            <w:pPr>
              <w:pStyle w:val="Table-Text"/>
              <w:jc w:val="center"/>
              <w:rPr>
                <w:b/>
                <w:bCs/>
              </w:rPr>
            </w:pPr>
            <w:r w:rsidRPr="3328C818">
              <w:rPr>
                <w:b/>
                <w:bCs/>
              </w:rPr>
              <w:t>MPCA</w:t>
            </w:r>
          </w:p>
        </w:tc>
        <w:tc>
          <w:tcPr>
            <w:tcW w:w="1062" w:type="dxa"/>
            <w:tcBorders>
              <w:top w:val="nil"/>
              <w:left w:val="nil"/>
              <w:bottom w:val="single" w:sz="4" w:space="0" w:color="auto"/>
              <w:right w:val="single" w:sz="4" w:space="0" w:color="auto"/>
            </w:tcBorders>
            <w:shd w:val="clear" w:color="auto" w:fill="auto"/>
            <w:noWrap/>
            <w:vAlign w:val="center"/>
            <w:hideMark/>
          </w:tcPr>
          <w:p w14:paraId="37CA6C08" w14:textId="77777777" w:rsidR="00BA6C21" w:rsidRPr="00F5214A" w:rsidRDefault="535062B3" w:rsidP="3328C818">
            <w:pPr>
              <w:pStyle w:val="Table-Text"/>
              <w:jc w:val="center"/>
              <w:rPr>
                <w:b/>
                <w:bCs/>
              </w:rPr>
            </w:pPr>
            <w:r w:rsidRPr="3328C818">
              <w:rPr>
                <w:b/>
                <w:bCs/>
              </w:rPr>
              <w:t>NPS</w:t>
            </w:r>
          </w:p>
        </w:tc>
        <w:tc>
          <w:tcPr>
            <w:tcW w:w="1130" w:type="dxa"/>
            <w:tcBorders>
              <w:top w:val="nil"/>
              <w:left w:val="nil"/>
              <w:bottom w:val="single" w:sz="4" w:space="0" w:color="auto"/>
              <w:right w:val="single" w:sz="4" w:space="0" w:color="auto"/>
            </w:tcBorders>
            <w:shd w:val="clear" w:color="auto" w:fill="auto"/>
            <w:noWrap/>
            <w:vAlign w:val="center"/>
            <w:hideMark/>
          </w:tcPr>
          <w:p w14:paraId="6B9F3D34" w14:textId="77777777" w:rsidR="00BA6C21" w:rsidRPr="00F5214A" w:rsidRDefault="535062B3" w:rsidP="3328C818">
            <w:pPr>
              <w:pStyle w:val="Table-Text"/>
              <w:jc w:val="center"/>
              <w:rPr>
                <w:b/>
                <w:bCs/>
              </w:rPr>
            </w:pPr>
            <w:r w:rsidRPr="3328C818">
              <w:rPr>
                <w:b/>
                <w:bCs/>
              </w:rPr>
              <w:t>NPS</w:t>
            </w:r>
          </w:p>
        </w:tc>
        <w:tc>
          <w:tcPr>
            <w:tcW w:w="1130" w:type="dxa"/>
            <w:tcBorders>
              <w:top w:val="nil"/>
              <w:left w:val="nil"/>
              <w:bottom w:val="single" w:sz="4" w:space="0" w:color="auto"/>
              <w:right w:val="single" w:sz="4" w:space="0" w:color="auto"/>
            </w:tcBorders>
            <w:shd w:val="clear" w:color="auto" w:fill="auto"/>
            <w:noWrap/>
            <w:vAlign w:val="center"/>
            <w:hideMark/>
          </w:tcPr>
          <w:p w14:paraId="56FBECF9" w14:textId="77777777" w:rsidR="00BA6C21" w:rsidRPr="00F5214A" w:rsidRDefault="535062B3" w:rsidP="3328C818">
            <w:pPr>
              <w:pStyle w:val="Table-Text"/>
              <w:jc w:val="center"/>
              <w:rPr>
                <w:b/>
                <w:bCs/>
              </w:rPr>
            </w:pPr>
            <w:r w:rsidRPr="3328C818">
              <w:rPr>
                <w:b/>
                <w:bCs/>
              </w:rPr>
              <w:t> </w:t>
            </w:r>
          </w:p>
        </w:tc>
        <w:tc>
          <w:tcPr>
            <w:tcW w:w="1130" w:type="dxa"/>
            <w:tcBorders>
              <w:top w:val="nil"/>
              <w:left w:val="nil"/>
              <w:bottom w:val="single" w:sz="4" w:space="0" w:color="auto"/>
              <w:right w:val="single" w:sz="8" w:space="0" w:color="auto"/>
            </w:tcBorders>
            <w:shd w:val="clear" w:color="auto" w:fill="auto"/>
            <w:noWrap/>
            <w:vAlign w:val="center"/>
            <w:hideMark/>
          </w:tcPr>
          <w:p w14:paraId="19BEFAAE" w14:textId="77777777" w:rsidR="00BA6C21" w:rsidRPr="00F5214A" w:rsidRDefault="535062B3" w:rsidP="3328C818">
            <w:pPr>
              <w:pStyle w:val="Table-Text"/>
              <w:jc w:val="center"/>
              <w:rPr>
                <w:b/>
                <w:bCs/>
              </w:rPr>
            </w:pPr>
            <w:r w:rsidRPr="3328C818">
              <w:rPr>
                <w:b/>
                <w:bCs/>
              </w:rPr>
              <w:t>MPCA</w:t>
            </w:r>
          </w:p>
        </w:tc>
      </w:tr>
      <w:tr w:rsidR="00557C5F" w:rsidRPr="00BA6C21" w14:paraId="3CDF292C"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7641FCCE" w14:textId="77777777" w:rsidR="00BA6C21" w:rsidRPr="00BA6C21" w:rsidRDefault="00BA6C21" w:rsidP="00541741">
            <w:pPr>
              <w:pStyle w:val="Table-Text"/>
            </w:pPr>
            <w:r w:rsidRPr="00BA6C21">
              <w:t>Capacity (</w:t>
            </w:r>
            <w:proofErr w:type="spellStart"/>
            <w:r w:rsidRPr="00BA6C21">
              <w:t>mmBtu</w:t>
            </w:r>
            <w:proofErr w:type="spellEnd"/>
            <w:r w:rsidRPr="00BA6C21">
              <w:t>/</w:t>
            </w:r>
            <w:proofErr w:type="spellStart"/>
            <w:r w:rsidRPr="00BA6C21">
              <w:t>hr</w:t>
            </w:r>
            <w:proofErr w:type="spellEnd"/>
            <w:r w:rsidRPr="00BA6C21">
              <w:t>)</w:t>
            </w:r>
          </w:p>
        </w:tc>
        <w:tc>
          <w:tcPr>
            <w:tcW w:w="1130" w:type="dxa"/>
            <w:tcBorders>
              <w:top w:val="nil"/>
              <w:left w:val="nil"/>
              <w:bottom w:val="single" w:sz="4" w:space="0" w:color="auto"/>
              <w:right w:val="single" w:sz="4" w:space="0" w:color="auto"/>
            </w:tcBorders>
            <w:shd w:val="clear" w:color="auto" w:fill="auto"/>
            <w:noWrap/>
            <w:vAlign w:val="center"/>
            <w:hideMark/>
          </w:tcPr>
          <w:p w14:paraId="5C8C523C" w14:textId="77777777" w:rsidR="00BA6C21" w:rsidRPr="00BA6C21" w:rsidRDefault="535062B3" w:rsidP="3328C818">
            <w:pPr>
              <w:pStyle w:val="Table-Text"/>
              <w:jc w:val="center"/>
            </w:pPr>
            <w:r>
              <w:t>472.4</w:t>
            </w:r>
          </w:p>
        </w:tc>
        <w:tc>
          <w:tcPr>
            <w:tcW w:w="1130" w:type="dxa"/>
            <w:tcBorders>
              <w:top w:val="nil"/>
              <w:left w:val="nil"/>
              <w:bottom w:val="single" w:sz="4" w:space="0" w:color="auto"/>
              <w:right w:val="single" w:sz="4" w:space="0" w:color="auto"/>
            </w:tcBorders>
            <w:shd w:val="clear" w:color="auto" w:fill="auto"/>
            <w:noWrap/>
            <w:vAlign w:val="center"/>
            <w:hideMark/>
          </w:tcPr>
          <w:p w14:paraId="0E3BBB1D" w14:textId="77777777" w:rsidR="00BA6C21" w:rsidRPr="00BA6C21" w:rsidRDefault="535062B3" w:rsidP="3328C818">
            <w:pPr>
              <w:pStyle w:val="Table-Text"/>
              <w:jc w:val="center"/>
            </w:pPr>
            <w:r>
              <w:t>472.4</w:t>
            </w:r>
          </w:p>
        </w:tc>
        <w:tc>
          <w:tcPr>
            <w:tcW w:w="1062" w:type="dxa"/>
            <w:tcBorders>
              <w:top w:val="nil"/>
              <w:left w:val="nil"/>
              <w:bottom w:val="single" w:sz="4" w:space="0" w:color="auto"/>
              <w:right w:val="single" w:sz="4" w:space="0" w:color="auto"/>
            </w:tcBorders>
            <w:shd w:val="clear" w:color="auto" w:fill="auto"/>
            <w:noWrap/>
            <w:vAlign w:val="center"/>
            <w:hideMark/>
          </w:tcPr>
          <w:p w14:paraId="24860FEB" w14:textId="77777777" w:rsidR="00BA6C21" w:rsidRPr="00BA6C21" w:rsidRDefault="535062B3" w:rsidP="3328C818">
            <w:pPr>
              <w:pStyle w:val="Table-Text"/>
              <w:jc w:val="center"/>
            </w:pPr>
            <w:r>
              <w:t>231.1528256</w:t>
            </w:r>
          </w:p>
        </w:tc>
        <w:tc>
          <w:tcPr>
            <w:tcW w:w="1130" w:type="dxa"/>
            <w:tcBorders>
              <w:top w:val="nil"/>
              <w:left w:val="nil"/>
              <w:bottom w:val="single" w:sz="4" w:space="0" w:color="auto"/>
              <w:right w:val="single" w:sz="4" w:space="0" w:color="auto"/>
            </w:tcBorders>
            <w:shd w:val="clear" w:color="auto" w:fill="auto"/>
            <w:noWrap/>
            <w:vAlign w:val="center"/>
            <w:hideMark/>
          </w:tcPr>
          <w:p w14:paraId="461D6FAE" w14:textId="77777777" w:rsidR="00BA6C21" w:rsidRPr="00BA6C21" w:rsidRDefault="535062B3" w:rsidP="3328C818">
            <w:pPr>
              <w:pStyle w:val="Table-Text"/>
              <w:jc w:val="center"/>
            </w:pPr>
            <w:r>
              <w:t>703.5528256</w:t>
            </w:r>
          </w:p>
        </w:tc>
        <w:tc>
          <w:tcPr>
            <w:tcW w:w="1130" w:type="dxa"/>
            <w:tcBorders>
              <w:top w:val="nil"/>
              <w:left w:val="nil"/>
              <w:bottom w:val="single" w:sz="4" w:space="0" w:color="auto"/>
              <w:right w:val="single" w:sz="4" w:space="0" w:color="auto"/>
            </w:tcBorders>
            <w:shd w:val="clear" w:color="auto" w:fill="auto"/>
            <w:noWrap/>
            <w:vAlign w:val="center"/>
            <w:hideMark/>
          </w:tcPr>
          <w:p w14:paraId="725240B9" w14:textId="77777777" w:rsidR="00BA6C21" w:rsidRPr="00BA6C21" w:rsidRDefault="535062B3" w:rsidP="3328C818">
            <w:pPr>
              <w:pStyle w:val="Table-Text"/>
              <w:jc w:val="center"/>
            </w:pPr>
            <w:r>
              <w:t> </w:t>
            </w:r>
          </w:p>
        </w:tc>
        <w:tc>
          <w:tcPr>
            <w:tcW w:w="1130" w:type="dxa"/>
            <w:tcBorders>
              <w:top w:val="nil"/>
              <w:left w:val="nil"/>
              <w:bottom w:val="single" w:sz="4" w:space="0" w:color="auto"/>
              <w:right w:val="single" w:sz="8" w:space="0" w:color="auto"/>
            </w:tcBorders>
            <w:shd w:val="clear" w:color="auto" w:fill="auto"/>
            <w:noWrap/>
            <w:vAlign w:val="center"/>
            <w:hideMark/>
          </w:tcPr>
          <w:p w14:paraId="5889E33B" w14:textId="77777777" w:rsidR="00BA6C21" w:rsidRPr="00BA6C21" w:rsidRDefault="535062B3" w:rsidP="3328C818">
            <w:pPr>
              <w:pStyle w:val="Table-Text"/>
              <w:jc w:val="center"/>
            </w:pPr>
            <w:r>
              <w:t>472.4</w:t>
            </w:r>
          </w:p>
        </w:tc>
      </w:tr>
      <w:tr w:rsidR="00557C5F" w:rsidRPr="00BA6C21" w14:paraId="225B3E3A"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583B558C" w14:textId="77777777" w:rsidR="00BA6C21" w:rsidRPr="00BA6C21" w:rsidRDefault="00BA6C21" w:rsidP="00541741">
            <w:pPr>
              <w:pStyle w:val="Table-Text"/>
            </w:pPr>
            <w:r w:rsidRPr="00BA6C21">
              <w:t>Retrofit factor</w:t>
            </w:r>
          </w:p>
        </w:tc>
        <w:tc>
          <w:tcPr>
            <w:tcW w:w="1130" w:type="dxa"/>
            <w:tcBorders>
              <w:top w:val="nil"/>
              <w:left w:val="nil"/>
              <w:bottom w:val="single" w:sz="4" w:space="0" w:color="auto"/>
              <w:right w:val="single" w:sz="4" w:space="0" w:color="auto"/>
            </w:tcBorders>
            <w:shd w:val="clear" w:color="auto" w:fill="auto"/>
            <w:noWrap/>
            <w:vAlign w:val="center"/>
            <w:hideMark/>
          </w:tcPr>
          <w:p w14:paraId="774DD085" w14:textId="77777777" w:rsidR="00BA6C21" w:rsidRPr="00BA6C21" w:rsidRDefault="535062B3" w:rsidP="3328C818">
            <w:pPr>
              <w:pStyle w:val="Table-Text"/>
              <w:jc w:val="center"/>
            </w:pPr>
            <w:r>
              <w:t>1.5</w:t>
            </w:r>
          </w:p>
        </w:tc>
        <w:tc>
          <w:tcPr>
            <w:tcW w:w="1130" w:type="dxa"/>
            <w:tcBorders>
              <w:top w:val="nil"/>
              <w:left w:val="nil"/>
              <w:bottom w:val="single" w:sz="4" w:space="0" w:color="auto"/>
              <w:right w:val="single" w:sz="4" w:space="0" w:color="auto"/>
            </w:tcBorders>
            <w:shd w:val="clear" w:color="auto" w:fill="auto"/>
            <w:noWrap/>
            <w:vAlign w:val="center"/>
            <w:hideMark/>
          </w:tcPr>
          <w:p w14:paraId="7F457766" w14:textId="77777777" w:rsidR="00BA6C21" w:rsidRPr="00BA6C21" w:rsidRDefault="535062B3" w:rsidP="3328C818">
            <w:pPr>
              <w:pStyle w:val="Table-Text"/>
              <w:jc w:val="center"/>
            </w:pPr>
            <w:r>
              <w:t>1.5</w:t>
            </w:r>
          </w:p>
        </w:tc>
        <w:tc>
          <w:tcPr>
            <w:tcW w:w="1062" w:type="dxa"/>
            <w:tcBorders>
              <w:top w:val="nil"/>
              <w:left w:val="nil"/>
              <w:bottom w:val="single" w:sz="4" w:space="0" w:color="auto"/>
              <w:right w:val="single" w:sz="4" w:space="0" w:color="auto"/>
            </w:tcBorders>
            <w:shd w:val="clear" w:color="auto" w:fill="auto"/>
            <w:noWrap/>
            <w:vAlign w:val="center"/>
            <w:hideMark/>
          </w:tcPr>
          <w:p w14:paraId="27027247" w14:textId="77777777" w:rsidR="00BA6C21" w:rsidRPr="00BA6C21" w:rsidRDefault="535062B3" w:rsidP="3328C818">
            <w:pPr>
              <w:pStyle w:val="Table-Text"/>
              <w:jc w:val="center"/>
              <w:rPr>
                <w:highlight w:val="yellow"/>
              </w:rPr>
            </w:pPr>
            <w:r w:rsidRPr="3328C818">
              <w:rPr>
                <w:highlight w:val="yellow"/>
              </w:rPr>
              <w:t>1</w:t>
            </w:r>
          </w:p>
        </w:tc>
        <w:tc>
          <w:tcPr>
            <w:tcW w:w="1130" w:type="dxa"/>
            <w:tcBorders>
              <w:top w:val="nil"/>
              <w:left w:val="nil"/>
              <w:bottom w:val="single" w:sz="4" w:space="0" w:color="auto"/>
              <w:right w:val="single" w:sz="4" w:space="0" w:color="auto"/>
            </w:tcBorders>
            <w:shd w:val="clear" w:color="auto" w:fill="auto"/>
            <w:noWrap/>
            <w:vAlign w:val="center"/>
            <w:hideMark/>
          </w:tcPr>
          <w:p w14:paraId="23E6C8C3" w14:textId="77777777" w:rsidR="00BA6C21" w:rsidRPr="00BA6C21" w:rsidRDefault="535062B3" w:rsidP="3328C818">
            <w:pPr>
              <w:pStyle w:val="Table-Text"/>
              <w:jc w:val="center"/>
              <w:rPr>
                <w:highlight w:val="yellow"/>
              </w:rPr>
            </w:pPr>
            <w:r w:rsidRPr="3328C818">
              <w:rPr>
                <w:highlight w:val="yellow"/>
              </w:rPr>
              <w:t>1</w:t>
            </w:r>
          </w:p>
        </w:tc>
        <w:tc>
          <w:tcPr>
            <w:tcW w:w="1130" w:type="dxa"/>
            <w:tcBorders>
              <w:top w:val="nil"/>
              <w:left w:val="nil"/>
              <w:bottom w:val="single" w:sz="4" w:space="0" w:color="auto"/>
              <w:right w:val="single" w:sz="4" w:space="0" w:color="auto"/>
            </w:tcBorders>
            <w:shd w:val="clear" w:color="auto" w:fill="auto"/>
            <w:noWrap/>
            <w:vAlign w:val="center"/>
            <w:hideMark/>
          </w:tcPr>
          <w:p w14:paraId="67B0B8CE" w14:textId="77777777" w:rsidR="00BA6C21" w:rsidRPr="00BA6C21" w:rsidRDefault="535062B3" w:rsidP="3328C818">
            <w:pPr>
              <w:pStyle w:val="Table-Text"/>
              <w:jc w:val="center"/>
            </w:pPr>
            <w:r>
              <w:t> </w:t>
            </w:r>
          </w:p>
        </w:tc>
        <w:tc>
          <w:tcPr>
            <w:tcW w:w="1130" w:type="dxa"/>
            <w:tcBorders>
              <w:top w:val="nil"/>
              <w:left w:val="nil"/>
              <w:bottom w:val="single" w:sz="4" w:space="0" w:color="auto"/>
              <w:right w:val="single" w:sz="8" w:space="0" w:color="auto"/>
            </w:tcBorders>
            <w:shd w:val="clear" w:color="auto" w:fill="auto"/>
            <w:noWrap/>
            <w:vAlign w:val="center"/>
            <w:hideMark/>
          </w:tcPr>
          <w:p w14:paraId="01AE9A1F" w14:textId="77777777" w:rsidR="00BA6C21" w:rsidRPr="00BA6C21" w:rsidRDefault="535062B3" w:rsidP="3328C818">
            <w:pPr>
              <w:pStyle w:val="Table-Text"/>
              <w:jc w:val="center"/>
            </w:pPr>
            <w:r w:rsidRPr="3328C818">
              <w:rPr>
                <w:highlight w:val="yellow"/>
              </w:rPr>
              <w:t>1.5</w:t>
            </w:r>
          </w:p>
        </w:tc>
      </w:tr>
      <w:tr w:rsidR="00557C5F" w:rsidRPr="00BA6C21" w14:paraId="2481C478"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216EFBEF" w14:textId="77777777" w:rsidR="00BA6C21" w:rsidRPr="00BA6C21" w:rsidRDefault="00BA6C21" w:rsidP="00541741">
            <w:pPr>
              <w:pStyle w:val="Table-Text"/>
            </w:pPr>
            <w:r w:rsidRPr="00BA6C21">
              <w:t>CEPCI</w:t>
            </w:r>
          </w:p>
        </w:tc>
        <w:tc>
          <w:tcPr>
            <w:tcW w:w="1130" w:type="dxa"/>
            <w:tcBorders>
              <w:top w:val="nil"/>
              <w:left w:val="nil"/>
              <w:bottom w:val="single" w:sz="4" w:space="0" w:color="auto"/>
              <w:right w:val="single" w:sz="4" w:space="0" w:color="auto"/>
            </w:tcBorders>
            <w:shd w:val="clear" w:color="auto" w:fill="auto"/>
            <w:noWrap/>
            <w:vAlign w:val="center"/>
            <w:hideMark/>
          </w:tcPr>
          <w:p w14:paraId="39C3C788" w14:textId="77777777" w:rsidR="00BA6C21" w:rsidRPr="00BA6C21" w:rsidRDefault="535062B3" w:rsidP="3328C818">
            <w:pPr>
              <w:pStyle w:val="Table-Text"/>
              <w:jc w:val="center"/>
            </w:pPr>
            <w:r>
              <w:t>607.5</w:t>
            </w:r>
          </w:p>
        </w:tc>
        <w:tc>
          <w:tcPr>
            <w:tcW w:w="1130" w:type="dxa"/>
            <w:tcBorders>
              <w:top w:val="nil"/>
              <w:left w:val="nil"/>
              <w:bottom w:val="single" w:sz="4" w:space="0" w:color="auto"/>
              <w:right w:val="single" w:sz="4" w:space="0" w:color="auto"/>
            </w:tcBorders>
            <w:shd w:val="clear" w:color="auto" w:fill="auto"/>
            <w:noWrap/>
            <w:vAlign w:val="center"/>
            <w:hideMark/>
          </w:tcPr>
          <w:p w14:paraId="26CA7FBA" w14:textId="77777777" w:rsidR="00BA6C21" w:rsidRPr="00BA6C21" w:rsidRDefault="535062B3" w:rsidP="3328C818">
            <w:pPr>
              <w:pStyle w:val="Table-Text"/>
              <w:jc w:val="center"/>
            </w:pPr>
            <w:r>
              <w:t>607.5</w:t>
            </w:r>
          </w:p>
        </w:tc>
        <w:tc>
          <w:tcPr>
            <w:tcW w:w="1062" w:type="dxa"/>
            <w:tcBorders>
              <w:top w:val="nil"/>
              <w:left w:val="nil"/>
              <w:bottom w:val="single" w:sz="4" w:space="0" w:color="auto"/>
              <w:right w:val="single" w:sz="4" w:space="0" w:color="auto"/>
            </w:tcBorders>
            <w:shd w:val="clear" w:color="auto" w:fill="auto"/>
            <w:noWrap/>
            <w:vAlign w:val="center"/>
            <w:hideMark/>
          </w:tcPr>
          <w:p w14:paraId="4192DBCF" w14:textId="77777777" w:rsidR="00BA6C21" w:rsidRPr="00BA6C21" w:rsidRDefault="535062B3" w:rsidP="3328C818">
            <w:pPr>
              <w:pStyle w:val="Table-Text"/>
              <w:jc w:val="center"/>
            </w:pPr>
            <w:r>
              <w:t>607.5</w:t>
            </w:r>
          </w:p>
        </w:tc>
        <w:tc>
          <w:tcPr>
            <w:tcW w:w="1130" w:type="dxa"/>
            <w:tcBorders>
              <w:top w:val="nil"/>
              <w:left w:val="nil"/>
              <w:bottom w:val="single" w:sz="4" w:space="0" w:color="auto"/>
              <w:right w:val="single" w:sz="4" w:space="0" w:color="auto"/>
            </w:tcBorders>
            <w:shd w:val="clear" w:color="auto" w:fill="auto"/>
            <w:noWrap/>
            <w:vAlign w:val="center"/>
            <w:hideMark/>
          </w:tcPr>
          <w:p w14:paraId="3A077ADA" w14:textId="77777777" w:rsidR="00BA6C21" w:rsidRPr="00BA6C21" w:rsidRDefault="535062B3" w:rsidP="3328C818">
            <w:pPr>
              <w:pStyle w:val="Table-Text"/>
              <w:jc w:val="center"/>
            </w:pPr>
            <w:r>
              <w:t>607.5</w:t>
            </w:r>
          </w:p>
        </w:tc>
        <w:tc>
          <w:tcPr>
            <w:tcW w:w="1130" w:type="dxa"/>
            <w:tcBorders>
              <w:top w:val="nil"/>
              <w:left w:val="nil"/>
              <w:bottom w:val="single" w:sz="4" w:space="0" w:color="auto"/>
              <w:right w:val="single" w:sz="4" w:space="0" w:color="auto"/>
            </w:tcBorders>
            <w:shd w:val="clear" w:color="auto" w:fill="auto"/>
            <w:noWrap/>
            <w:vAlign w:val="center"/>
            <w:hideMark/>
          </w:tcPr>
          <w:p w14:paraId="4C00D131" w14:textId="77777777" w:rsidR="00BA6C21" w:rsidRPr="00BA6C21" w:rsidRDefault="535062B3" w:rsidP="3328C818">
            <w:pPr>
              <w:pStyle w:val="Table-Text"/>
              <w:jc w:val="center"/>
            </w:pPr>
            <w:r>
              <w:t> </w:t>
            </w:r>
          </w:p>
        </w:tc>
        <w:tc>
          <w:tcPr>
            <w:tcW w:w="1130" w:type="dxa"/>
            <w:tcBorders>
              <w:top w:val="nil"/>
              <w:left w:val="nil"/>
              <w:bottom w:val="single" w:sz="4" w:space="0" w:color="auto"/>
              <w:right w:val="single" w:sz="8" w:space="0" w:color="auto"/>
            </w:tcBorders>
            <w:shd w:val="clear" w:color="auto" w:fill="auto"/>
            <w:noWrap/>
            <w:vAlign w:val="center"/>
            <w:hideMark/>
          </w:tcPr>
          <w:p w14:paraId="56661007" w14:textId="77777777" w:rsidR="00BA6C21" w:rsidRPr="00BA6C21" w:rsidRDefault="535062B3" w:rsidP="3328C818">
            <w:pPr>
              <w:pStyle w:val="Table-Text"/>
              <w:jc w:val="center"/>
            </w:pPr>
            <w:r>
              <w:t>607.5</w:t>
            </w:r>
          </w:p>
        </w:tc>
      </w:tr>
      <w:tr w:rsidR="00557C5F" w:rsidRPr="00BA6C21" w14:paraId="7FCEC9EA"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215B06F6" w14:textId="77777777" w:rsidR="00BA6C21" w:rsidRPr="00BA6C21" w:rsidRDefault="00BA6C21" w:rsidP="00541741">
            <w:pPr>
              <w:pStyle w:val="Table-Text"/>
            </w:pPr>
            <w:r w:rsidRPr="00BA6C21">
              <w:t xml:space="preserve">Capital Cost </w:t>
            </w:r>
          </w:p>
        </w:tc>
        <w:tc>
          <w:tcPr>
            <w:tcW w:w="1130" w:type="dxa"/>
            <w:tcBorders>
              <w:top w:val="nil"/>
              <w:left w:val="nil"/>
              <w:bottom w:val="single" w:sz="4" w:space="0" w:color="auto"/>
              <w:right w:val="single" w:sz="4" w:space="0" w:color="auto"/>
            </w:tcBorders>
            <w:shd w:val="clear" w:color="auto" w:fill="auto"/>
            <w:noWrap/>
            <w:vAlign w:val="center"/>
            <w:hideMark/>
          </w:tcPr>
          <w:p w14:paraId="3C26DD44" w14:textId="22D48CAD" w:rsidR="00BA6C21" w:rsidRPr="00BA6C21" w:rsidRDefault="535062B3" w:rsidP="3328C818">
            <w:pPr>
              <w:pStyle w:val="Table-Text"/>
              <w:jc w:val="center"/>
            </w:pPr>
            <w:r>
              <w:t xml:space="preserve"> $ 37,295,548 </w:t>
            </w:r>
          </w:p>
        </w:tc>
        <w:tc>
          <w:tcPr>
            <w:tcW w:w="1130" w:type="dxa"/>
            <w:tcBorders>
              <w:top w:val="nil"/>
              <w:left w:val="nil"/>
              <w:bottom w:val="single" w:sz="4" w:space="0" w:color="auto"/>
              <w:right w:val="single" w:sz="4" w:space="0" w:color="auto"/>
            </w:tcBorders>
            <w:shd w:val="clear" w:color="auto" w:fill="auto"/>
            <w:noWrap/>
            <w:vAlign w:val="center"/>
            <w:hideMark/>
          </w:tcPr>
          <w:p w14:paraId="3A0341A3" w14:textId="4A1E1E75" w:rsidR="00BA6C21" w:rsidRPr="00BA6C21" w:rsidRDefault="535062B3" w:rsidP="3328C818">
            <w:pPr>
              <w:pStyle w:val="Table-Text"/>
              <w:jc w:val="center"/>
            </w:pPr>
            <w:r>
              <w:t xml:space="preserve"> $ 37,416,668 </w:t>
            </w:r>
          </w:p>
        </w:tc>
        <w:tc>
          <w:tcPr>
            <w:tcW w:w="1062" w:type="dxa"/>
            <w:tcBorders>
              <w:top w:val="nil"/>
              <w:left w:val="nil"/>
              <w:bottom w:val="single" w:sz="4" w:space="0" w:color="auto"/>
              <w:right w:val="single" w:sz="4" w:space="0" w:color="auto"/>
            </w:tcBorders>
            <w:shd w:val="clear" w:color="auto" w:fill="auto"/>
            <w:noWrap/>
            <w:vAlign w:val="center"/>
            <w:hideMark/>
          </w:tcPr>
          <w:p w14:paraId="29F9CC14" w14:textId="47EE41DA" w:rsidR="00BA6C21" w:rsidRPr="00BA6C21" w:rsidRDefault="535062B3" w:rsidP="3328C818">
            <w:pPr>
              <w:pStyle w:val="Table-Text"/>
              <w:jc w:val="center"/>
            </w:pPr>
            <w:r>
              <w:t xml:space="preserve"> $   1,476,736 </w:t>
            </w:r>
          </w:p>
        </w:tc>
        <w:tc>
          <w:tcPr>
            <w:tcW w:w="1130" w:type="dxa"/>
            <w:tcBorders>
              <w:top w:val="nil"/>
              <w:left w:val="nil"/>
              <w:bottom w:val="single" w:sz="4" w:space="0" w:color="auto"/>
              <w:right w:val="single" w:sz="4" w:space="0" w:color="auto"/>
            </w:tcBorders>
            <w:shd w:val="clear" w:color="auto" w:fill="auto"/>
            <w:noWrap/>
            <w:vAlign w:val="center"/>
            <w:hideMark/>
          </w:tcPr>
          <w:p w14:paraId="6F16E824" w14:textId="212CBB9B" w:rsidR="00BA6C21" w:rsidRPr="00BA6C21" w:rsidRDefault="535062B3" w:rsidP="3328C818">
            <w:pPr>
              <w:pStyle w:val="Table-Text"/>
              <w:jc w:val="center"/>
            </w:pPr>
            <w:r>
              <w:t xml:space="preserve"> $  33,280,344 </w:t>
            </w:r>
          </w:p>
        </w:tc>
        <w:tc>
          <w:tcPr>
            <w:tcW w:w="1130" w:type="dxa"/>
            <w:tcBorders>
              <w:top w:val="nil"/>
              <w:left w:val="nil"/>
              <w:bottom w:val="single" w:sz="4" w:space="0" w:color="auto"/>
              <w:right w:val="single" w:sz="4" w:space="0" w:color="auto"/>
            </w:tcBorders>
            <w:shd w:val="clear" w:color="auto" w:fill="auto"/>
            <w:noWrap/>
            <w:vAlign w:val="center"/>
            <w:hideMark/>
          </w:tcPr>
          <w:p w14:paraId="5CD494DA" w14:textId="4211C41F" w:rsidR="00BA6C21" w:rsidRPr="00BA6C21" w:rsidRDefault="535062B3" w:rsidP="3328C818">
            <w:pPr>
              <w:pStyle w:val="Table-Text"/>
              <w:jc w:val="center"/>
            </w:pPr>
            <w:r>
              <w:t xml:space="preserve"> $ 34,757,080 </w:t>
            </w:r>
          </w:p>
        </w:tc>
        <w:tc>
          <w:tcPr>
            <w:tcW w:w="1130" w:type="dxa"/>
            <w:tcBorders>
              <w:top w:val="nil"/>
              <w:left w:val="nil"/>
              <w:bottom w:val="single" w:sz="4" w:space="0" w:color="auto"/>
              <w:right w:val="single" w:sz="8" w:space="0" w:color="auto"/>
            </w:tcBorders>
            <w:shd w:val="clear" w:color="auto" w:fill="auto"/>
            <w:noWrap/>
            <w:vAlign w:val="center"/>
            <w:hideMark/>
          </w:tcPr>
          <w:p w14:paraId="625F5F10" w14:textId="03521047" w:rsidR="00BA6C21" w:rsidRPr="00BA6C21" w:rsidRDefault="535062B3" w:rsidP="3328C818">
            <w:pPr>
              <w:pStyle w:val="Table-Text"/>
              <w:jc w:val="center"/>
            </w:pPr>
            <w:r>
              <w:t xml:space="preserve"> $ 39,367,890 </w:t>
            </w:r>
          </w:p>
        </w:tc>
      </w:tr>
      <w:tr w:rsidR="00557C5F" w:rsidRPr="00BA6C21" w14:paraId="5EA6E9FE"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3B2525CC" w14:textId="77777777" w:rsidR="00BA6C21" w:rsidRPr="00BA6C21" w:rsidRDefault="00BA6C21" w:rsidP="00541741">
            <w:pPr>
              <w:pStyle w:val="Table-Text"/>
            </w:pPr>
            <w:r w:rsidRPr="00BA6C21">
              <w:t>Interest rate (%)</w:t>
            </w:r>
          </w:p>
        </w:tc>
        <w:tc>
          <w:tcPr>
            <w:tcW w:w="1130" w:type="dxa"/>
            <w:tcBorders>
              <w:top w:val="nil"/>
              <w:left w:val="nil"/>
              <w:bottom w:val="single" w:sz="4" w:space="0" w:color="auto"/>
              <w:right w:val="single" w:sz="4" w:space="0" w:color="auto"/>
            </w:tcBorders>
            <w:shd w:val="clear" w:color="auto" w:fill="auto"/>
            <w:noWrap/>
            <w:vAlign w:val="center"/>
            <w:hideMark/>
          </w:tcPr>
          <w:p w14:paraId="1B27CC77" w14:textId="77777777" w:rsidR="00BA6C21" w:rsidRPr="00BA6C21" w:rsidRDefault="535062B3" w:rsidP="3328C818">
            <w:pPr>
              <w:pStyle w:val="Table-Text"/>
              <w:jc w:val="center"/>
            </w:pPr>
            <w:r>
              <w:t>3.5</w:t>
            </w:r>
          </w:p>
        </w:tc>
        <w:tc>
          <w:tcPr>
            <w:tcW w:w="1130" w:type="dxa"/>
            <w:tcBorders>
              <w:top w:val="nil"/>
              <w:left w:val="nil"/>
              <w:bottom w:val="single" w:sz="4" w:space="0" w:color="auto"/>
              <w:right w:val="single" w:sz="4" w:space="0" w:color="auto"/>
            </w:tcBorders>
            <w:shd w:val="clear" w:color="auto" w:fill="auto"/>
            <w:noWrap/>
            <w:vAlign w:val="center"/>
            <w:hideMark/>
          </w:tcPr>
          <w:p w14:paraId="60DBC466" w14:textId="77777777" w:rsidR="00BA6C21" w:rsidRPr="00BA6C21" w:rsidRDefault="535062B3" w:rsidP="3328C818">
            <w:pPr>
              <w:pStyle w:val="Table-Text"/>
              <w:jc w:val="center"/>
            </w:pPr>
            <w:r>
              <w:t>3.5</w:t>
            </w:r>
          </w:p>
        </w:tc>
        <w:tc>
          <w:tcPr>
            <w:tcW w:w="1062" w:type="dxa"/>
            <w:tcBorders>
              <w:top w:val="nil"/>
              <w:left w:val="nil"/>
              <w:bottom w:val="single" w:sz="4" w:space="0" w:color="auto"/>
              <w:right w:val="single" w:sz="4" w:space="0" w:color="auto"/>
            </w:tcBorders>
            <w:shd w:val="clear" w:color="auto" w:fill="auto"/>
            <w:noWrap/>
            <w:vAlign w:val="center"/>
            <w:hideMark/>
          </w:tcPr>
          <w:p w14:paraId="6A0A6EB8" w14:textId="77777777" w:rsidR="00BA6C21" w:rsidRPr="00BA6C21" w:rsidRDefault="535062B3" w:rsidP="3328C818">
            <w:pPr>
              <w:pStyle w:val="Table-Text"/>
              <w:jc w:val="center"/>
            </w:pPr>
            <w:r>
              <w:t>3.5</w:t>
            </w:r>
          </w:p>
        </w:tc>
        <w:tc>
          <w:tcPr>
            <w:tcW w:w="1130" w:type="dxa"/>
            <w:tcBorders>
              <w:top w:val="nil"/>
              <w:left w:val="nil"/>
              <w:bottom w:val="single" w:sz="4" w:space="0" w:color="auto"/>
              <w:right w:val="single" w:sz="4" w:space="0" w:color="auto"/>
            </w:tcBorders>
            <w:shd w:val="clear" w:color="auto" w:fill="auto"/>
            <w:noWrap/>
            <w:vAlign w:val="center"/>
            <w:hideMark/>
          </w:tcPr>
          <w:p w14:paraId="2D4677BD" w14:textId="77777777" w:rsidR="00BA6C21" w:rsidRPr="00BA6C21" w:rsidRDefault="535062B3" w:rsidP="3328C818">
            <w:pPr>
              <w:pStyle w:val="Table-Text"/>
              <w:jc w:val="center"/>
            </w:pPr>
            <w:r>
              <w:t>3.5</w:t>
            </w:r>
          </w:p>
        </w:tc>
        <w:tc>
          <w:tcPr>
            <w:tcW w:w="1130" w:type="dxa"/>
            <w:tcBorders>
              <w:top w:val="nil"/>
              <w:left w:val="nil"/>
              <w:bottom w:val="single" w:sz="4" w:space="0" w:color="auto"/>
              <w:right w:val="single" w:sz="4" w:space="0" w:color="auto"/>
            </w:tcBorders>
            <w:shd w:val="clear" w:color="auto" w:fill="auto"/>
            <w:noWrap/>
            <w:vAlign w:val="center"/>
            <w:hideMark/>
          </w:tcPr>
          <w:p w14:paraId="036C60E9" w14:textId="77777777" w:rsidR="00BA6C21" w:rsidRPr="00BA6C21" w:rsidRDefault="535062B3" w:rsidP="3328C818">
            <w:pPr>
              <w:pStyle w:val="Table-Text"/>
              <w:jc w:val="center"/>
            </w:pPr>
            <w:r>
              <w:t> </w:t>
            </w:r>
          </w:p>
        </w:tc>
        <w:tc>
          <w:tcPr>
            <w:tcW w:w="1130" w:type="dxa"/>
            <w:tcBorders>
              <w:top w:val="nil"/>
              <w:left w:val="nil"/>
              <w:bottom w:val="single" w:sz="4" w:space="0" w:color="auto"/>
              <w:right w:val="single" w:sz="8" w:space="0" w:color="auto"/>
            </w:tcBorders>
            <w:shd w:val="clear" w:color="auto" w:fill="auto"/>
            <w:noWrap/>
            <w:vAlign w:val="center"/>
            <w:hideMark/>
          </w:tcPr>
          <w:p w14:paraId="6FCE768D" w14:textId="77777777" w:rsidR="00BA6C21" w:rsidRPr="00BA6C21" w:rsidRDefault="535062B3" w:rsidP="3328C818">
            <w:pPr>
              <w:pStyle w:val="Table-Text"/>
              <w:jc w:val="center"/>
            </w:pPr>
            <w:r>
              <w:t>3.5</w:t>
            </w:r>
          </w:p>
        </w:tc>
      </w:tr>
      <w:tr w:rsidR="00557C5F" w:rsidRPr="00BA6C21" w14:paraId="76622A16"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446BAF55" w14:textId="77777777" w:rsidR="00BA6C21" w:rsidRPr="00BA6C21" w:rsidRDefault="00BA6C21" w:rsidP="00541741">
            <w:pPr>
              <w:pStyle w:val="Table-Text"/>
            </w:pPr>
            <w:r w:rsidRPr="00BA6C21">
              <w:t>Control Equipment Life (</w:t>
            </w:r>
            <w:proofErr w:type="spellStart"/>
            <w:r w:rsidRPr="00BA6C21">
              <w:t>yr</w:t>
            </w:r>
            <w:proofErr w:type="spellEnd"/>
            <w:r w:rsidRPr="00BA6C21">
              <w:t>)</w:t>
            </w:r>
          </w:p>
        </w:tc>
        <w:tc>
          <w:tcPr>
            <w:tcW w:w="1130" w:type="dxa"/>
            <w:tcBorders>
              <w:top w:val="nil"/>
              <w:left w:val="nil"/>
              <w:bottom w:val="single" w:sz="4" w:space="0" w:color="auto"/>
              <w:right w:val="single" w:sz="4" w:space="0" w:color="auto"/>
            </w:tcBorders>
            <w:shd w:val="clear" w:color="auto" w:fill="auto"/>
            <w:noWrap/>
            <w:vAlign w:val="center"/>
            <w:hideMark/>
          </w:tcPr>
          <w:p w14:paraId="72322598" w14:textId="77777777" w:rsidR="00BA6C21" w:rsidRPr="00BA6C21" w:rsidRDefault="535062B3" w:rsidP="3328C818">
            <w:pPr>
              <w:pStyle w:val="Table-Text"/>
              <w:jc w:val="center"/>
              <w:rPr>
                <w:highlight w:val="yellow"/>
              </w:rPr>
            </w:pPr>
            <w:r w:rsidRPr="3328C818">
              <w:rPr>
                <w:highlight w:val="yellow"/>
              </w:rPr>
              <w:t>25</w:t>
            </w:r>
          </w:p>
        </w:tc>
        <w:tc>
          <w:tcPr>
            <w:tcW w:w="1130" w:type="dxa"/>
            <w:tcBorders>
              <w:top w:val="nil"/>
              <w:left w:val="nil"/>
              <w:bottom w:val="single" w:sz="4" w:space="0" w:color="auto"/>
              <w:right w:val="single" w:sz="4" w:space="0" w:color="auto"/>
            </w:tcBorders>
            <w:shd w:val="clear" w:color="auto" w:fill="auto"/>
            <w:noWrap/>
            <w:vAlign w:val="center"/>
            <w:hideMark/>
          </w:tcPr>
          <w:p w14:paraId="08D930A2" w14:textId="77777777" w:rsidR="00BA6C21" w:rsidRPr="00BA6C21" w:rsidRDefault="535062B3" w:rsidP="3328C818">
            <w:pPr>
              <w:pStyle w:val="Table-Text"/>
              <w:jc w:val="center"/>
              <w:rPr>
                <w:highlight w:val="yellow"/>
              </w:rPr>
            </w:pPr>
            <w:r w:rsidRPr="3328C818">
              <w:rPr>
                <w:highlight w:val="yellow"/>
              </w:rPr>
              <w:t>20</w:t>
            </w:r>
          </w:p>
        </w:tc>
        <w:tc>
          <w:tcPr>
            <w:tcW w:w="1062" w:type="dxa"/>
            <w:tcBorders>
              <w:top w:val="nil"/>
              <w:left w:val="nil"/>
              <w:bottom w:val="single" w:sz="4" w:space="0" w:color="auto"/>
              <w:right w:val="single" w:sz="4" w:space="0" w:color="auto"/>
            </w:tcBorders>
            <w:shd w:val="clear" w:color="auto" w:fill="auto"/>
            <w:noWrap/>
            <w:vAlign w:val="center"/>
            <w:hideMark/>
          </w:tcPr>
          <w:p w14:paraId="0F2B666F" w14:textId="77777777" w:rsidR="00BA6C21" w:rsidRPr="00BA6C21" w:rsidRDefault="535062B3" w:rsidP="3328C818">
            <w:pPr>
              <w:pStyle w:val="Table-Text"/>
              <w:jc w:val="center"/>
              <w:rPr>
                <w:highlight w:val="yellow"/>
              </w:rPr>
            </w:pPr>
            <w:r w:rsidRPr="3328C818">
              <w:rPr>
                <w:highlight w:val="yellow"/>
              </w:rPr>
              <w:t>25</w:t>
            </w:r>
          </w:p>
        </w:tc>
        <w:tc>
          <w:tcPr>
            <w:tcW w:w="1130" w:type="dxa"/>
            <w:tcBorders>
              <w:top w:val="nil"/>
              <w:left w:val="nil"/>
              <w:bottom w:val="single" w:sz="4" w:space="0" w:color="auto"/>
              <w:right w:val="single" w:sz="4" w:space="0" w:color="auto"/>
            </w:tcBorders>
            <w:shd w:val="clear" w:color="auto" w:fill="auto"/>
            <w:noWrap/>
            <w:vAlign w:val="center"/>
            <w:hideMark/>
          </w:tcPr>
          <w:p w14:paraId="0F0570EA" w14:textId="77777777" w:rsidR="00BA6C21" w:rsidRPr="00BA6C21" w:rsidRDefault="535062B3" w:rsidP="3328C818">
            <w:pPr>
              <w:pStyle w:val="Table-Text"/>
              <w:jc w:val="center"/>
              <w:rPr>
                <w:highlight w:val="yellow"/>
              </w:rPr>
            </w:pPr>
            <w:r w:rsidRPr="3328C818">
              <w:rPr>
                <w:highlight w:val="yellow"/>
              </w:rPr>
              <w:t>25</w:t>
            </w:r>
          </w:p>
        </w:tc>
        <w:tc>
          <w:tcPr>
            <w:tcW w:w="1130" w:type="dxa"/>
            <w:tcBorders>
              <w:top w:val="nil"/>
              <w:left w:val="nil"/>
              <w:bottom w:val="single" w:sz="4" w:space="0" w:color="auto"/>
              <w:right w:val="single" w:sz="4" w:space="0" w:color="auto"/>
            </w:tcBorders>
            <w:shd w:val="clear" w:color="auto" w:fill="auto"/>
            <w:noWrap/>
            <w:vAlign w:val="center"/>
            <w:hideMark/>
          </w:tcPr>
          <w:p w14:paraId="5EC98A83" w14:textId="77777777" w:rsidR="00BA6C21" w:rsidRPr="00BA6C21" w:rsidRDefault="535062B3" w:rsidP="3328C818">
            <w:pPr>
              <w:pStyle w:val="Table-Text"/>
              <w:jc w:val="center"/>
            </w:pPr>
            <w:r>
              <w:t> </w:t>
            </w:r>
          </w:p>
        </w:tc>
        <w:tc>
          <w:tcPr>
            <w:tcW w:w="1130" w:type="dxa"/>
            <w:tcBorders>
              <w:top w:val="nil"/>
              <w:left w:val="nil"/>
              <w:bottom w:val="single" w:sz="4" w:space="0" w:color="auto"/>
              <w:right w:val="single" w:sz="8" w:space="0" w:color="auto"/>
            </w:tcBorders>
            <w:shd w:val="clear" w:color="auto" w:fill="auto"/>
            <w:noWrap/>
            <w:vAlign w:val="center"/>
            <w:hideMark/>
          </w:tcPr>
          <w:p w14:paraId="74D3A4B2" w14:textId="77777777" w:rsidR="00BA6C21" w:rsidRPr="00BA6C21" w:rsidRDefault="535062B3" w:rsidP="3328C818">
            <w:pPr>
              <w:pStyle w:val="Table-Text"/>
              <w:jc w:val="center"/>
            </w:pPr>
            <w:r w:rsidRPr="3328C818">
              <w:rPr>
                <w:highlight w:val="yellow"/>
              </w:rPr>
              <w:t>20</w:t>
            </w:r>
          </w:p>
        </w:tc>
      </w:tr>
      <w:tr w:rsidR="00557C5F" w:rsidRPr="00BA6C21" w14:paraId="0F926A95"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2EF57DB6" w14:textId="77777777" w:rsidR="00BA6C21" w:rsidRPr="00BA6C21" w:rsidRDefault="00BA6C21" w:rsidP="00541741">
            <w:pPr>
              <w:pStyle w:val="Table-Text"/>
            </w:pPr>
            <w:r w:rsidRPr="00BA6C21">
              <w:t>Capital Recovery Cost</w:t>
            </w:r>
          </w:p>
        </w:tc>
        <w:tc>
          <w:tcPr>
            <w:tcW w:w="1130" w:type="dxa"/>
            <w:tcBorders>
              <w:top w:val="nil"/>
              <w:left w:val="nil"/>
              <w:bottom w:val="single" w:sz="4" w:space="0" w:color="auto"/>
              <w:right w:val="single" w:sz="4" w:space="0" w:color="auto"/>
            </w:tcBorders>
            <w:shd w:val="clear" w:color="auto" w:fill="auto"/>
            <w:noWrap/>
            <w:vAlign w:val="center"/>
            <w:hideMark/>
          </w:tcPr>
          <w:p w14:paraId="1AE4825D" w14:textId="3EECB43B" w:rsidR="00BA6C21" w:rsidRPr="00BA6C21" w:rsidRDefault="535062B3" w:rsidP="3328C818">
            <w:pPr>
              <w:pStyle w:val="Table-Text"/>
              <w:jc w:val="center"/>
            </w:pPr>
            <w:r>
              <w:t xml:space="preserve"> $   2,263,840 </w:t>
            </w:r>
          </w:p>
        </w:tc>
        <w:tc>
          <w:tcPr>
            <w:tcW w:w="1130" w:type="dxa"/>
            <w:tcBorders>
              <w:top w:val="nil"/>
              <w:left w:val="nil"/>
              <w:bottom w:val="single" w:sz="4" w:space="0" w:color="auto"/>
              <w:right w:val="single" w:sz="4" w:space="0" w:color="auto"/>
            </w:tcBorders>
            <w:shd w:val="clear" w:color="auto" w:fill="auto"/>
            <w:noWrap/>
            <w:vAlign w:val="center"/>
            <w:hideMark/>
          </w:tcPr>
          <w:p w14:paraId="4B69FC0E" w14:textId="331EA004" w:rsidR="00BA6C21" w:rsidRPr="00BA6C21" w:rsidRDefault="535062B3" w:rsidP="3328C818">
            <w:pPr>
              <w:pStyle w:val="Table-Text"/>
              <w:jc w:val="center"/>
            </w:pPr>
            <w:r>
              <w:t xml:space="preserve"> $   2,634,133 </w:t>
            </w:r>
          </w:p>
        </w:tc>
        <w:tc>
          <w:tcPr>
            <w:tcW w:w="1062" w:type="dxa"/>
            <w:tcBorders>
              <w:top w:val="nil"/>
              <w:left w:val="nil"/>
              <w:bottom w:val="single" w:sz="4" w:space="0" w:color="auto"/>
              <w:right w:val="single" w:sz="4" w:space="0" w:color="auto"/>
            </w:tcBorders>
            <w:shd w:val="clear" w:color="auto" w:fill="auto"/>
            <w:noWrap/>
            <w:vAlign w:val="center"/>
            <w:hideMark/>
          </w:tcPr>
          <w:p w14:paraId="3BF78FDC" w14:textId="52289671" w:rsidR="00BA6C21" w:rsidRPr="00BA6C21" w:rsidRDefault="535062B3" w:rsidP="3328C818">
            <w:pPr>
              <w:pStyle w:val="Table-Text"/>
              <w:jc w:val="center"/>
            </w:pPr>
            <w:r>
              <w:t xml:space="preserve"> $         89,600 </w:t>
            </w:r>
          </w:p>
        </w:tc>
        <w:tc>
          <w:tcPr>
            <w:tcW w:w="1130" w:type="dxa"/>
            <w:tcBorders>
              <w:top w:val="nil"/>
              <w:left w:val="nil"/>
              <w:bottom w:val="single" w:sz="4" w:space="0" w:color="auto"/>
              <w:right w:val="single" w:sz="4" w:space="0" w:color="auto"/>
            </w:tcBorders>
            <w:shd w:val="clear" w:color="auto" w:fill="auto"/>
            <w:noWrap/>
            <w:vAlign w:val="center"/>
            <w:hideMark/>
          </w:tcPr>
          <w:p w14:paraId="2356BE8B" w14:textId="698D765E" w:rsidR="00BA6C21" w:rsidRPr="00BA6C21" w:rsidRDefault="535062B3" w:rsidP="3328C818">
            <w:pPr>
              <w:pStyle w:val="Table-Text"/>
              <w:jc w:val="center"/>
            </w:pPr>
            <w:r>
              <w:t xml:space="preserve"> $    2,020,117 </w:t>
            </w:r>
          </w:p>
        </w:tc>
        <w:tc>
          <w:tcPr>
            <w:tcW w:w="1130" w:type="dxa"/>
            <w:tcBorders>
              <w:top w:val="nil"/>
              <w:left w:val="nil"/>
              <w:bottom w:val="single" w:sz="4" w:space="0" w:color="auto"/>
              <w:right w:val="single" w:sz="4" w:space="0" w:color="auto"/>
            </w:tcBorders>
            <w:shd w:val="clear" w:color="auto" w:fill="auto"/>
            <w:noWrap/>
            <w:vAlign w:val="center"/>
            <w:hideMark/>
          </w:tcPr>
          <w:p w14:paraId="51D8A93F" w14:textId="072B7B22" w:rsidR="00BA6C21" w:rsidRPr="00BA6C21" w:rsidRDefault="535062B3" w:rsidP="3328C818">
            <w:pPr>
              <w:pStyle w:val="Table-Text"/>
              <w:jc w:val="center"/>
            </w:pPr>
            <w:r>
              <w:t xml:space="preserve"> $   2,109,716 </w:t>
            </w:r>
          </w:p>
        </w:tc>
        <w:tc>
          <w:tcPr>
            <w:tcW w:w="1130" w:type="dxa"/>
            <w:tcBorders>
              <w:top w:val="nil"/>
              <w:left w:val="nil"/>
              <w:bottom w:val="single" w:sz="4" w:space="0" w:color="auto"/>
              <w:right w:val="single" w:sz="8" w:space="0" w:color="auto"/>
            </w:tcBorders>
            <w:shd w:val="clear" w:color="auto" w:fill="auto"/>
            <w:noWrap/>
            <w:vAlign w:val="center"/>
            <w:hideMark/>
          </w:tcPr>
          <w:p w14:paraId="7FE1AC0D" w14:textId="0AE2A13F" w:rsidR="00BA6C21" w:rsidRPr="00BA6C21" w:rsidRDefault="535062B3" w:rsidP="3328C818">
            <w:pPr>
              <w:pStyle w:val="Table-Text"/>
              <w:jc w:val="center"/>
            </w:pPr>
            <w:r>
              <w:t xml:space="preserve"> $   2,771,423 </w:t>
            </w:r>
          </w:p>
        </w:tc>
      </w:tr>
      <w:tr w:rsidR="00557C5F" w:rsidRPr="00BA6C21" w14:paraId="50233320"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7F0F9358" w14:textId="77777777" w:rsidR="00BA6C21" w:rsidRPr="00BA6C21" w:rsidRDefault="00BA6C21" w:rsidP="00541741">
            <w:pPr>
              <w:pStyle w:val="Table-Text"/>
            </w:pPr>
            <w:r w:rsidRPr="00BA6C21">
              <w:t>Indirect Cost/Fixed O&amp;M</w:t>
            </w:r>
          </w:p>
        </w:tc>
        <w:tc>
          <w:tcPr>
            <w:tcW w:w="1130" w:type="dxa"/>
            <w:tcBorders>
              <w:top w:val="nil"/>
              <w:left w:val="nil"/>
              <w:bottom w:val="single" w:sz="4" w:space="0" w:color="auto"/>
              <w:right w:val="single" w:sz="4" w:space="0" w:color="auto"/>
            </w:tcBorders>
            <w:shd w:val="clear" w:color="auto" w:fill="auto"/>
            <w:noWrap/>
            <w:vAlign w:val="center"/>
            <w:hideMark/>
          </w:tcPr>
          <w:p w14:paraId="1394802C" w14:textId="6347ACA5" w:rsidR="00BA6C21" w:rsidRPr="00BA6C21" w:rsidRDefault="535062B3" w:rsidP="3328C818">
            <w:pPr>
              <w:pStyle w:val="Table-Text"/>
              <w:jc w:val="center"/>
            </w:pPr>
            <w:r>
              <w:t xml:space="preserve"> $   2,268,338 </w:t>
            </w:r>
          </w:p>
        </w:tc>
        <w:tc>
          <w:tcPr>
            <w:tcW w:w="1130" w:type="dxa"/>
            <w:tcBorders>
              <w:top w:val="nil"/>
              <w:left w:val="nil"/>
              <w:bottom w:val="single" w:sz="4" w:space="0" w:color="auto"/>
              <w:right w:val="single" w:sz="4" w:space="0" w:color="auto"/>
            </w:tcBorders>
            <w:shd w:val="clear" w:color="auto" w:fill="auto"/>
            <w:noWrap/>
            <w:vAlign w:val="center"/>
            <w:hideMark/>
          </w:tcPr>
          <w:p w14:paraId="4305CC5C" w14:textId="246867D6" w:rsidR="00BA6C21" w:rsidRPr="00BA6C21" w:rsidRDefault="535062B3" w:rsidP="3328C818">
            <w:pPr>
              <w:pStyle w:val="Table-Text"/>
              <w:jc w:val="center"/>
            </w:pPr>
            <w:r>
              <w:t xml:space="preserve"> $   2,638,923 </w:t>
            </w:r>
          </w:p>
        </w:tc>
        <w:tc>
          <w:tcPr>
            <w:tcW w:w="1062" w:type="dxa"/>
            <w:tcBorders>
              <w:top w:val="nil"/>
              <w:left w:val="nil"/>
              <w:bottom w:val="single" w:sz="4" w:space="0" w:color="auto"/>
              <w:right w:val="single" w:sz="4" w:space="0" w:color="auto"/>
            </w:tcBorders>
            <w:shd w:val="clear" w:color="auto" w:fill="auto"/>
            <w:noWrap/>
            <w:vAlign w:val="center"/>
            <w:hideMark/>
          </w:tcPr>
          <w:p w14:paraId="507DBDFD" w14:textId="08B4829D" w:rsidR="00BA6C21" w:rsidRPr="00BA6C21" w:rsidRDefault="535062B3" w:rsidP="3328C818">
            <w:pPr>
              <w:pStyle w:val="Table-Text"/>
              <w:jc w:val="center"/>
            </w:pPr>
            <w:r>
              <w:t xml:space="preserve"> $      148,669 </w:t>
            </w:r>
          </w:p>
        </w:tc>
        <w:tc>
          <w:tcPr>
            <w:tcW w:w="1130" w:type="dxa"/>
            <w:tcBorders>
              <w:top w:val="nil"/>
              <w:left w:val="nil"/>
              <w:bottom w:val="single" w:sz="4" w:space="0" w:color="auto"/>
              <w:right w:val="single" w:sz="4" w:space="0" w:color="auto"/>
            </w:tcBorders>
            <w:shd w:val="clear" w:color="auto" w:fill="auto"/>
            <w:noWrap/>
            <w:vAlign w:val="center"/>
            <w:hideMark/>
          </w:tcPr>
          <w:p w14:paraId="02EE6137" w14:textId="611033D6" w:rsidR="00BA6C21" w:rsidRPr="00BA6C21" w:rsidRDefault="535062B3" w:rsidP="3328C818">
            <w:pPr>
              <w:pStyle w:val="Table-Text"/>
              <w:jc w:val="center"/>
            </w:pPr>
            <w:r>
              <w:t xml:space="preserve"> $    2,024,658 </w:t>
            </w:r>
          </w:p>
        </w:tc>
        <w:tc>
          <w:tcPr>
            <w:tcW w:w="1130" w:type="dxa"/>
            <w:tcBorders>
              <w:top w:val="nil"/>
              <w:left w:val="nil"/>
              <w:bottom w:val="single" w:sz="4" w:space="0" w:color="auto"/>
              <w:right w:val="single" w:sz="4" w:space="0" w:color="auto"/>
            </w:tcBorders>
            <w:shd w:val="clear" w:color="auto" w:fill="auto"/>
            <w:noWrap/>
            <w:vAlign w:val="center"/>
            <w:hideMark/>
          </w:tcPr>
          <w:p w14:paraId="0E142757" w14:textId="215E8609" w:rsidR="00BA6C21" w:rsidRPr="00BA6C21" w:rsidRDefault="535062B3" w:rsidP="3328C818">
            <w:pPr>
              <w:pStyle w:val="Table-Text"/>
              <w:jc w:val="center"/>
            </w:pPr>
            <w:r>
              <w:t xml:space="preserve"> $   2,173,327 </w:t>
            </w:r>
          </w:p>
        </w:tc>
        <w:tc>
          <w:tcPr>
            <w:tcW w:w="1130" w:type="dxa"/>
            <w:tcBorders>
              <w:top w:val="nil"/>
              <w:left w:val="nil"/>
              <w:bottom w:val="single" w:sz="4" w:space="0" w:color="auto"/>
              <w:right w:val="single" w:sz="8" w:space="0" w:color="auto"/>
            </w:tcBorders>
            <w:shd w:val="clear" w:color="auto" w:fill="auto"/>
            <w:noWrap/>
            <w:vAlign w:val="center"/>
            <w:hideMark/>
          </w:tcPr>
          <w:p w14:paraId="3635FC77" w14:textId="0EED23C2" w:rsidR="00BA6C21" w:rsidRPr="00BA6C21" w:rsidRDefault="535062B3" w:rsidP="3328C818">
            <w:pPr>
              <w:pStyle w:val="Table-Text"/>
              <w:jc w:val="center"/>
            </w:pPr>
            <w:r>
              <w:t xml:space="preserve"> $   2,933,155 </w:t>
            </w:r>
          </w:p>
        </w:tc>
      </w:tr>
      <w:tr w:rsidR="00557C5F" w:rsidRPr="00BA6C21" w14:paraId="773B3714"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716D40EB" w14:textId="77777777" w:rsidR="00BA6C21" w:rsidRPr="00BA6C21" w:rsidRDefault="00BA6C21" w:rsidP="00541741">
            <w:pPr>
              <w:pStyle w:val="Table-Text"/>
            </w:pPr>
            <w:r w:rsidRPr="00BA6C21">
              <w:t>Catalyst Life (</w:t>
            </w:r>
            <w:proofErr w:type="spellStart"/>
            <w:r w:rsidRPr="00BA6C21">
              <w:t>hr</w:t>
            </w:r>
            <w:proofErr w:type="spellEnd"/>
            <w:r w:rsidRPr="00BA6C21">
              <w:t>)</w:t>
            </w:r>
          </w:p>
        </w:tc>
        <w:tc>
          <w:tcPr>
            <w:tcW w:w="1130" w:type="dxa"/>
            <w:tcBorders>
              <w:top w:val="nil"/>
              <w:left w:val="nil"/>
              <w:bottom w:val="single" w:sz="4" w:space="0" w:color="auto"/>
              <w:right w:val="single" w:sz="4" w:space="0" w:color="auto"/>
            </w:tcBorders>
            <w:shd w:val="clear" w:color="auto" w:fill="auto"/>
            <w:noWrap/>
            <w:vAlign w:val="center"/>
            <w:hideMark/>
          </w:tcPr>
          <w:p w14:paraId="07605F9A" w14:textId="1D63E725" w:rsidR="00BA6C21" w:rsidRPr="00BA6C21" w:rsidRDefault="535062B3" w:rsidP="3328C818">
            <w:pPr>
              <w:pStyle w:val="Table-Text"/>
              <w:jc w:val="center"/>
            </w:pPr>
            <w:r>
              <w:t>20</w:t>
            </w:r>
            <w:r w:rsidR="29BB96A9">
              <w:t>,</w:t>
            </w:r>
            <w:r>
              <w:t>000</w:t>
            </w:r>
          </w:p>
        </w:tc>
        <w:tc>
          <w:tcPr>
            <w:tcW w:w="1130" w:type="dxa"/>
            <w:tcBorders>
              <w:top w:val="nil"/>
              <w:left w:val="nil"/>
              <w:bottom w:val="single" w:sz="4" w:space="0" w:color="auto"/>
              <w:right w:val="single" w:sz="4" w:space="0" w:color="auto"/>
            </w:tcBorders>
            <w:shd w:val="clear" w:color="auto" w:fill="auto"/>
            <w:noWrap/>
            <w:vAlign w:val="center"/>
            <w:hideMark/>
          </w:tcPr>
          <w:p w14:paraId="17403D89" w14:textId="1CA745CB" w:rsidR="00BA6C21" w:rsidRPr="00BA6C21" w:rsidRDefault="535062B3" w:rsidP="3328C818">
            <w:pPr>
              <w:pStyle w:val="Table-Text"/>
              <w:jc w:val="center"/>
            </w:pPr>
            <w:r>
              <w:t>20</w:t>
            </w:r>
            <w:r w:rsidR="29BB96A9">
              <w:t>,</w:t>
            </w:r>
            <w:r>
              <w:t>000</w:t>
            </w:r>
          </w:p>
        </w:tc>
        <w:tc>
          <w:tcPr>
            <w:tcW w:w="1062" w:type="dxa"/>
            <w:tcBorders>
              <w:top w:val="nil"/>
              <w:left w:val="nil"/>
              <w:bottom w:val="single" w:sz="4" w:space="0" w:color="auto"/>
              <w:right w:val="single" w:sz="4" w:space="0" w:color="auto"/>
            </w:tcBorders>
            <w:shd w:val="clear" w:color="auto" w:fill="auto"/>
            <w:noWrap/>
            <w:vAlign w:val="center"/>
            <w:hideMark/>
          </w:tcPr>
          <w:p w14:paraId="16857927" w14:textId="77777777" w:rsidR="00BA6C21" w:rsidRPr="00BA6C21" w:rsidRDefault="535062B3" w:rsidP="3328C818">
            <w:pPr>
              <w:pStyle w:val="Table-Text"/>
              <w:jc w:val="center"/>
            </w:pPr>
            <w:r>
              <w:t> </w:t>
            </w:r>
          </w:p>
        </w:tc>
        <w:tc>
          <w:tcPr>
            <w:tcW w:w="1130" w:type="dxa"/>
            <w:tcBorders>
              <w:top w:val="nil"/>
              <w:left w:val="nil"/>
              <w:bottom w:val="single" w:sz="4" w:space="0" w:color="auto"/>
              <w:right w:val="single" w:sz="4" w:space="0" w:color="auto"/>
            </w:tcBorders>
            <w:shd w:val="clear" w:color="auto" w:fill="auto"/>
            <w:noWrap/>
            <w:vAlign w:val="center"/>
            <w:hideMark/>
          </w:tcPr>
          <w:p w14:paraId="1985927B" w14:textId="582D3DEF" w:rsidR="00BA6C21" w:rsidRPr="00BA6C21" w:rsidRDefault="535062B3" w:rsidP="3328C818">
            <w:pPr>
              <w:pStyle w:val="Table-Text"/>
              <w:jc w:val="center"/>
            </w:pPr>
            <w:r w:rsidRPr="3328C818">
              <w:rPr>
                <w:highlight w:val="yellow"/>
              </w:rPr>
              <w:t>24</w:t>
            </w:r>
            <w:r w:rsidR="29BB96A9" w:rsidRPr="3328C818">
              <w:rPr>
                <w:highlight w:val="yellow"/>
              </w:rPr>
              <w:t>,</w:t>
            </w:r>
            <w:r w:rsidRPr="3328C818">
              <w:rPr>
                <w:highlight w:val="yellow"/>
              </w:rPr>
              <w:t>000</w:t>
            </w:r>
          </w:p>
        </w:tc>
        <w:tc>
          <w:tcPr>
            <w:tcW w:w="1130" w:type="dxa"/>
            <w:tcBorders>
              <w:top w:val="nil"/>
              <w:left w:val="nil"/>
              <w:bottom w:val="single" w:sz="4" w:space="0" w:color="auto"/>
              <w:right w:val="single" w:sz="4" w:space="0" w:color="auto"/>
            </w:tcBorders>
            <w:shd w:val="clear" w:color="auto" w:fill="auto"/>
            <w:noWrap/>
            <w:vAlign w:val="center"/>
            <w:hideMark/>
          </w:tcPr>
          <w:p w14:paraId="34512CD6" w14:textId="77777777" w:rsidR="00BA6C21" w:rsidRPr="00BA6C21" w:rsidRDefault="535062B3" w:rsidP="3328C818">
            <w:pPr>
              <w:pStyle w:val="Table-Text"/>
              <w:jc w:val="center"/>
            </w:pPr>
            <w:r>
              <w:t> </w:t>
            </w:r>
          </w:p>
        </w:tc>
        <w:tc>
          <w:tcPr>
            <w:tcW w:w="1130" w:type="dxa"/>
            <w:tcBorders>
              <w:top w:val="nil"/>
              <w:left w:val="nil"/>
              <w:bottom w:val="single" w:sz="4" w:space="0" w:color="auto"/>
              <w:right w:val="single" w:sz="8" w:space="0" w:color="auto"/>
            </w:tcBorders>
            <w:shd w:val="clear" w:color="auto" w:fill="auto"/>
            <w:noWrap/>
            <w:vAlign w:val="center"/>
            <w:hideMark/>
          </w:tcPr>
          <w:p w14:paraId="2931D167" w14:textId="5AADD4B6" w:rsidR="00BA6C21" w:rsidRPr="00BA6C21" w:rsidRDefault="535062B3" w:rsidP="3328C818">
            <w:pPr>
              <w:pStyle w:val="Table-Text"/>
              <w:jc w:val="center"/>
            </w:pPr>
            <w:r w:rsidRPr="3328C818">
              <w:rPr>
                <w:highlight w:val="yellow"/>
              </w:rPr>
              <w:t>20</w:t>
            </w:r>
            <w:r w:rsidR="29BB96A9" w:rsidRPr="3328C818">
              <w:rPr>
                <w:highlight w:val="yellow"/>
              </w:rPr>
              <w:t>,</w:t>
            </w:r>
            <w:r w:rsidRPr="3328C818">
              <w:rPr>
                <w:highlight w:val="yellow"/>
              </w:rPr>
              <w:t>000</w:t>
            </w:r>
          </w:p>
        </w:tc>
      </w:tr>
      <w:tr w:rsidR="00557C5F" w:rsidRPr="00BA6C21" w14:paraId="421713BC"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35BCF23A" w14:textId="77777777" w:rsidR="00BA6C21" w:rsidRPr="00BA6C21" w:rsidRDefault="00BA6C21" w:rsidP="00541741">
            <w:pPr>
              <w:pStyle w:val="Table-Text"/>
            </w:pPr>
            <w:r w:rsidRPr="00BA6C21">
              <w:t>Catalyst Replacement Cost Method</w:t>
            </w:r>
          </w:p>
        </w:tc>
        <w:tc>
          <w:tcPr>
            <w:tcW w:w="1130" w:type="dxa"/>
            <w:tcBorders>
              <w:top w:val="nil"/>
              <w:left w:val="nil"/>
              <w:bottom w:val="single" w:sz="4" w:space="0" w:color="auto"/>
              <w:right w:val="single" w:sz="4" w:space="0" w:color="auto"/>
            </w:tcBorders>
            <w:shd w:val="clear" w:color="auto" w:fill="auto"/>
            <w:noWrap/>
            <w:vAlign w:val="center"/>
            <w:hideMark/>
          </w:tcPr>
          <w:p w14:paraId="2CA56D91" w14:textId="77777777" w:rsidR="00BA6C21" w:rsidRPr="00BA6C21" w:rsidRDefault="535062B3" w:rsidP="3328C818">
            <w:pPr>
              <w:pStyle w:val="Table-Text"/>
              <w:jc w:val="center"/>
            </w:pPr>
            <w:r>
              <w:t>2</w:t>
            </w:r>
          </w:p>
        </w:tc>
        <w:tc>
          <w:tcPr>
            <w:tcW w:w="1130" w:type="dxa"/>
            <w:tcBorders>
              <w:top w:val="nil"/>
              <w:left w:val="nil"/>
              <w:bottom w:val="single" w:sz="4" w:space="0" w:color="auto"/>
              <w:right w:val="single" w:sz="4" w:space="0" w:color="auto"/>
            </w:tcBorders>
            <w:shd w:val="clear" w:color="auto" w:fill="auto"/>
            <w:noWrap/>
            <w:vAlign w:val="center"/>
            <w:hideMark/>
          </w:tcPr>
          <w:p w14:paraId="61692CFD" w14:textId="77777777" w:rsidR="00BA6C21" w:rsidRPr="00BA6C21" w:rsidRDefault="535062B3" w:rsidP="3328C818">
            <w:pPr>
              <w:pStyle w:val="Table-Text"/>
              <w:jc w:val="center"/>
            </w:pPr>
            <w:r>
              <w:t>2</w:t>
            </w:r>
          </w:p>
        </w:tc>
        <w:tc>
          <w:tcPr>
            <w:tcW w:w="1062" w:type="dxa"/>
            <w:tcBorders>
              <w:top w:val="nil"/>
              <w:left w:val="nil"/>
              <w:bottom w:val="single" w:sz="4" w:space="0" w:color="auto"/>
              <w:right w:val="single" w:sz="4" w:space="0" w:color="auto"/>
            </w:tcBorders>
            <w:shd w:val="clear" w:color="auto" w:fill="auto"/>
            <w:noWrap/>
            <w:vAlign w:val="center"/>
            <w:hideMark/>
          </w:tcPr>
          <w:p w14:paraId="1AEFD388" w14:textId="77777777" w:rsidR="00BA6C21" w:rsidRPr="00BA6C21" w:rsidRDefault="535062B3" w:rsidP="3328C818">
            <w:pPr>
              <w:pStyle w:val="Table-Text"/>
              <w:jc w:val="center"/>
            </w:pPr>
            <w:r>
              <w:t> </w:t>
            </w:r>
          </w:p>
        </w:tc>
        <w:tc>
          <w:tcPr>
            <w:tcW w:w="1130" w:type="dxa"/>
            <w:tcBorders>
              <w:top w:val="nil"/>
              <w:left w:val="nil"/>
              <w:bottom w:val="single" w:sz="4" w:space="0" w:color="auto"/>
              <w:right w:val="single" w:sz="4" w:space="0" w:color="auto"/>
            </w:tcBorders>
            <w:shd w:val="clear" w:color="auto" w:fill="auto"/>
            <w:noWrap/>
            <w:vAlign w:val="center"/>
            <w:hideMark/>
          </w:tcPr>
          <w:p w14:paraId="7D92D847" w14:textId="77777777" w:rsidR="00BA6C21" w:rsidRPr="00BA6C21" w:rsidRDefault="535062B3" w:rsidP="3328C818">
            <w:pPr>
              <w:pStyle w:val="Table-Text"/>
              <w:jc w:val="center"/>
            </w:pPr>
            <w:r>
              <w:t>2</w:t>
            </w:r>
          </w:p>
        </w:tc>
        <w:tc>
          <w:tcPr>
            <w:tcW w:w="1130" w:type="dxa"/>
            <w:tcBorders>
              <w:top w:val="nil"/>
              <w:left w:val="nil"/>
              <w:bottom w:val="single" w:sz="4" w:space="0" w:color="auto"/>
              <w:right w:val="single" w:sz="4" w:space="0" w:color="auto"/>
            </w:tcBorders>
            <w:shd w:val="clear" w:color="auto" w:fill="auto"/>
            <w:noWrap/>
            <w:vAlign w:val="center"/>
            <w:hideMark/>
          </w:tcPr>
          <w:p w14:paraId="05800DC3" w14:textId="77777777" w:rsidR="00BA6C21" w:rsidRPr="00BA6C21" w:rsidRDefault="535062B3" w:rsidP="3328C818">
            <w:pPr>
              <w:pStyle w:val="Table-Text"/>
              <w:jc w:val="center"/>
            </w:pPr>
            <w:r>
              <w:t> </w:t>
            </w:r>
          </w:p>
        </w:tc>
        <w:tc>
          <w:tcPr>
            <w:tcW w:w="1130" w:type="dxa"/>
            <w:tcBorders>
              <w:top w:val="nil"/>
              <w:left w:val="nil"/>
              <w:bottom w:val="single" w:sz="4" w:space="0" w:color="auto"/>
              <w:right w:val="single" w:sz="8" w:space="0" w:color="auto"/>
            </w:tcBorders>
            <w:shd w:val="clear" w:color="auto" w:fill="auto"/>
            <w:noWrap/>
            <w:vAlign w:val="center"/>
            <w:hideMark/>
          </w:tcPr>
          <w:p w14:paraId="1C9CAFF5" w14:textId="77777777" w:rsidR="00BA6C21" w:rsidRPr="00BA6C21" w:rsidRDefault="535062B3" w:rsidP="3328C818">
            <w:pPr>
              <w:pStyle w:val="Table-Text"/>
              <w:jc w:val="center"/>
            </w:pPr>
            <w:r>
              <w:t>2</w:t>
            </w:r>
          </w:p>
        </w:tc>
      </w:tr>
      <w:tr w:rsidR="00557C5F" w:rsidRPr="00BA6C21" w14:paraId="1B32DA80"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0A5CE2F3" w14:textId="77777777" w:rsidR="00BA6C21" w:rsidRPr="00BA6C21" w:rsidRDefault="00BA6C21" w:rsidP="00541741">
            <w:pPr>
              <w:pStyle w:val="Table-Text"/>
            </w:pPr>
            <w:r w:rsidRPr="00BA6C21">
              <w:t>Catalyst Replacement Cost</w:t>
            </w:r>
          </w:p>
        </w:tc>
        <w:tc>
          <w:tcPr>
            <w:tcW w:w="1130" w:type="dxa"/>
            <w:tcBorders>
              <w:top w:val="nil"/>
              <w:left w:val="nil"/>
              <w:bottom w:val="single" w:sz="4" w:space="0" w:color="auto"/>
              <w:right w:val="single" w:sz="4" w:space="0" w:color="auto"/>
            </w:tcBorders>
            <w:shd w:val="clear" w:color="auto" w:fill="auto"/>
            <w:noWrap/>
            <w:vAlign w:val="center"/>
            <w:hideMark/>
          </w:tcPr>
          <w:p w14:paraId="287B3AFA" w14:textId="40EE01DE" w:rsidR="00BA6C21" w:rsidRPr="00BA6C21" w:rsidRDefault="535062B3" w:rsidP="3328C818">
            <w:pPr>
              <w:pStyle w:val="Table-Text"/>
              <w:jc w:val="center"/>
            </w:pPr>
            <w:r>
              <w:t xml:space="preserve"> $      189,384 </w:t>
            </w:r>
          </w:p>
        </w:tc>
        <w:tc>
          <w:tcPr>
            <w:tcW w:w="1130" w:type="dxa"/>
            <w:tcBorders>
              <w:top w:val="nil"/>
              <w:left w:val="nil"/>
              <w:bottom w:val="single" w:sz="4" w:space="0" w:color="auto"/>
              <w:right w:val="single" w:sz="4" w:space="0" w:color="auto"/>
            </w:tcBorders>
            <w:shd w:val="clear" w:color="auto" w:fill="auto"/>
            <w:noWrap/>
            <w:vAlign w:val="center"/>
            <w:hideMark/>
          </w:tcPr>
          <w:p w14:paraId="1A92533A" w14:textId="5A7B0800" w:rsidR="00BA6C21" w:rsidRPr="00BA6C21" w:rsidRDefault="535062B3" w:rsidP="3328C818">
            <w:pPr>
              <w:pStyle w:val="Table-Text"/>
              <w:jc w:val="center"/>
            </w:pPr>
            <w:r>
              <w:t xml:space="preserve"> $      191,915 </w:t>
            </w:r>
          </w:p>
        </w:tc>
        <w:tc>
          <w:tcPr>
            <w:tcW w:w="1062" w:type="dxa"/>
            <w:tcBorders>
              <w:top w:val="nil"/>
              <w:left w:val="nil"/>
              <w:bottom w:val="single" w:sz="4" w:space="0" w:color="auto"/>
              <w:right w:val="single" w:sz="4" w:space="0" w:color="auto"/>
            </w:tcBorders>
            <w:shd w:val="clear" w:color="auto" w:fill="auto"/>
            <w:noWrap/>
            <w:vAlign w:val="center"/>
            <w:hideMark/>
          </w:tcPr>
          <w:p w14:paraId="7A8F99B4" w14:textId="77777777" w:rsidR="00BA6C21" w:rsidRPr="00BA6C21" w:rsidRDefault="535062B3" w:rsidP="3328C818">
            <w:pPr>
              <w:pStyle w:val="Table-Text"/>
              <w:jc w:val="center"/>
            </w:pPr>
            <w:r>
              <w:t> </w:t>
            </w:r>
          </w:p>
        </w:tc>
        <w:tc>
          <w:tcPr>
            <w:tcW w:w="1130" w:type="dxa"/>
            <w:tcBorders>
              <w:top w:val="nil"/>
              <w:left w:val="nil"/>
              <w:bottom w:val="single" w:sz="4" w:space="0" w:color="auto"/>
              <w:right w:val="single" w:sz="4" w:space="0" w:color="auto"/>
            </w:tcBorders>
            <w:shd w:val="clear" w:color="auto" w:fill="auto"/>
            <w:noWrap/>
            <w:vAlign w:val="center"/>
            <w:hideMark/>
          </w:tcPr>
          <w:p w14:paraId="72089316" w14:textId="3A2F4C95" w:rsidR="00BA6C21" w:rsidRPr="00BA6C21" w:rsidRDefault="535062B3" w:rsidP="3328C818">
            <w:pPr>
              <w:pStyle w:val="Table-Text"/>
              <w:jc w:val="center"/>
            </w:pPr>
            <w:r>
              <w:t xml:space="preserve"> $      278,209 </w:t>
            </w:r>
          </w:p>
        </w:tc>
        <w:tc>
          <w:tcPr>
            <w:tcW w:w="1130" w:type="dxa"/>
            <w:tcBorders>
              <w:top w:val="nil"/>
              <w:left w:val="nil"/>
              <w:bottom w:val="single" w:sz="4" w:space="0" w:color="auto"/>
              <w:right w:val="single" w:sz="4" w:space="0" w:color="auto"/>
            </w:tcBorders>
            <w:shd w:val="clear" w:color="auto" w:fill="auto"/>
            <w:noWrap/>
            <w:vAlign w:val="center"/>
            <w:hideMark/>
          </w:tcPr>
          <w:p w14:paraId="4DFFA735" w14:textId="77777777" w:rsidR="00BA6C21" w:rsidRPr="00BA6C21" w:rsidRDefault="535062B3" w:rsidP="3328C818">
            <w:pPr>
              <w:pStyle w:val="Table-Text"/>
              <w:jc w:val="center"/>
            </w:pPr>
            <w:r>
              <w:t> </w:t>
            </w:r>
          </w:p>
        </w:tc>
        <w:tc>
          <w:tcPr>
            <w:tcW w:w="1130" w:type="dxa"/>
            <w:tcBorders>
              <w:top w:val="nil"/>
              <w:left w:val="nil"/>
              <w:bottom w:val="single" w:sz="4" w:space="0" w:color="auto"/>
              <w:right w:val="single" w:sz="8" w:space="0" w:color="auto"/>
            </w:tcBorders>
            <w:shd w:val="clear" w:color="auto" w:fill="auto"/>
            <w:noWrap/>
            <w:vAlign w:val="center"/>
            <w:hideMark/>
          </w:tcPr>
          <w:p w14:paraId="63BE6B9A" w14:textId="525AAE4E" w:rsidR="00BA6C21" w:rsidRPr="00BA6C21" w:rsidRDefault="535062B3" w:rsidP="3328C818">
            <w:pPr>
              <w:pStyle w:val="Table-Text"/>
              <w:jc w:val="center"/>
            </w:pPr>
            <w:r>
              <w:t xml:space="preserve"> $      191,915 </w:t>
            </w:r>
          </w:p>
        </w:tc>
      </w:tr>
      <w:tr w:rsidR="00557C5F" w:rsidRPr="00BA6C21" w14:paraId="59106BD6"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08F51507" w14:textId="77777777" w:rsidR="00BA6C21" w:rsidRPr="00BA6C21" w:rsidRDefault="00BA6C21" w:rsidP="00541741">
            <w:pPr>
              <w:pStyle w:val="Table-Text"/>
            </w:pPr>
            <w:r w:rsidRPr="00BA6C21">
              <w:t>Direct Cost/Variable O&amp;M</w:t>
            </w:r>
          </w:p>
        </w:tc>
        <w:tc>
          <w:tcPr>
            <w:tcW w:w="1130" w:type="dxa"/>
            <w:tcBorders>
              <w:top w:val="nil"/>
              <w:left w:val="nil"/>
              <w:bottom w:val="single" w:sz="4" w:space="0" w:color="auto"/>
              <w:right w:val="single" w:sz="4" w:space="0" w:color="auto"/>
            </w:tcBorders>
            <w:shd w:val="clear" w:color="auto" w:fill="auto"/>
            <w:noWrap/>
            <w:vAlign w:val="center"/>
            <w:hideMark/>
          </w:tcPr>
          <w:p w14:paraId="3D346DAF" w14:textId="5BAED6E6" w:rsidR="00BA6C21" w:rsidRPr="00BA6C21" w:rsidRDefault="535062B3" w:rsidP="3328C818">
            <w:pPr>
              <w:pStyle w:val="Table-Text"/>
              <w:jc w:val="center"/>
            </w:pPr>
            <w:r>
              <w:t xml:space="preserve"> $      886,501 </w:t>
            </w:r>
          </w:p>
        </w:tc>
        <w:tc>
          <w:tcPr>
            <w:tcW w:w="1130" w:type="dxa"/>
            <w:tcBorders>
              <w:top w:val="nil"/>
              <w:left w:val="nil"/>
              <w:bottom w:val="single" w:sz="4" w:space="0" w:color="auto"/>
              <w:right w:val="single" w:sz="4" w:space="0" w:color="auto"/>
            </w:tcBorders>
            <w:shd w:val="clear" w:color="auto" w:fill="auto"/>
            <w:noWrap/>
            <w:vAlign w:val="center"/>
            <w:hideMark/>
          </w:tcPr>
          <w:p w14:paraId="1F6098A2" w14:textId="06529000" w:rsidR="00BA6C21" w:rsidRPr="00BA6C21" w:rsidRDefault="535062B3" w:rsidP="3328C818">
            <w:pPr>
              <w:pStyle w:val="Table-Text"/>
              <w:jc w:val="center"/>
            </w:pPr>
            <w:r>
              <w:t xml:space="preserve"> $      926,643 </w:t>
            </w:r>
          </w:p>
        </w:tc>
        <w:tc>
          <w:tcPr>
            <w:tcW w:w="1062" w:type="dxa"/>
            <w:tcBorders>
              <w:top w:val="nil"/>
              <w:left w:val="nil"/>
              <w:bottom w:val="single" w:sz="4" w:space="0" w:color="auto"/>
              <w:right w:val="single" w:sz="4" w:space="0" w:color="auto"/>
            </w:tcBorders>
            <w:shd w:val="clear" w:color="auto" w:fill="auto"/>
            <w:noWrap/>
            <w:vAlign w:val="center"/>
            <w:hideMark/>
          </w:tcPr>
          <w:p w14:paraId="57CC5252" w14:textId="3FE0D34E" w:rsidR="00BA6C21" w:rsidRPr="00BA6C21" w:rsidRDefault="535062B3" w:rsidP="3328C818">
            <w:pPr>
              <w:pStyle w:val="Table-Text"/>
              <w:jc w:val="center"/>
            </w:pPr>
            <w:r>
              <w:t xml:space="preserve"> $      999,551 </w:t>
            </w:r>
          </w:p>
        </w:tc>
        <w:tc>
          <w:tcPr>
            <w:tcW w:w="1130" w:type="dxa"/>
            <w:tcBorders>
              <w:top w:val="nil"/>
              <w:left w:val="nil"/>
              <w:bottom w:val="single" w:sz="4" w:space="0" w:color="auto"/>
              <w:right w:val="single" w:sz="4" w:space="0" w:color="auto"/>
            </w:tcBorders>
            <w:shd w:val="clear" w:color="auto" w:fill="auto"/>
            <w:noWrap/>
            <w:vAlign w:val="center"/>
            <w:hideMark/>
          </w:tcPr>
          <w:p w14:paraId="547EFAF7" w14:textId="22E76350" w:rsidR="00BA6C21" w:rsidRPr="00BA6C21" w:rsidRDefault="535062B3" w:rsidP="3328C818">
            <w:pPr>
              <w:pStyle w:val="Table-Text"/>
              <w:jc w:val="center"/>
            </w:pPr>
            <w:r>
              <w:t xml:space="preserve"> $    1,087,544 </w:t>
            </w:r>
          </w:p>
        </w:tc>
        <w:tc>
          <w:tcPr>
            <w:tcW w:w="1130" w:type="dxa"/>
            <w:tcBorders>
              <w:top w:val="nil"/>
              <w:left w:val="nil"/>
              <w:bottom w:val="single" w:sz="4" w:space="0" w:color="auto"/>
              <w:right w:val="single" w:sz="4" w:space="0" w:color="auto"/>
            </w:tcBorders>
            <w:shd w:val="clear" w:color="auto" w:fill="auto"/>
            <w:noWrap/>
            <w:vAlign w:val="center"/>
            <w:hideMark/>
          </w:tcPr>
          <w:p w14:paraId="266EB424" w14:textId="69D7D00F" w:rsidR="00BA6C21" w:rsidRPr="00BA6C21" w:rsidRDefault="535062B3" w:rsidP="3328C818">
            <w:pPr>
              <w:pStyle w:val="Table-Text"/>
              <w:jc w:val="center"/>
            </w:pPr>
            <w:r>
              <w:t xml:space="preserve"> $   2,087,095 </w:t>
            </w:r>
          </w:p>
        </w:tc>
        <w:tc>
          <w:tcPr>
            <w:tcW w:w="1130" w:type="dxa"/>
            <w:tcBorders>
              <w:top w:val="nil"/>
              <w:left w:val="nil"/>
              <w:bottom w:val="single" w:sz="4" w:space="0" w:color="auto"/>
              <w:right w:val="single" w:sz="8" w:space="0" w:color="auto"/>
            </w:tcBorders>
            <w:shd w:val="clear" w:color="auto" w:fill="auto"/>
            <w:noWrap/>
            <w:vAlign w:val="center"/>
            <w:hideMark/>
          </w:tcPr>
          <w:p w14:paraId="00019DD4" w14:textId="33B77A12" w:rsidR="00BA6C21" w:rsidRPr="00BA6C21" w:rsidRDefault="535062B3" w:rsidP="3328C818">
            <w:pPr>
              <w:pStyle w:val="Table-Text"/>
              <w:jc w:val="center"/>
            </w:pPr>
            <w:r>
              <w:t xml:space="preserve"> $   2,071,903 </w:t>
            </w:r>
          </w:p>
        </w:tc>
      </w:tr>
      <w:tr w:rsidR="00557C5F" w:rsidRPr="00BA6C21" w14:paraId="7328C972"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6605D5D2" w14:textId="77777777" w:rsidR="00BA6C21" w:rsidRPr="00BA6C21" w:rsidRDefault="00BA6C21" w:rsidP="00541741">
            <w:pPr>
              <w:pStyle w:val="Table-Text"/>
            </w:pPr>
            <w:r w:rsidRPr="00BA6C21">
              <w:t xml:space="preserve">Total Annual Cost </w:t>
            </w:r>
          </w:p>
        </w:tc>
        <w:tc>
          <w:tcPr>
            <w:tcW w:w="1130" w:type="dxa"/>
            <w:tcBorders>
              <w:top w:val="nil"/>
              <w:left w:val="nil"/>
              <w:bottom w:val="single" w:sz="4" w:space="0" w:color="auto"/>
              <w:right w:val="single" w:sz="4" w:space="0" w:color="auto"/>
            </w:tcBorders>
            <w:shd w:val="clear" w:color="auto" w:fill="auto"/>
            <w:noWrap/>
            <w:vAlign w:val="center"/>
            <w:hideMark/>
          </w:tcPr>
          <w:p w14:paraId="08E8C244" w14:textId="5868B97F" w:rsidR="00BA6C21" w:rsidRPr="00BA6C21" w:rsidRDefault="535062B3" w:rsidP="3328C818">
            <w:pPr>
              <w:pStyle w:val="Table-Text"/>
              <w:jc w:val="center"/>
            </w:pPr>
            <w:r>
              <w:t xml:space="preserve"> $   3,154,839 </w:t>
            </w:r>
          </w:p>
        </w:tc>
        <w:tc>
          <w:tcPr>
            <w:tcW w:w="1130" w:type="dxa"/>
            <w:tcBorders>
              <w:top w:val="nil"/>
              <w:left w:val="nil"/>
              <w:bottom w:val="single" w:sz="4" w:space="0" w:color="auto"/>
              <w:right w:val="single" w:sz="4" w:space="0" w:color="auto"/>
            </w:tcBorders>
            <w:shd w:val="clear" w:color="auto" w:fill="auto"/>
            <w:noWrap/>
            <w:vAlign w:val="center"/>
            <w:hideMark/>
          </w:tcPr>
          <w:p w14:paraId="64717089" w14:textId="7E6676B3" w:rsidR="00BA6C21" w:rsidRPr="00BA6C21" w:rsidRDefault="535062B3" w:rsidP="3328C818">
            <w:pPr>
              <w:pStyle w:val="Table-Text"/>
              <w:jc w:val="center"/>
            </w:pPr>
            <w:r>
              <w:t xml:space="preserve"> $   3,565,566 </w:t>
            </w:r>
          </w:p>
        </w:tc>
        <w:tc>
          <w:tcPr>
            <w:tcW w:w="1062" w:type="dxa"/>
            <w:tcBorders>
              <w:top w:val="nil"/>
              <w:left w:val="nil"/>
              <w:bottom w:val="single" w:sz="4" w:space="0" w:color="auto"/>
              <w:right w:val="single" w:sz="4" w:space="0" w:color="auto"/>
            </w:tcBorders>
            <w:shd w:val="clear" w:color="auto" w:fill="auto"/>
            <w:noWrap/>
            <w:vAlign w:val="center"/>
            <w:hideMark/>
          </w:tcPr>
          <w:p w14:paraId="6EF71CB2" w14:textId="03B71FBD" w:rsidR="00BA6C21" w:rsidRPr="00BA6C21" w:rsidRDefault="535062B3" w:rsidP="3328C818">
            <w:pPr>
              <w:pStyle w:val="Table-Text"/>
              <w:jc w:val="center"/>
            </w:pPr>
            <w:r>
              <w:t xml:space="preserve"> $   1,148,220 </w:t>
            </w:r>
          </w:p>
        </w:tc>
        <w:tc>
          <w:tcPr>
            <w:tcW w:w="1130" w:type="dxa"/>
            <w:tcBorders>
              <w:top w:val="nil"/>
              <w:left w:val="nil"/>
              <w:bottom w:val="single" w:sz="4" w:space="0" w:color="auto"/>
              <w:right w:val="single" w:sz="4" w:space="0" w:color="auto"/>
            </w:tcBorders>
            <w:shd w:val="clear" w:color="auto" w:fill="auto"/>
            <w:noWrap/>
            <w:vAlign w:val="center"/>
            <w:hideMark/>
          </w:tcPr>
          <w:p w14:paraId="1914CC35" w14:textId="48C2AFD4" w:rsidR="00BA6C21" w:rsidRPr="00BA6C21" w:rsidRDefault="535062B3" w:rsidP="3328C818">
            <w:pPr>
              <w:pStyle w:val="Table-Text"/>
              <w:jc w:val="center"/>
            </w:pPr>
            <w:r>
              <w:t xml:space="preserve"> $    3,112,202 </w:t>
            </w:r>
          </w:p>
        </w:tc>
        <w:tc>
          <w:tcPr>
            <w:tcW w:w="1130" w:type="dxa"/>
            <w:tcBorders>
              <w:top w:val="nil"/>
              <w:left w:val="nil"/>
              <w:bottom w:val="single" w:sz="4" w:space="0" w:color="auto"/>
              <w:right w:val="single" w:sz="4" w:space="0" w:color="auto"/>
            </w:tcBorders>
            <w:shd w:val="clear" w:color="auto" w:fill="auto"/>
            <w:noWrap/>
            <w:vAlign w:val="center"/>
            <w:hideMark/>
          </w:tcPr>
          <w:p w14:paraId="4DEAC453" w14:textId="7C2090EB" w:rsidR="00BA6C21" w:rsidRPr="00BA6C21" w:rsidRDefault="535062B3" w:rsidP="3328C818">
            <w:pPr>
              <w:pStyle w:val="Table-Text"/>
              <w:jc w:val="center"/>
            </w:pPr>
            <w:r>
              <w:t xml:space="preserve"> $   4,260,422 </w:t>
            </w:r>
          </w:p>
        </w:tc>
        <w:tc>
          <w:tcPr>
            <w:tcW w:w="1130" w:type="dxa"/>
            <w:tcBorders>
              <w:top w:val="nil"/>
              <w:left w:val="nil"/>
              <w:bottom w:val="single" w:sz="4" w:space="0" w:color="auto"/>
              <w:right w:val="single" w:sz="8" w:space="0" w:color="auto"/>
            </w:tcBorders>
            <w:shd w:val="clear" w:color="auto" w:fill="auto"/>
            <w:noWrap/>
            <w:vAlign w:val="center"/>
            <w:hideMark/>
          </w:tcPr>
          <w:p w14:paraId="427A9166" w14:textId="723FFD3D" w:rsidR="00BA6C21" w:rsidRPr="00BA6C21" w:rsidRDefault="535062B3" w:rsidP="3328C818">
            <w:pPr>
              <w:pStyle w:val="Table-Text"/>
              <w:jc w:val="center"/>
            </w:pPr>
            <w:r>
              <w:t xml:space="preserve"> $   4,979,779 </w:t>
            </w:r>
          </w:p>
        </w:tc>
      </w:tr>
      <w:tr w:rsidR="00557C5F" w:rsidRPr="00BA6C21" w14:paraId="6ED9FECF"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7EC520FB" w14:textId="77777777" w:rsidR="00BA6C21" w:rsidRPr="00BA6C21" w:rsidRDefault="00BA6C21" w:rsidP="00541741">
            <w:pPr>
              <w:pStyle w:val="Table-Text"/>
            </w:pPr>
            <w:r w:rsidRPr="00BA6C21">
              <w:t>Uncontrolled NOx Emissions (Tons/</w:t>
            </w:r>
            <w:proofErr w:type="spellStart"/>
            <w:r w:rsidRPr="00BA6C21">
              <w:t>yr</w:t>
            </w:r>
            <w:proofErr w:type="spellEnd"/>
            <w:r w:rsidRPr="00BA6C21">
              <w:t>)</w:t>
            </w:r>
          </w:p>
        </w:tc>
        <w:tc>
          <w:tcPr>
            <w:tcW w:w="1130" w:type="dxa"/>
            <w:tcBorders>
              <w:top w:val="nil"/>
              <w:left w:val="nil"/>
              <w:bottom w:val="single" w:sz="4" w:space="0" w:color="auto"/>
              <w:right w:val="single" w:sz="4" w:space="0" w:color="auto"/>
            </w:tcBorders>
            <w:shd w:val="clear" w:color="auto" w:fill="auto"/>
            <w:noWrap/>
            <w:vAlign w:val="center"/>
            <w:hideMark/>
          </w:tcPr>
          <w:p w14:paraId="6B8F4613" w14:textId="77777777" w:rsidR="00BA6C21" w:rsidRPr="00BA6C21" w:rsidRDefault="535062B3" w:rsidP="3328C818">
            <w:pPr>
              <w:pStyle w:val="Table-Text"/>
              <w:jc w:val="center"/>
            </w:pPr>
            <w:r>
              <w:t>909</w:t>
            </w:r>
          </w:p>
        </w:tc>
        <w:tc>
          <w:tcPr>
            <w:tcW w:w="1130" w:type="dxa"/>
            <w:tcBorders>
              <w:top w:val="nil"/>
              <w:left w:val="nil"/>
              <w:bottom w:val="single" w:sz="4" w:space="0" w:color="auto"/>
              <w:right w:val="single" w:sz="4" w:space="0" w:color="auto"/>
            </w:tcBorders>
            <w:shd w:val="clear" w:color="auto" w:fill="auto"/>
            <w:noWrap/>
            <w:vAlign w:val="center"/>
            <w:hideMark/>
          </w:tcPr>
          <w:p w14:paraId="728041B5" w14:textId="77777777" w:rsidR="00BA6C21" w:rsidRPr="00BA6C21" w:rsidRDefault="535062B3" w:rsidP="3328C818">
            <w:pPr>
              <w:pStyle w:val="Table-Text"/>
              <w:jc w:val="center"/>
            </w:pPr>
            <w:r>
              <w:t>909</w:t>
            </w:r>
          </w:p>
        </w:tc>
        <w:tc>
          <w:tcPr>
            <w:tcW w:w="1062" w:type="dxa"/>
            <w:tcBorders>
              <w:top w:val="nil"/>
              <w:left w:val="nil"/>
              <w:bottom w:val="single" w:sz="4" w:space="0" w:color="auto"/>
              <w:right w:val="single" w:sz="4" w:space="0" w:color="auto"/>
            </w:tcBorders>
            <w:shd w:val="clear" w:color="auto" w:fill="auto"/>
            <w:noWrap/>
            <w:vAlign w:val="center"/>
            <w:hideMark/>
          </w:tcPr>
          <w:p w14:paraId="3D65B1DE" w14:textId="77777777" w:rsidR="00BA6C21" w:rsidRPr="00BA6C21" w:rsidRDefault="535062B3" w:rsidP="3328C818">
            <w:pPr>
              <w:pStyle w:val="Table-Text"/>
              <w:jc w:val="center"/>
            </w:pPr>
            <w:r>
              <w:t>77.05710326</w:t>
            </w:r>
          </w:p>
        </w:tc>
        <w:tc>
          <w:tcPr>
            <w:tcW w:w="1130" w:type="dxa"/>
            <w:tcBorders>
              <w:top w:val="nil"/>
              <w:left w:val="nil"/>
              <w:bottom w:val="single" w:sz="4" w:space="0" w:color="auto"/>
              <w:right w:val="single" w:sz="4" w:space="0" w:color="auto"/>
            </w:tcBorders>
            <w:shd w:val="clear" w:color="auto" w:fill="auto"/>
            <w:noWrap/>
            <w:vAlign w:val="center"/>
            <w:hideMark/>
          </w:tcPr>
          <w:p w14:paraId="016567E5" w14:textId="77777777" w:rsidR="00BA6C21" w:rsidRPr="00BA6C21" w:rsidRDefault="535062B3" w:rsidP="3328C818">
            <w:pPr>
              <w:pStyle w:val="Table-Text"/>
              <w:jc w:val="center"/>
            </w:pPr>
            <w:r>
              <w:t>986.0571033</w:t>
            </w:r>
          </w:p>
        </w:tc>
        <w:tc>
          <w:tcPr>
            <w:tcW w:w="1130" w:type="dxa"/>
            <w:tcBorders>
              <w:top w:val="nil"/>
              <w:left w:val="nil"/>
              <w:bottom w:val="single" w:sz="4" w:space="0" w:color="auto"/>
              <w:right w:val="single" w:sz="4" w:space="0" w:color="auto"/>
            </w:tcBorders>
            <w:shd w:val="clear" w:color="auto" w:fill="auto"/>
            <w:noWrap/>
            <w:vAlign w:val="center"/>
            <w:hideMark/>
          </w:tcPr>
          <w:p w14:paraId="2A4F724B" w14:textId="77777777" w:rsidR="00BA6C21" w:rsidRPr="00BA6C21" w:rsidRDefault="535062B3" w:rsidP="3328C818">
            <w:pPr>
              <w:pStyle w:val="Table-Text"/>
              <w:jc w:val="center"/>
            </w:pPr>
            <w:r>
              <w:t>909</w:t>
            </w:r>
          </w:p>
        </w:tc>
        <w:tc>
          <w:tcPr>
            <w:tcW w:w="1130" w:type="dxa"/>
            <w:tcBorders>
              <w:top w:val="nil"/>
              <w:left w:val="nil"/>
              <w:bottom w:val="single" w:sz="4" w:space="0" w:color="auto"/>
              <w:right w:val="single" w:sz="8" w:space="0" w:color="auto"/>
            </w:tcBorders>
            <w:shd w:val="clear" w:color="auto" w:fill="auto"/>
            <w:noWrap/>
            <w:vAlign w:val="center"/>
            <w:hideMark/>
          </w:tcPr>
          <w:p w14:paraId="44E06045" w14:textId="77777777" w:rsidR="00BA6C21" w:rsidRPr="00BA6C21" w:rsidRDefault="535062B3" w:rsidP="3328C818">
            <w:pPr>
              <w:pStyle w:val="Table-Text"/>
              <w:jc w:val="center"/>
            </w:pPr>
            <w:r>
              <w:t>909</w:t>
            </w:r>
          </w:p>
        </w:tc>
      </w:tr>
      <w:tr w:rsidR="00557C5F" w:rsidRPr="00BA6C21" w14:paraId="3E5BB6BE"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3C113526" w14:textId="77777777" w:rsidR="00BA6C21" w:rsidRPr="00BA6C21" w:rsidRDefault="00BA6C21" w:rsidP="00541741">
            <w:pPr>
              <w:pStyle w:val="Table-Text"/>
            </w:pPr>
            <w:r w:rsidRPr="00BA6C21">
              <w:t>Uncontrolled NOx Emission Rate (</w:t>
            </w:r>
            <w:proofErr w:type="spellStart"/>
            <w:r w:rsidRPr="00BA6C21">
              <w:t>lb</w:t>
            </w:r>
            <w:proofErr w:type="spellEnd"/>
            <w:r w:rsidRPr="00BA6C21">
              <w:t>/</w:t>
            </w:r>
            <w:proofErr w:type="spellStart"/>
            <w:r w:rsidRPr="00BA6C21">
              <w:t>mmbtu</w:t>
            </w:r>
            <w:proofErr w:type="spellEnd"/>
            <w:r w:rsidRPr="00BA6C21">
              <w:t>)</w:t>
            </w:r>
          </w:p>
        </w:tc>
        <w:tc>
          <w:tcPr>
            <w:tcW w:w="1130" w:type="dxa"/>
            <w:tcBorders>
              <w:top w:val="nil"/>
              <w:left w:val="nil"/>
              <w:bottom w:val="single" w:sz="4" w:space="0" w:color="auto"/>
              <w:right w:val="single" w:sz="4" w:space="0" w:color="auto"/>
            </w:tcBorders>
            <w:shd w:val="clear" w:color="auto" w:fill="auto"/>
            <w:noWrap/>
            <w:vAlign w:val="center"/>
            <w:hideMark/>
          </w:tcPr>
          <w:p w14:paraId="7B30C6A5" w14:textId="77777777" w:rsidR="00BA6C21" w:rsidRPr="00BA6C21" w:rsidRDefault="535062B3" w:rsidP="3328C818">
            <w:pPr>
              <w:pStyle w:val="Table-Text"/>
              <w:jc w:val="center"/>
            </w:pPr>
            <w:r>
              <w:t>0.59</w:t>
            </w:r>
          </w:p>
        </w:tc>
        <w:tc>
          <w:tcPr>
            <w:tcW w:w="1130" w:type="dxa"/>
            <w:tcBorders>
              <w:top w:val="nil"/>
              <w:left w:val="nil"/>
              <w:bottom w:val="single" w:sz="4" w:space="0" w:color="auto"/>
              <w:right w:val="single" w:sz="4" w:space="0" w:color="auto"/>
            </w:tcBorders>
            <w:shd w:val="clear" w:color="auto" w:fill="auto"/>
            <w:noWrap/>
            <w:vAlign w:val="center"/>
            <w:hideMark/>
          </w:tcPr>
          <w:p w14:paraId="1941B1F6" w14:textId="77777777" w:rsidR="00BA6C21" w:rsidRPr="00BA6C21" w:rsidRDefault="535062B3" w:rsidP="3328C818">
            <w:pPr>
              <w:pStyle w:val="Table-Text"/>
              <w:jc w:val="center"/>
            </w:pPr>
            <w:r>
              <w:t>0.59</w:t>
            </w:r>
          </w:p>
        </w:tc>
        <w:tc>
          <w:tcPr>
            <w:tcW w:w="1062" w:type="dxa"/>
            <w:tcBorders>
              <w:top w:val="nil"/>
              <w:left w:val="nil"/>
              <w:bottom w:val="single" w:sz="4" w:space="0" w:color="auto"/>
              <w:right w:val="single" w:sz="4" w:space="0" w:color="auto"/>
            </w:tcBorders>
            <w:shd w:val="clear" w:color="auto" w:fill="auto"/>
            <w:noWrap/>
            <w:vAlign w:val="center"/>
            <w:hideMark/>
          </w:tcPr>
          <w:p w14:paraId="0854F453" w14:textId="77777777" w:rsidR="00BA6C21" w:rsidRPr="00BA6C21" w:rsidRDefault="535062B3" w:rsidP="3328C818">
            <w:pPr>
              <w:pStyle w:val="Table-Text"/>
              <w:jc w:val="center"/>
            </w:pPr>
            <w:r>
              <w:t>0.10</w:t>
            </w:r>
          </w:p>
        </w:tc>
        <w:tc>
          <w:tcPr>
            <w:tcW w:w="1130" w:type="dxa"/>
            <w:tcBorders>
              <w:top w:val="nil"/>
              <w:left w:val="nil"/>
              <w:bottom w:val="single" w:sz="4" w:space="0" w:color="auto"/>
              <w:right w:val="single" w:sz="4" w:space="0" w:color="auto"/>
            </w:tcBorders>
            <w:shd w:val="clear" w:color="auto" w:fill="auto"/>
            <w:noWrap/>
            <w:vAlign w:val="center"/>
            <w:hideMark/>
          </w:tcPr>
          <w:p w14:paraId="3E2DD258" w14:textId="77777777" w:rsidR="00BA6C21" w:rsidRPr="00BA6C21" w:rsidRDefault="535062B3" w:rsidP="3328C818">
            <w:pPr>
              <w:pStyle w:val="Table-Text"/>
              <w:jc w:val="center"/>
            </w:pPr>
            <w:r>
              <w:t>0.42</w:t>
            </w:r>
          </w:p>
        </w:tc>
        <w:tc>
          <w:tcPr>
            <w:tcW w:w="1130" w:type="dxa"/>
            <w:tcBorders>
              <w:top w:val="nil"/>
              <w:left w:val="nil"/>
              <w:bottom w:val="single" w:sz="4" w:space="0" w:color="auto"/>
              <w:right w:val="single" w:sz="4" w:space="0" w:color="auto"/>
            </w:tcBorders>
            <w:shd w:val="clear" w:color="auto" w:fill="auto"/>
            <w:noWrap/>
            <w:vAlign w:val="center"/>
            <w:hideMark/>
          </w:tcPr>
          <w:p w14:paraId="7EEB4AAA" w14:textId="77777777" w:rsidR="00BA6C21" w:rsidRPr="00BA6C21" w:rsidRDefault="535062B3" w:rsidP="3328C818">
            <w:pPr>
              <w:pStyle w:val="Table-Text"/>
              <w:jc w:val="center"/>
            </w:pPr>
            <w:r>
              <w:t> </w:t>
            </w:r>
          </w:p>
        </w:tc>
        <w:tc>
          <w:tcPr>
            <w:tcW w:w="1130" w:type="dxa"/>
            <w:tcBorders>
              <w:top w:val="nil"/>
              <w:left w:val="nil"/>
              <w:bottom w:val="single" w:sz="4" w:space="0" w:color="auto"/>
              <w:right w:val="single" w:sz="8" w:space="0" w:color="auto"/>
            </w:tcBorders>
            <w:shd w:val="clear" w:color="auto" w:fill="auto"/>
            <w:noWrap/>
            <w:vAlign w:val="center"/>
            <w:hideMark/>
          </w:tcPr>
          <w:p w14:paraId="239C4DA7" w14:textId="77777777" w:rsidR="00BA6C21" w:rsidRPr="00BA6C21" w:rsidRDefault="535062B3" w:rsidP="3328C818">
            <w:pPr>
              <w:pStyle w:val="Table-Text"/>
              <w:jc w:val="center"/>
            </w:pPr>
            <w:r>
              <w:t>0.59</w:t>
            </w:r>
          </w:p>
        </w:tc>
      </w:tr>
      <w:tr w:rsidR="00557C5F" w:rsidRPr="00BA6C21" w14:paraId="5925BCFD"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5F7E5DE7" w14:textId="77777777" w:rsidR="00BA6C21" w:rsidRPr="00BA6C21" w:rsidRDefault="00BA6C21" w:rsidP="00541741">
            <w:pPr>
              <w:pStyle w:val="Table-Text"/>
            </w:pPr>
            <w:r w:rsidRPr="00BA6C21">
              <w:t>NOx Removal Efficiency (%)</w:t>
            </w:r>
          </w:p>
        </w:tc>
        <w:tc>
          <w:tcPr>
            <w:tcW w:w="1130" w:type="dxa"/>
            <w:tcBorders>
              <w:top w:val="nil"/>
              <w:left w:val="nil"/>
              <w:bottom w:val="single" w:sz="4" w:space="0" w:color="auto"/>
              <w:right w:val="single" w:sz="4" w:space="0" w:color="auto"/>
            </w:tcBorders>
            <w:shd w:val="clear" w:color="auto" w:fill="auto"/>
            <w:noWrap/>
            <w:vAlign w:val="center"/>
            <w:hideMark/>
          </w:tcPr>
          <w:p w14:paraId="0DE560AE" w14:textId="77777777" w:rsidR="00BA6C21" w:rsidRPr="00BA6C21" w:rsidRDefault="535062B3" w:rsidP="3328C818">
            <w:pPr>
              <w:pStyle w:val="Table-Text"/>
              <w:jc w:val="center"/>
            </w:pPr>
            <w:r>
              <w:t>89.8</w:t>
            </w:r>
          </w:p>
        </w:tc>
        <w:tc>
          <w:tcPr>
            <w:tcW w:w="1130" w:type="dxa"/>
            <w:tcBorders>
              <w:top w:val="nil"/>
              <w:left w:val="nil"/>
              <w:bottom w:val="single" w:sz="4" w:space="0" w:color="auto"/>
              <w:right w:val="single" w:sz="4" w:space="0" w:color="auto"/>
            </w:tcBorders>
            <w:shd w:val="clear" w:color="auto" w:fill="auto"/>
            <w:noWrap/>
            <w:vAlign w:val="center"/>
            <w:hideMark/>
          </w:tcPr>
          <w:p w14:paraId="33BAAD0F" w14:textId="77777777" w:rsidR="00BA6C21" w:rsidRPr="00BA6C21" w:rsidRDefault="535062B3" w:rsidP="3328C818">
            <w:pPr>
              <w:pStyle w:val="Table-Text"/>
              <w:jc w:val="center"/>
            </w:pPr>
            <w:r>
              <w:t>91.5</w:t>
            </w:r>
          </w:p>
        </w:tc>
        <w:tc>
          <w:tcPr>
            <w:tcW w:w="1062" w:type="dxa"/>
            <w:tcBorders>
              <w:top w:val="nil"/>
              <w:left w:val="nil"/>
              <w:bottom w:val="single" w:sz="4" w:space="0" w:color="auto"/>
              <w:right w:val="single" w:sz="4" w:space="0" w:color="auto"/>
            </w:tcBorders>
            <w:shd w:val="clear" w:color="auto" w:fill="auto"/>
            <w:noWrap/>
            <w:vAlign w:val="center"/>
            <w:hideMark/>
          </w:tcPr>
          <w:p w14:paraId="1B8DD49F" w14:textId="77777777" w:rsidR="00BA6C21" w:rsidRPr="00BA6C21" w:rsidRDefault="535062B3" w:rsidP="3328C818">
            <w:pPr>
              <w:pStyle w:val="Table-Text"/>
              <w:jc w:val="center"/>
            </w:pPr>
            <w:r>
              <w:t>89.8</w:t>
            </w:r>
          </w:p>
        </w:tc>
        <w:tc>
          <w:tcPr>
            <w:tcW w:w="1130" w:type="dxa"/>
            <w:tcBorders>
              <w:top w:val="nil"/>
              <w:left w:val="nil"/>
              <w:bottom w:val="single" w:sz="4" w:space="0" w:color="auto"/>
              <w:right w:val="single" w:sz="4" w:space="0" w:color="auto"/>
            </w:tcBorders>
            <w:shd w:val="clear" w:color="auto" w:fill="auto"/>
            <w:noWrap/>
            <w:vAlign w:val="center"/>
            <w:hideMark/>
          </w:tcPr>
          <w:p w14:paraId="2B2285C5" w14:textId="77777777" w:rsidR="00BA6C21" w:rsidRPr="00BA6C21" w:rsidRDefault="535062B3" w:rsidP="3328C818">
            <w:pPr>
              <w:pStyle w:val="Table-Text"/>
              <w:jc w:val="center"/>
            </w:pPr>
            <w:r>
              <w:t>88.1</w:t>
            </w:r>
          </w:p>
        </w:tc>
        <w:tc>
          <w:tcPr>
            <w:tcW w:w="1130" w:type="dxa"/>
            <w:tcBorders>
              <w:top w:val="nil"/>
              <w:left w:val="nil"/>
              <w:bottom w:val="single" w:sz="4" w:space="0" w:color="auto"/>
              <w:right w:val="single" w:sz="4" w:space="0" w:color="auto"/>
            </w:tcBorders>
            <w:shd w:val="clear" w:color="auto" w:fill="auto"/>
            <w:noWrap/>
            <w:vAlign w:val="center"/>
            <w:hideMark/>
          </w:tcPr>
          <w:p w14:paraId="66729E45" w14:textId="77777777" w:rsidR="00BA6C21" w:rsidRPr="00BA6C21" w:rsidRDefault="535062B3" w:rsidP="3328C818">
            <w:pPr>
              <w:pStyle w:val="Table-Text"/>
              <w:jc w:val="center"/>
            </w:pPr>
            <w:r>
              <w:t> </w:t>
            </w:r>
          </w:p>
        </w:tc>
        <w:tc>
          <w:tcPr>
            <w:tcW w:w="1130" w:type="dxa"/>
            <w:tcBorders>
              <w:top w:val="nil"/>
              <w:left w:val="nil"/>
              <w:bottom w:val="single" w:sz="4" w:space="0" w:color="auto"/>
              <w:right w:val="single" w:sz="8" w:space="0" w:color="auto"/>
            </w:tcBorders>
            <w:shd w:val="clear" w:color="auto" w:fill="auto"/>
            <w:noWrap/>
            <w:vAlign w:val="center"/>
            <w:hideMark/>
          </w:tcPr>
          <w:p w14:paraId="562EB6C0" w14:textId="77777777" w:rsidR="00BA6C21" w:rsidRPr="00BA6C21" w:rsidRDefault="535062B3" w:rsidP="3328C818">
            <w:pPr>
              <w:pStyle w:val="Table-Text"/>
              <w:jc w:val="center"/>
            </w:pPr>
            <w:r>
              <w:t>91.5</w:t>
            </w:r>
          </w:p>
        </w:tc>
      </w:tr>
      <w:tr w:rsidR="00557C5F" w:rsidRPr="00BA6C21" w14:paraId="46563A02"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17D01C91" w14:textId="77777777" w:rsidR="00BA6C21" w:rsidRPr="00BA6C21" w:rsidRDefault="00BA6C21" w:rsidP="00541741">
            <w:pPr>
              <w:pStyle w:val="Table-Text"/>
            </w:pPr>
            <w:r w:rsidRPr="00BA6C21">
              <w:t>Controlled NOx Emission Rate (</w:t>
            </w:r>
            <w:proofErr w:type="spellStart"/>
            <w:r w:rsidRPr="00BA6C21">
              <w:t>lb</w:t>
            </w:r>
            <w:proofErr w:type="spellEnd"/>
            <w:r w:rsidRPr="00BA6C21">
              <w:t>/</w:t>
            </w:r>
            <w:proofErr w:type="spellStart"/>
            <w:r w:rsidRPr="00BA6C21">
              <w:t>mmbtu</w:t>
            </w:r>
            <w:proofErr w:type="spellEnd"/>
            <w:r w:rsidRPr="00BA6C21">
              <w:t>)</w:t>
            </w:r>
          </w:p>
        </w:tc>
        <w:tc>
          <w:tcPr>
            <w:tcW w:w="1130" w:type="dxa"/>
            <w:tcBorders>
              <w:top w:val="nil"/>
              <w:left w:val="nil"/>
              <w:bottom w:val="single" w:sz="4" w:space="0" w:color="auto"/>
              <w:right w:val="single" w:sz="4" w:space="0" w:color="auto"/>
            </w:tcBorders>
            <w:shd w:val="clear" w:color="auto" w:fill="auto"/>
            <w:noWrap/>
            <w:vAlign w:val="center"/>
            <w:hideMark/>
          </w:tcPr>
          <w:p w14:paraId="25E4944F" w14:textId="77777777" w:rsidR="00BA6C21" w:rsidRPr="00BA6C21" w:rsidRDefault="535062B3" w:rsidP="3328C818">
            <w:pPr>
              <w:pStyle w:val="Table-Text"/>
              <w:jc w:val="center"/>
            </w:pPr>
            <w:r>
              <w:t>0.06</w:t>
            </w:r>
          </w:p>
        </w:tc>
        <w:tc>
          <w:tcPr>
            <w:tcW w:w="1130" w:type="dxa"/>
            <w:tcBorders>
              <w:top w:val="nil"/>
              <w:left w:val="nil"/>
              <w:bottom w:val="single" w:sz="4" w:space="0" w:color="auto"/>
              <w:right w:val="single" w:sz="4" w:space="0" w:color="auto"/>
            </w:tcBorders>
            <w:shd w:val="clear" w:color="auto" w:fill="auto"/>
            <w:noWrap/>
            <w:vAlign w:val="center"/>
            <w:hideMark/>
          </w:tcPr>
          <w:p w14:paraId="4D1A65ED" w14:textId="77777777" w:rsidR="00BA6C21" w:rsidRPr="00BA6C21" w:rsidRDefault="535062B3" w:rsidP="3328C818">
            <w:pPr>
              <w:pStyle w:val="Table-Text"/>
              <w:jc w:val="center"/>
            </w:pPr>
            <w:r>
              <w:t>0.05</w:t>
            </w:r>
          </w:p>
        </w:tc>
        <w:tc>
          <w:tcPr>
            <w:tcW w:w="1062" w:type="dxa"/>
            <w:tcBorders>
              <w:top w:val="nil"/>
              <w:left w:val="nil"/>
              <w:bottom w:val="single" w:sz="4" w:space="0" w:color="auto"/>
              <w:right w:val="single" w:sz="4" w:space="0" w:color="auto"/>
            </w:tcBorders>
            <w:shd w:val="clear" w:color="auto" w:fill="auto"/>
            <w:noWrap/>
            <w:vAlign w:val="center"/>
            <w:hideMark/>
          </w:tcPr>
          <w:p w14:paraId="08C51D07" w14:textId="77777777" w:rsidR="00BA6C21" w:rsidRPr="00BA6C21" w:rsidRDefault="535062B3" w:rsidP="3328C818">
            <w:pPr>
              <w:pStyle w:val="Table-Text"/>
              <w:jc w:val="center"/>
            </w:pPr>
            <w:r>
              <w:t> </w:t>
            </w:r>
          </w:p>
        </w:tc>
        <w:tc>
          <w:tcPr>
            <w:tcW w:w="1130" w:type="dxa"/>
            <w:tcBorders>
              <w:top w:val="nil"/>
              <w:left w:val="nil"/>
              <w:bottom w:val="single" w:sz="4" w:space="0" w:color="auto"/>
              <w:right w:val="single" w:sz="4" w:space="0" w:color="auto"/>
            </w:tcBorders>
            <w:shd w:val="clear" w:color="auto" w:fill="auto"/>
            <w:noWrap/>
            <w:vAlign w:val="center"/>
            <w:hideMark/>
          </w:tcPr>
          <w:p w14:paraId="0CF7468D" w14:textId="77777777" w:rsidR="00BA6C21" w:rsidRPr="00BA6C21" w:rsidRDefault="535062B3" w:rsidP="3328C818">
            <w:pPr>
              <w:pStyle w:val="Table-Text"/>
              <w:jc w:val="center"/>
            </w:pPr>
            <w:r>
              <w:t>0.05</w:t>
            </w:r>
          </w:p>
        </w:tc>
        <w:tc>
          <w:tcPr>
            <w:tcW w:w="1130" w:type="dxa"/>
            <w:tcBorders>
              <w:top w:val="nil"/>
              <w:left w:val="nil"/>
              <w:bottom w:val="single" w:sz="4" w:space="0" w:color="auto"/>
              <w:right w:val="single" w:sz="4" w:space="0" w:color="auto"/>
            </w:tcBorders>
            <w:shd w:val="clear" w:color="auto" w:fill="auto"/>
            <w:noWrap/>
            <w:vAlign w:val="center"/>
            <w:hideMark/>
          </w:tcPr>
          <w:p w14:paraId="055A3AC3" w14:textId="77777777" w:rsidR="00BA6C21" w:rsidRPr="00BA6C21" w:rsidRDefault="535062B3" w:rsidP="3328C818">
            <w:pPr>
              <w:pStyle w:val="Table-Text"/>
              <w:jc w:val="center"/>
            </w:pPr>
            <w:r>
              <w:t> </w:t>
            </w:r>
          </w:p>
        </w:tc>
        <w:tc>
          <w:tcPr>
            <w:tcW w:w="1130" w:type="dxa"/>
            <w:tcBorders>
              <w:top w:val="nil"/>
              <w:left w:val="nil"/>
              <w:bottom w:val="single" w:sz="4" w:space="0" w:color="auto"/>
              <w:right w:val="single" w:sz="8" w:space="0" w:color="auto"/>
            </w:tcBorders>
            <w:shd w:val="clear" w:color="auto" w:fill="auto"/>
            <w:noWrap/>
            <w:vAlign w:val="center"/>
            <w:hideMark/>
          </w:tcPr>
          <w:p w14:paraId="718CEC68" w14:textId="77777777" w:rsidR="00BA6C21" w:rsidRPr="00BA6C21" w:rsidRDefault="535062B3" w:rsidP="3328C818">
            <w:pPr>
              <w:pStyle w:val="Table-Text"/>
              <w:jc w:val="center"/>
            </w:pPr>
            <w:r>
              <w:t>0.05</w:t>
            </w:r>
          </w:p>
        </w:tc>
      </w:tr>
      <w:tr w:rsidR="00557C5F" w:rsidRPr="00BA6C21" w14:paraId="6BD9E756"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74FC2BAD" w14:textId="77777777" w:rsidR="00BA6C21" w:rsidRPr="00BA6C21" w:rsidRDefault="00BA6C21" w:rsidP="00541741">
            <w:pPr>
              <w:pStyle w:val="Table-Text"/>
            </w:pPr>
            <w:r w:rsidRPr="00BA6C21">
              <w:t>Tons Remaining</w:t>
            </w:r>
          </w:p>
        </w:tc>
        <w:tc>
          <w:tcPr>
            <w:tcW w:w="1130" w:type="dxa"/>
            <w:tcBorders>
              <w:top w:val="nil"/>
              <w:left w:val="nil"/>
              <w:bottom w:val="single" w:sz="4" w:space="0" w:color="auto"/>
              <w:right w:val="single" w:sz="4" w:space="0" w:color="auto"/>
            </w:tcBorders>
            <w:shd w:val="clear" w:color="auto" w:fill="auto"/>
            <w:noWrap/>
            <w:vAlign w:val="center"/>
            <w:hideMark/>
          </w:tcPr>
          <w:p w14:paraId="09247A98" w14:textId="4307C58E" w:rsidR="00BA6C21" w:rsidRPr="00BA6C21" w:rsidRDefault="535062B3" w:rsidP="3328C818">
            <w:pPr>
              <w:pStyle w:val="Table-Text"/>
              <w:jc w:val="center"/>
            </w:pPr>
            <w:r>
              <w:t xml:space="preserve">92 </w:t>
            </w:r>
          </w:p>
        </w:tc>
        <w:tc>
          <w:tcPr>
            <w:tcW w:w="1130" w:type="dxa"/>
            <w:tcBorders>
              <w:top w:val="nil"/>
              <w:left w:val="nil"/>
              <w:bottom w:val="single" w:sz="4" w:space="0" w:color="auto"/>
              <w:right w:val="single" w:sz="4" w:space="0" w:color="auto"/>
            </w:tcBorders>
            <w:shd w:val="clear" w:color="auto" w:fill="auto"/>
            <w:noWrap/>
            <w:vAlign w:val="center"/>
            <w:hideMark/>
          </w:tcPr>
          <w:p w14:paraId="577FDEAD" w14:textId="77777777" w:rsidR="00BA6C21" w:rsidRPr="00BA6C21" w:rsidRDefault="535062B3" w:rsidP="3328C818">
            <w:pPr>
              <w:pStyle w:val="Table-Text"/>
              <w:jc w:val="center"/>
            </w:pPr>
            <w:r>
              <w:t> </w:t>
            </w:r>
          </w:p>
        </w:tc>
        <w:tc>
          <w:tcPr>
            <w:tcW w:w="1062" w:type="dxa"/>
            <w:tcBorders>
              <w:top w:val="nil"/>
              <w:left w:val="nil"/>
              <w:bottom w:val="single" w:sz="4" w:space="0" w:color="auto"/>
              <w:right w:val="single" w:sz="4" w:space="0" w:color="auto"/>
            </w:tcBorders>
            <w:shd w:val="clear" w:color="auto" w:fill="auto"/>
            <w:noWrap/>
            <w:vAlign w:val="center"/>
            <w:hideMark/>
          </w:tcPr>
          <w:p w14:paraId="5F8E7B4C" w14:textId="1C32A9F6" w:rsidR="00BA6C21" w:rsidRPr="00BA6C21" w:rsidRDefault="535062B3" w:rsidP="3328C818">
            <w:pPr>
              <w:pStyle w:val="Table-Text"/>
              <w:jc w:val="center"/>
            </w:pPr>
            <w:r>
              <w:t xml:space="preserve">8 </w:t>
            </w:r>
          </w:p>
        </w:tc>
        <w:tc>
          <w:tcPr>
            <w:tcW w:w="1130" w:type="dxa"/>
            <w:tcBorders>
              <w:top w:val="nil"/>
              <w:left w:val="nil"/>
              <w:bottom w:val="single" w:sz="4" w:space="0" w:color="auto"/>
              <w:right w:val="single" w:sz="4" w:space="0" w:color="auto"/>
            </w:tcBorders>
            <w:shd w:val="clear" w:color="auto" w:fill="auto"/>
            <w:noWrap/>
            <w:vAlign w:val="center"/>
            <w:hideMark/>
          </w:tcPr>
          <w:p w14:paraId="781CF463" w14:textId="5EAEFFE2" w:rsidR="00BA6C21" w:rsidRPr="00BA6C21" w:rsidRDefault="535062B3" w:rsidP="3328C818">
            <w:pPr>
              <w:pStyle w:val="Table-Text"/>
              <w:jc w:val="center"/>
            </w:pPr>
            <w:r>
              <w:t xml:space="preserve">117 </w:t>
            </w:r>
          </w:p>
        </w:tc>
        <w:tc>
          <w:tcPr>
            <w:tcW w:w="1130" w:type="dxa"/>
            <w:tcBorders>
              <w:top w:val="nil"/>
              <w:left w:val="nil"/>
              <w:bottom w:val="single" w:sz="4" w:space="0" w:color="auto"/>
              <w:right w:val="single" w:sz="4" w:space="0" w:color="auto"/>
            </w:tcBorders>
            <w:shd w:val="clear" w:color="auto" w:fill="auto"/>
            <w:noWrap/>
            <w:vAlign w:val="center"/>
            <w:hideMark/>
          </w:tcPr>
          <w:p w14:paraId="09D87BBF" w14:textId="7A9B5FCF" w:rsidR="00BA6C21" w:rsidRPr="00BA6C21" w:rsidRDefault="535062B3" w:rsidP="3328C818">
            <w:pPr>
              <w:pStyle w:val="Table-Text"/>
              <w:jc w:val="center"/>
            </w:pPr>
            <w:r>
              <w:t xml:space="preserve">117 </w:t>
            </w:r>
          </w:p>
        </w:tc>
        <w:tc>
          <w:tcPr>
            <w:tcW w:w="1130" w:type="dxa"/>
            <w:tcBorders>
              <w:top w:val="nil"/>
              <w:left w:val="nil"/>
              <w:bottom w:val="single" w:sz="4" w:space="0" w:color="auto"/>
              <w:right w:val="single" w:sz="8" w:space="0" w:color="auto"/>
            </w:tcBorders>
            <w:shd w:val="clear" w:color="auto" w:fill="auto"/>
            <w:noWrap/>
            <w:vAlign w:val="center"/>
            <w:hideMark/>
          </w:tcPr>
          <w:p w14:paraId="510FF294" w14:textId="35B778D1" w:rsidR="00BA6C21" w:rsidRPr="00BA6C21" w:rsidRDefault="535062B3" w:rsidP="3328C818">
            <w:pPr>
              <w:pStyle w:val="Table-Text"/>
              <w:jc w:val="center"/>
            </w:pPr>
            <w:r>
              <w:t xml:space="preserve">77 </w:t>
            </w:r>
          </w:p>
        </w:tc>
      </w:tr>
      <w:tr w:rsidR="00557C5F" w:rsidRPr="00BA6C21" w14:paraId="5B3744C1" w14:textId="77777777" w:rsidTr="3328C818">
        <w:trPr>
          <w:trHeight w:val="29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218CCAB3" w14:textId="77777777" w:rsidR="00BA6C21" w:rsidRPr="00BA6C21" w:rsidRDefault="00BA6C21" w:rsidP="00541741">
            <w:pPr>
              <w:pStyle w:val="Table-Text"/>
            </w:pPr>
            <w:r w:rsidRPr="00BA6C21">
              <w:t>Tons Removed</w:t>
            </w:r>
          </w:p>
        </w:tc>
        <w:tc>
          <w:tcPr>
            <w:tcW w:w="1130" w:type="dxa"/>
            <w:tcBorders>
              <w:top w:val="nil"/>
              <w:left w:val="nil"/>
              <w:bottom w:val="single" w:sz="4" w:space="0" w:color="auto"/>
              <w:right w:val="single" w:sz="4" w:space="0" w:color="auto"/>
            </w:tcBorders>
            <w:shd w:val="clear" w:color="auto" w:fill="auto"/>
            <w:noWrap/>
            <w:vAlign w:val="center"/>
            <w:hideMark/>
          </w:tcPr>
          <w:p w14:paraId="314903A1" w14:textId="2457AF7E" w:rsidR="00BA6C21" w:rsidRPr="00BA6C21" w:rsidRDefault="535062B3" w:rsidP="3328C818">
            <w:pPr>
              <w:pStyle w:val="Table-Text"/>
              <w:jc w:val="center"/>
            </w:pPr>
            <w:r>
              <w:t xml:space="preserve">817 </w:t>
            </w:r>
          </w:p>
        </w:tc>
        <w:tc>
          <w:tcPr>
            <w:tcW w:w="1130" w:type="dxa"/>
            <w:tcBorders>
              <w:top w:val="nil"/>
              <w:left w:val="nil"/>
              <w:bottom w:val="single" w:sz="4" w:space="0" w:color="auto"/>
              <w:right w:val="single" w:sz="4" w:space="0" w:color="auto"/>
            </w:tcBorders>
            <w:shd w:val="clear" w:color="auto" w:fill="auto"/>
            <w:noWrap/>
            <w:vAlign w:val="center"/>
            <w:hideMark/>
          </w:tcPr>
          <w:p w14:paraId="591CFFB8" w14:textId="52F42B9F" w:rsidR="00BA6C21" w:rsidRPr="00BA6C21" w:rsidRDefault="535062B3" w:rsidP="3328C818">
            <w:pPr>
              <w:pStyle w:val="Table-Text"/>
              <w:jc w:val="center"/>
            </w:pPr>
            <w:r>
              <w:t xml:space="preserve">832 </w:t>
            </w:r>
          </w:p>
        </w:tc>
        <w:tc>
          <w:tcPr>
            <w:tcW w:w="1062" w:type="dxa"/>
            <w:tcBorders>
              <w:top w:val="nil"/>
              <w:left w:val="nil"/>
              <w:bottom w:val="single" w:sz="4" w:space="0" w:color="auto"/>
              <w:right w:val="single" w:sz="4" w:space="0" w:color="auto"/>
            </w:tcBorders>
            <w:shd w:val="clear" w:color="auto" w:fill="auto"/>
            <w:noWrap/>
            <w:vAlign w:val="center"/>
            <w:hideMark/>
          </w:tcPr>
          <w:p w14:paraId="488B1394" w14:textId="28FACEFA" w:rsidR="00BA6C21" w:rsidRPr="00BA6C21" w:rsidRDefault="535062B3" w:rsidP="3328C818">
            <w:pPr>
              <w:pStyle w:val="Table-Text"/>
              <w:jc w:val="center"/>
            </w:pPr>
            <w:r>
              <w:t xml:space="preserve">69 </w:t>
            </w:r>
          </w:p>
        </w:tc>
        <w:tc>
          <w:tcPr>
            <w:tcW w:w="1130" w:type="dxa"/>
            <w:tcBorders>
              <w:top w:val="nil"/>
              <w:left w:val="nil"/>
              <w:bottom w:val="single" w:sz="4" w:space="0" w:color="auto"/>
              <w:right w:val="single" w:sz="4" w:space="0" w:color="auto"/>
            </w:tcBorders>
            <w:shd w:val="clear" w:color="auto" w:fill="auto"/>
            <w:noWrap/>
            <w:vAlign w:val="center"/>
            <w:hideMark/>
          </w:tcPr>
          <w:p w14:paraId="1A7AF786" w14:textId="230A1C5E" w:rsidR="00BA6C21" w:rsidRPr="00BA6C21" w:rsidRDefault="535062B3" w:rsidP="3328C818">
            <w:pPr>
              <w:pStyle w:val="Table-Text"/>
              <w:jc w:val="center"/>
            </w:pPr>
            <w:r>
              <w:t xml:space="preserve">869 </w:t>
            </w:r>
          </w:p>
        </w:tc>
        <w:tc>
          <w:tcPr>
            <w:tcW w:w="1130" w:type="dxa"/>
            <w:tcBorders>
              <w:top w:val="nil"/>
              <w:left w:val="nil"/>
              <w:bottom w:val="single" w:sz="4" w:space="0" w:color="auto"/>
              <w:right w:val="single" w:sz="4" w:space="0" w:color="auto"/>
            </w:tcBorders>
            <w:shd w:val="clear" w:color="auto" w:fill="auto"/>
            <w:noWrap/>
            <w:vAlign w:val="center"/>
            <w:hideMark/>
          </w:tcPr>
          <w:p w14:paraId="7A769296" w14:textId="55EF1205" w:rsidR="00BA6C21" w:rsidRPr="00BA6C21" w:rsidRDefault="535062B3" w:rsidP="3328C818">
            <w:pPr>
              <w:pStyle w:val="Table-Text"/>
              <w:jc w:val="center"/>
            </w:pPr>
            <w:r>
              <w:t xml:space="preserve">792 </w:t>
            </w:r>
          </w:p>
        </w:tc>
        <w:tc>
          <w:tcPr>
            <w:tcW w:w="1130" w:type="dxa"/>
            <w:tcBorders>
              <w:top w:val="nil"/>
              <w:left w:val="nil"/>
              <w:bottom w:val="single" w:sz="4" w:space="0" w:color="auto"/>
              <w:right w:val="single" w:sz="8" w:space="0" w:color="auto"/>
            </w:tcBorders>
            <w:shd w:val="clear" w:color="auto" w:fill="auto"/>
            <w:noWrap/>
            <w:vAlign w:val="center"/>
            <w:hideMark/>
          </w:tcPr>
          <w:p w14:paraId="31E28C90" w14:textId="4F933BC8" w:rsidR="00BA6C21" w:rsidRPr="00BA6C21" w:rsidRDefault="535062B3" w:rsidP="3328C818">
            <w:pPr>
              <w:pStyle w:val="Table-Text"/>
              <w:jc w:val="center"/>
            </w:pPr>
            <w:r>
              <w:t xml:space="preserve">832 </w:t>
            </w:r>
          </w:p>
        </w:tc>
      </w:tr>
      <w:tr w:rsidR="00557C5F" w:rsidRPr="00BA6C21" w14:paraId="4F7C5A4E" w14:textId="77777777" w:rsidTr="3328C818">
        <w:trPr>
          <w:trHeight w:val="300"/>
        </w:trPr>
        <w:tc>
          <w:tcPr>
            <w:tcW w:w="1800" w:type="dxa"/>
            <w:tcBorders>
              <w:top w:val="nil"/>
              <w:left w:val="single" w:sz="8" w:space="0" w:color="auto"/>
              <w:bottom w:val="single" w:sz="8" w:space="0" w:color="auto"/>
              <w:right w:val="single" w:sz="4" w:space="0" w:color="auto"/>
            </w:tcBorders>
            <w:shd w:val="clear" w:color="auto" w:fill="auto"/>
            <w:noWrap/>
            <w:vAlign w:val="bottom"/>
            <w:hideMark/>
          </w:tcPr>
          <w:p w14:paraId="72559526" w14:textId="77777777" w:rsidR="00BA6C21" w:rsidRPr="00BA6C21" w:rsidRDefault="00BA6C21" w:rsidP="00541741">
            <w:pPr>
              <w:pStyle w:val="Table-Text"/>
            </w:pPr>
            <w:r w:rsidRPr="00BA6C21">
              <w:t>Cost-Effectiveness</w:t>
            </w:r>
          </w:p>
        </w:tc>
        <w:tc>
          <w:tcPr>
            <w:tcW w:w="1130" w:type="dxa"/>
            <w:tcBorders>
              <w:top w:val="nil"/>
              <w:left w:val="nil"/>
              <w:bottom w:val="single" w:sz="8" w:space="0" w:color="auto"/>
              <w:right w:val="single" w:sz="4" w:space="0" w:color="auto"/>
            </w:tcBorders>
            <w:shd w:val="clear" w:color="auto" w:fill="auto"/>
            <w:noWrap/>
            <w:vAlign w:val="center"/>
            <w:hideMark/>
          </w:tcPr>
          <w:p w14:paraId="5847C85E" w14:textId="0B937F6A" w:rsidR="00BA6C21" w:rsidRPr="00BA6C21" w:rsidRDefault="535062B3" w:rsidP="3328C818">
            <w:pPr>
              <w:pStyle w:val="Table-Text"/>
              <w:jc w:val="center"/>
            </w:pPr>
            <w:r>
              <w:t xml:space="preserve"> $           3,864 </w:t>
            </w:r>
          </w:p>
        </w:tc>
        <w:tc>
          <w:tcPr>
            <w:tcW w:w="1130" w:type="dxa"/>
            <w:tcBorders>
              <w:top w:val="nil"/>
              <w:left w:val="nil"/>
              <w:bottom w:val="single" w:sz="8" w:space="0" w:color="auto"/>
              <w:right w:val="single" w:sz="4" w:space="0" w:color="auto"/>
            </w:tcBorders>
            <w:shd w:val="clear" w:color="auto" w:fill="auto"/>
            <w:noWrap/>
            <w:vAlign w:val="center"/>
            <w:hideMark/>
          </w:tcPr>
          <w:p w14:paraId="54DE97D6" w14:textId="30F13BB0" w:rsidR="00BA6C21" w:rsidRPr="00BA6C21" w:rsidRDefault="535062B3" w:rsidP="3328C818">
            <w:pPr>
              <w:pStyle w:val="Table-Text"/>
              <w:jc w:val="center"/>
            </w:pPr>
            <w:r>
              <w:t xml:space="preserve"> $          4,286 </w:t>
            </w:r>
          </w:p>
        </w:tc>
        <w:tc>
          <w:tcPr>
            <w:tcW w:w="1062" w:type="dxa"/>
            <w:tcBorders>
              <w:top w:val="nil"/>
              <w:left w:val="nil"/>
              <w:bottom w:val="single" w:sz="8" w:space="0" w:color="auto"/>
              <w:right w:val="single" w:sz="4" w:space="0" w:color="auto"/>
            </w:tcBorders>
            <w:shd w:val="clear" w:color="auto" w:fill="auto"/>
            <w:noWrap/>
            <w:vAlign w:val="center"/>
            <w:hideMark/>
          </w:tcPr>
          <w:p w14:paraId="7A73D6D6" w14:textId="77777777" w:rsidR="00BA6C21" w:rsidRPr="00BA6C21" w:rsidRDefault="535062B3" w:rsidP="3328C818">
            <w:pPr>
              <w:pStyle w:val="Table-Text"/>
              <w:jc w:val="center"/>
            </w:pPr>
            <w:r>
              <w:t> </w:t>
            </w:r>
          </w:p>
        </w:tc>
        <w:tc>
          <w:tcPr>
            <w:tcW w:w="1130" w:type="dxa"/>
            <w:tcBorders>
              <w:top w:val="nil"/>
              <w:left w:val="nil"/>
              <w:bottom w:val="single" w:sz="8" w:space="0" w:color="auto"/>
              <w:right w:val="single" w:sz="4" w:space="0" w:color="auto"/>
            </w:tcBorders>
            <w:shd w:val="clear" w:color="auto" w:fill="auto"/>
            <w:noWrap/>
            <w:vAlign w:val="center"/>
            <w:hideMark/>
          </w:tcPr>
          <w:p w14:paraId="4905D7BD" w14:textId="77777777" w:rsidR="00BA6C21" w:rsidRPr="00BA6C21" w:rsidRDefault="535062B3" w:rsidP="3328C818">
            <w:pPr>
              <w:pStyle w:val="Table-Text"/>
              <w:jc w:val="center"/>
            </w:pPr>
            <w:r>
              <w:t> </w:t>
            </w:r>
          </w:p>
        </w:tc>
        <w:tc>
          <w:tcPr>
            <w:tcW w:w="1130" w:type="dxa"/>
            <w:tcBorders>
              <w:top w:val="nil"/>
              <w:left w:val="nil"/>
              <w:bottom w:val="single" w:sz="8" w:space="0" w:color="auto"/>
              <w:right w:val="single" w:sz="4" w:space="0" w:color="auto"/>
            </w:tcBorders>
            <w:shd w:val="clear" w:color="auto" w:fill="auto"/>
            <w:noWrap/>
            <w:vAlign w:val="center"/>
            <w:hideMark/>
          </w:tcPr>
          <w:p w14:paraId="00323B37" w14:textId="483A971A" w:rsidR="00BA6C21" w:rsidRPr="00BA6C21" w:rsidRDefault="535062B3" w:rsidP="3328C818">
            <w:pPr>
              <w:pStyle w:val="Table-Text"/>
              <w:jc w:val="center"/>
            </w:pPr>
            <w:r>
              <w:t xml:space="preserve"> $           5,381 </w:t>
            </w:r>
          </w:p>
        </w:tc>
        <w:tc>
          <w:tcPr>
            <w:tcW w:w="1130" w:type="dxa"/>
            <w:tcBorders>
              <w:top w:val="nil"/>
              <w:left w:val="nil"/>
              <w:bottom w:val="single" w:sz="8" w:space="0" w:color="auto"/>
              <w:right w:val="single" w:sz="8" w:space="0" w:color="auto"/>
            </w:tcBorders>
            <w:shd w:val="clear" w:color="auto" w:fill="auto"/>
            <w:noWrap/>
            <w:vAlign w:val="center"/>
            <w:hideMark/>
          </w:tcPr>
          <w:p w14:paraId="22166062" w14:textId="3452BFB7" w:rsidR="00BA6C21" w:rsidRPr="00BA6C21" w:rsidRDefault="535062B3" w:rsidP="3328C818">
            <w:pPr>
              <w:pStyle w:val="Table-Text"/>
              <w:jc w:val="center"/>
            </w:pPr>
            <w:r>
              <w:t xml:space="preserve"> $           5,986 </w:t>
            </w:r>
          </w:p>
        </w:tc>
      </w:tr>
    </w:tbl>
    <w:p w14:paraId="48CFB452" w14:textId="4E6E39C6" w:rsidR="3328C818" w:rsidRDefault="3328C818" w:rsidP="3328C818">
      <w:pPr>
        <w:pStyle w:val="Heading5"/>
        <w:spacing w:line="240" w:lineRule="auto"/>
      </w:pPr>
    </w:p>
    <w:p w14:paraId="03F9926D" w14:textId="3796089C" w:rsidR="00867FDB" w:rsidRPr="005346A8" w:rsidRDefault="647749C5" w:rsidP="00B1738B">
      <w:pPr>
        <w:pStyle w:val="Heading5"/>
        <w:spacing w:line="240" w:lineRule="auto"/>
        <w:contextualSpacing/>
      </w:pPr>
      <w:r>
        <w:t>Significant Issues regarding SCR Cost-Effectiveness:</w:t>
      </w:r>
    </w:p>
    <w:p w14:paraId="187308E3" w14:textId="3AD92545" w:rsidR="00867FDB" w:rsidRPr="005346A8" w:rsidRDefault="00867FDB" w:rsidP="00B1738B">
      <w:pPr>
        <w:pStyle w:val="ListParagraph"/>
      </w:pPr>
      <w:r w:rsidRPr="005346A8">
        <w:t xml:space="preserve">A retrofit factor greater than the CCM default value of 1.0 (which represents a 20% increase over a “greenfield” application) </w:t>
      </w:r>
      <w:r>
        <w:t>was not justified for SCR with reheat</w:t>
      </w:r>
      <w:r w:rsidRPr="005346A8">
        <w:t>. The CCM advises that:</w:t>
      </w:r>
    </w:p>
    <w:p w14:paraId="1028A32A" w14:textId="4AE57CA0" w:rsidR="00867FDB" w:rsidRPr="005346A8" w:rsidRDefault="00867FDB" w:rsidP="00B1738B">
      <w:pPr>
        <w:pStyle w:val="ListParagraph"/>
        <w:numPr>
          <w:ilvl w:val="1"/>
          <w:numId w:val="13"/>
        </w:numPr>
      </w:pPr>
      <w:r w:rsidRPr="005346A8">
        <w:t>If the SCR will be installed on an existing boiler, enter a retrofit factor between 0.8 and 1.5. Use 1 for retrofits with an average level of difficulty. For more difficult retrofits, you may use a retrofit factor greater than 1; however, you must document why the value used is appropriate. According to the CCM, “You must document why a retrofit factor of “__" is appropriate for the proposed project"</w:t>
      </w:r>
    </w:p>
    <w:p w14:paraId="26A6C478" w14:textId="3872AD78" w:rsidR="00FB5CA3" w:rsidRDefault="00FB5CA3" w:rsidP="00EA0940">
      <w:pPr>
        <w:pStyle w:val="ListParagraph"/>
      </w:pPr>
      <w:r>
        <w:t>MPCA has underestimated the life of the SCR and its catalyst.</w:t>
      </w:r>
    </w:p>
    <w:p w14:paraId="22759E1A" w14:textId="3B4EAC04" w:rsidR="00FB5CA3" w:rsidRDefault="00FB5CA3" w:rsidP="00EA0940">
      <w:pPr>
        <w:pStyle w:val="ListParagraph"/>
      </w:pPr>
      <w:r>
        <w:t>MPCA has not accounted for treating the increased gas flow from the reheat system</w:t>
      </w:r>
      <w:r w:rsidR="000841D5">
        <w:t xml:space="preserve"> and has underestimated </w:t>
      </w:r>
      <w:r w:rsidR="00CA53DB">
        <w:t xml:space="preserve">this element of </w:t>
      </w:r>
      <w:r w:rsidR="000841D5">
        <w:t>the SCR capital cost.</w:t>
      </w:r>
    </w:p>
    <w:p w14:paraId="11611C08" w14:textId="3986FF57" w:rsidR="00867FDB" w:rsidRPr="005346A8" w:rsidRDefault="00867FDB" w:rsidP="00FB5CA3">
      <w:r>
        <w:t xml:space="preserve">The NPS estimates </w:t>
      </w:r>
      <w:r w:rsidRPr="005346A8">
        <w:t xml:space="preserve">that addition of SCR could reduce annual </w:t>
      </w:r>
      <w:r w:rsidRPr="00A9462F">
        <w:t>NO</w:t>
      </w:r>
      <w:r w:rsidRPr="00FB5CA3">
        <w:rPr>
          <w:vertAlign w:val="subscript"/>
        </w:rPr>
        <w:t>x</w:t>
      </w:r>
      <w:r w:rsidRPr="005346A8">
        <w:t xml:space="preserve"> by </w:t>
      </w:r>
      <w:r w:rsidR="00FB5CA3">
        <w:t>about</w:t>
      </w:r>
      <w:r w:rsidRPr="005346A8">
        <w:t xml:space="preserve"> 800 tons at an annual cost of $</w:t>
      </w:r>
      <w:r w:rsidR="00FB5CA3">
        <w:t>3</w:t>
      </w:r>
      <w:r>
        <w:t>–</w:t>
      </w:r>
      <w:r w:rsidRPr="005346A8">
        <w:t>$</w:t>
      </w:r>
      <w:r w:rsidR="00FB5CA3">
        <w:t>5</w:t>
      </w:r>
      <w:r w:rsidRPr="005346A8">
        <w:t xml:space="preserve"> million resulting in a cost-effective strategy </w:t>
      </w:r>
      <w:r>
        <w:t xml:space="preserve">of </w:t>
      </w:r>
      <w:r w:rsidRPr="005346A8">
        <w:t>$</w:t>
      </w:r>
      <w:r w:rsidR="00BA6C21">
        <w:t>3,900</w:t>
      </w:r>
      <w:r>
        <w:t>–</w:t>
      </w:r>
      <w:r w:rsidRPr="005346A8">
        <w:t>$</w:t>
      </w:r>
      <w:r w:rsidR="00BA6C21">
        <w:t>5,400</w:t>
      </w:r>
      <w:r w:rsidRPr="005346A8">
        <w:t xml:space="preserve">/ton of </w:t>
      </w:r>
      <w:r w:rsidRPr="00A9462F">
        <w:t>NO</w:t>
      </w:r>
      <w:r w:rsidRPr="00FB5CA3">
        <w:rPr>
          <w:vertAlign w:val="subscript"/>
        </w:rPr>
        <w:t>x</w:t>
      </w:r>
      <w:r w:rsidRPr="005346A8">
        <w:t xml:space="preserve"> removed.</w:t>
      </w:r>
      <w:r w:rsidR="00097B06" w:rsidRPr="00097B06">
        <w:t xml:space="preserve"> </w:t>
      </w:r>
      <w:r w:rsidR="00097B06">
        <w:t>MPCA has also estimated that addition of SCR is very cost-effective.</w:t>
      </w:r>
    </w:p>
    <w:p w14:paraId="5A433AFC" w14:textId="4028B020" w:rsidR="00867FDB" w:rsidRDefault="00867FDB" w:rsidP="00B1738B">
      <w:pPr>
        <w:pStyle w:val="Heading4"/>
        <w:spacing w:line="240" w:lineRule="auto"/>
        <w:contextualSpacing/>
      </w:pPr>
      <w:r>
        <w:t>Statutory Factor 2: Time Necessary for Compliance</w:t>
      </w:r>
    </w:p>
    <w:p w14:paraId="6221EC9F" w14:textId="71952D0B" w:rsidR="00867FDB" w:rsidRPr="00182F17" w:rsidRDefault="00867FDB" w:rsidP="00B1738B">
      <w:pPr>
        <w:spacing w:line="240" w:lineRule="auto"/>
        <w:contextualSpacing/>
      </w:pPr>
      <w:r w:rsidRPr="00F540B6">
        <w:rPr>
          <w:rFonts w:cs="Times New Roman"/>
          <w:bCs/>
          <w:szCs w:val="24"/>
        </w:rPr>
        <w:t xml:space="preserve">SCR </w:t>
      </w:r>
      <w:r>
        <w:rPr>
          <w:rFonts w:cs="Times New Roman"/>
          <w:bCs/>
          <w:szCs w:val="24"/>
        </w:rPr>
        <w:t>operation</w:t>
      </w:r>
      <w:r w:rsidRPr="00F540B6">
        <w:rPr>
          <w:rFonts w:cs="Times New Roman"/>
          <w:bCs/>
          <w:szCs w:val="24"/>
        </w:rPr>
        <w:t xml:space="preserve"> typically </w:t>
      </w:r>
      <w:r>
        <w:rPr>
          <w:rFonts w:cs="Times New Roman"/>
          <w:bCs/>
          <w:szCs w:val="24"/>
        </w:rPr>
        <w:t xml:space="preserve">requires </w:t>
      </w:r>
      <w:r w:rsidRPr="00F540B6">
        <w:rPr>
          <w:rFonts w:cs="Times New Roman"/>
          <w:bCs/>
          <w:szCs w:val="24"/>
        </w:rPr>
        <w:t>four to five years after SIP approval</w:t>
      </w:r>
      <w:r>
        <w:rPr>
          <w:rFonts w:cs="Times New Roman"/>
          <w:bCs/>
          <w:szCs w:val="24"/>
        </w:rPr>
        <w:t>, while SNCR may take up to two years.</w:t>
      </w:r>
    </w:p>
    <w:p w14:paraId="603AC470" w14:textId="77777777" w:rsidR="00867FDB" w:rsidRDefault="00867FDB" w:rsidP="00B1738B">
      <w:pPr>
        <w:pStyle w:val="Heading4"/>
        <w:spacing w:line="240" w:lineRule="auto"/>
        <w:contextualSpacing/>
      </w:pPr>
      <w:r>
        <w:t>Statutory Factor 3: Energy and Non-Air Quality Environmental Impacts</w:t>
      </w:r>
    </w:p>
    <w:p w14:paraId="0D4DBCC7" w14:textId="7E7E9175" w:rsidR="00867FDB" w:rsidRPr="006F0D59" w:rsidRDefault="00867FDB" w:rsidP="00B1738B">
      <w:pPr>
        <w:spacing w:line="240" w:lineRule="auto"/>
        <w:contextualSpacing/>
      </w:pPr>
      <w:r>
        <w:t>When evaluating statutory factor 3, SMBSC raises several potential concerns with respect to SNCR and SCR including fuel consumption and energy use. The energy impacts mentioned are most properly accounted for when analyzing statutory factor 1, Cost of Compliance.</w:t>
      </w:r>
    </w:p>
    <w:p w14:paraId="498EF64C" w14:textId="77777777" w:rsidR="00867FDB" w:rsidRDefault="00867FDB" w:rsidP="00B1738B">
      <w:pPr>
        <w:pStyle w:val="Heading4"/>
        <w:spacing w:line="240" w:lineRule="auto"/>
        <w:contextualSpacing/>
      </w:pPr>
      <w:r w:rsidRPr="00294DA7">
        <w:t>Stat</w:t>
      </w:r>
      <w:r>
        <w:t>utory</w:t>
      </w:r>
      <w:r w:rsidRPr="00294DA7">
        <w:t xml:space="preserve"> Factor 4: Remaining Useful Life</w:t>
      </w:r>
    </w:p>
    <w:p w14:paraId="18A9FF2A" w14:textId="34491F3C" w:rsidR="00867FDB" w:rsidRPr="00BD1768" w:rsidRDefault="00867FDB" w:rsidP="00B1738B">
      <w:pPr>
        <w:spacing w:line="240" w:lineRule="auto"/>
        <w:contextualSpacing/>
      </w:pPr>
      <w:r w:rsidRPr="00F540B6">
        <w:rPr>
          <w:rFonts w:cs="Times New Roman"/>
          <w:szCs w:val="24"/>
        </w:rPr>
        <w:t xml:space="preserve">The CCM recommends </w:t>
      </w:r>
      <w:r w:rsidR="00CA53DB">
        <w:rPr>
          <w:rFonts w:cs="Times New Roman"/>
          <w:szCs w:val="24"/>
        </w:rPr>
        <w:t xml:space="preserve">20- </w:t>
      </w:r>
      <w:r w:rsidRPr="00F540B6">
        <w:rPr>
          <w:rFonts w:cs="Times New Roman"/>
          <w:szCs w:val="24"/>
        </w:rPr>
        <w:t xml:space="preserve">25-year life for SCR </w:t>
      </w:r>
      <w:r w:rsidR="00CA53DB">
        <w:rPr>
          <w:rFonts w:cs="Times New Roman"/>
          <w:szCs w:val="24"/>
        </w:rPr>
        <w:t xml:space="preserve">on industrial boilers </w:t>
      </w:r>
      <w:r>
        <w:rPr>
          <w:rFonts w:cs="Times New Roman"/>
          <w:szCs w:val="24"/>
        </w:rPr>
        <w:t xml:space="preserve">and 20 years for SNCR </w:t>
      </w:r>
      <w:r w:rsidRPr="00F540B6">
        <w:rPr>
          <w:rFonts w:cs="Times New Roman"/>
          <w:szCs w:val="24"/>
        </w:rPr>
        <w:t>on industrial boilers unless limited by a federally-enforceable condition.</w:t>
      </w:r>
      <w:r w:rsidR="00CA53DB">
        <w:rPr>
          <w:rFonts w:cs="Times New Roman"/>
          <w:szCs w:val="24"/>
        </w:rPr>
        <w:t xml:space="preserve"> NPS believes that 25 years is an appropriate estimate for the life of an SCR system on a boiler that only operates seasonally.</w:t>
      </w:r>
    </w:p>
    <w:p w14:paraId="4787B03D" w14:textId="290BB102" w:rsidR="00867FDB" w:rsidRDefault="00867FDB" w:rsidP="00B1738B">
      <w:pPr>
        <w:pStyle w:val="Heading3"/>
        <w:spacing w:line="240" w:lineRule="auto"/>
        <w:contextualSpacing/>
      </w:pPr>
      <w:r>
        <w:t xml:space="preserve">NPS Conclusions and Recommendations </w:t>
      </w:r>
      <w:r w:rsidRPr="007F78E2">
        <w:t>Southern Minnesota Beet Sugar Cooperative</w:t>
      </w:r>
    </w:p>
    <w:p w14:paraId="44BC00E1" w14:textId="416DD093" w:rsidR="00867FDB" w:rsidRPr="00FD476A" w:rsidRDefault="00867FDB" w:rsidP="00B1738B">
      <w:pPr>
        <w:spacing w:line="240" w:lineRule="auto"/>
        <w:contextualSpacing/>
      </w:pPr>
      <w:r>
        <w:t>NPS review finds that SMBSC</w:t>
      </w:r>
      <w:r w:rsidRPr="00FD476A">
        <w:t xml:space="preserve"> and MPCA have overestimated the Cost of Compliance due to:</w:t>
      </w:r>
    </w:p>
    <w:p w14:paraId="2632E354" w14:textId="5507953B" w:rsidR="00867FDB" w:rsidRPr="00FD476A" w:rsidRDefault="00867FDB" w:rsidP="00B1738B">
      <w:pPr>
        <w:pStyle w:val="ListParagraph"/>
      </w:pPr>
      <w:r w:rsidRPr="00FD476A">
        <w:t xml:space="preserve">Use of equipment life (20 years) </w:t>
      </w:r>
      <w:r w:rsidR="005303DA" w:rsidRPr="00FD476A">
        <w:t xml:space="preserve">that is too short </w:t>
      </w:r>
      <w:r w:rsidRPr="00FD476A">
        <w:t>for some controls.</w:t>
      </w:r>
    </w:p>
    <w:p w14:paraId="26891F79" w14:textId="77777777" w:rsidR="00867FDB" w:rsidRPr="00FD476A" w:rsidRDefault="00867FDB" w:rsidP="00B1738B">
      <w:pPr>
        <w:pStyle w:val="ListParagraph"/>
      </w:pPr>
      <w:r w:rsidRPr="00FD476A">
        <w:t>Application of unsupported retrofit factors.</w:t>
      </w:r>
    </w:p>
    <w:p w14:paraId="2BED78C9" w14:textId="367341DB" w:rsidR="00867FDB" w:rsidRDefault="00867FDB" w:rsidP="00B1738B">
      <w:pPr>
        <w:spacing w:line="240" w:lineRule="auto"/>
        <w:contextualSpacing/>
      </w:pPr>
      <w:r>
        <w:t>With respect to statutory factor one, the Cost of Compliance, after making the adjustments described above NPS analysis finds that for this facility:</w:t>
      </w:r>
    </w:p>
    <w:p w14:paraId="503F7BE1" w14:textId="53E0CB28" w:rsidR="00867FDB" w:rsidRDefault="00867FDB" w:rsidP="00B448C7">
      <w:pPr>
        <w:pStyle w:val="ListParagraph"/>
        <w:numPr>
          <w:ilvl w:val="0"/>
          <w:numId w:val="52"/>
        </w:numPr>
      </w:pPr>
      <w:r>
        <w:t>The a</w:t>
      </w:r>
      <w:r w:rsidRPr="00FD476A">
        <w:t xml:space="preserve">ddition of DSI (with trona) is cost-effective </w:t>
      </w:r>
      <w:r>
        <w:t xml:space="preserve">for </w:t>
      </w:r>
      <w:r w:rsidRPr="00A9462F">
        <w:t>SO</w:t>
      </w:r>
      <w:r w:rsidRPr="00A9462F">
        <w:rPr>
          <w:vertAlign w:val="subscript"/>
        </w:rPr>
        <w:t>2</w:t>
      </w:r>
      <w:r>
        <w:t xml:space="preserve"> emission reductions </w:t>
      </w:r>
      <w:r w:rsidRPr="00FD476A">
        <w:t>with or without addition of a new baghouse</w:t>
      </w:r>
      <w:r>
        <w:t xml:space="preserve">. </w:t>
      </w:r>
    </w:p>
    <w:p w14:paraId="3379B331" w14:textId="03C0C4EB" w:rsidR="00867FDB" w:rsidRPr="00FD476A" w:rsidRDefault="00867FDB" w:rsidP="00B448C7">
      <w:pPr>
        <w:pStyle w:val="ListParagraph"/>
        <w:numPr>
          <w:ilvl w:val="0"/>
          <w:numId w:val="52"/>
        </w:numPr>
      </w:pPr>
      <w:r>
        <w:t xml:space="preserve">The addition of SDA/CDS is also cost-effective and would provide a superior level of </w:t>
      </w:r>
      <w:r w:rsidRPr="00A9462F">
        <w:t>SO</w:t>
      </w:r>
      <w:r w:rsidRPr="00A9462F">
        <w:rPr>
          <w:vertAlign w:val="subscript"/>
        </w:rPr>
        <w:t>2</w:t>
      </w:r>
      <w:r>
        <w:t xml:space="preserve"> emission control.</w:t>
      </w:r>
    </w:p>
    <w:p w14:paraId="4C670977" w14:textId="69CC1768" w:rsidR="00867FDB" w:rsidRDefault="00867FDB" w:rsidP="00B448C7">
      <w:pPr>
        <w:pStyle w:val="ListParagraph"/>
        <w:numPr>
          <w:ilvl w:val="0"/>
          <w:numId w:val="52"/>
        </w:numPr>
      </w:pPr>
      <w:r>
        <w:t>The a</w:t>
      </w:r>
      <w:r w:rsidRPr="00FD476A">
        <w:t>ddition of S</w:t>
      </w:r>
      <w:r>
        <w:t>N</w:t>
      </w:r>
      <w:r w:rsidRPr="00FD476A">
        <w:t xml:space="preserve">CR is </w:t>
      </w:r>
      <w:r>
        <w:t xml:space="preserve">a </w:t>
      </w:r>
      <w:r w:rsidRPr="00FD476A">
        <w:t>cost-effective</w:t>
      </w:r>
      <w:r>
        <w:t xml:space="preserve"> option for reducing </w:t>
      </w:r>
      <w:r w:rsidRPr="00A9462F">
        <w:t>NO</w:t>
      </w:r>
      <w:r>
        <w:rPr>
          <w:vertAlign w:val="subscript"/>
        </w:rPr>
        <w:t>x</w:t>
      </w:r>
      <w:r>
        <w:t xml:space="preserve"> emissions</w:t>
      </w:r>
      <w:r w:rsidRPr="00FD476A">
        <w:t>.</w:t>
      </w:r>
    </w:p>
    <w:p w14:paraId="2E803DCE" w14:textId="16CF890B" w:rsidR="00867FDB" w:rsidRPr="00FD476A" w:rsidRDefault="00867FDB" w:rsidP="00B448C7">
      <w:pPr>
        <w:pStyle w:val="ListParagraph"/>
        <w:numPr>
          <w:ilvl w:val="0"/>
          <w:numId w:val="52"/>
        </w:numPr>
      </w:pPr>
      <w:r>
        <w:t>The a</w:t>
      </w:r>
      <w:r w:rsidRPr="00FD476A">
        <w:t xml:space="preserve">ddition of SCR is </w:t>
      </w:r>
      <w:r>
        <w:t xml:space="preserve">also </w:t>
      </w:r>
      <w:r w:rsidRPr="00FD476A">
        <w:t>cost-effective</w:t>
      </w:r>
      <w:r>
        <w:t xml:space="preserve"> and would provide a superior level of </w:t>
      </w:r>
      <w:r w:rsidRPr="00A9462F">
        <w:t>NO</w:t>
      </w:r>
      <w:r>
        <w:rPr>
          <w:vertAlign w:val="subscript"/>
        </w:rPr>
        <w:t>x</w:t>
      </w:r>
      <w:r>
        <w:t xml:space="preserve"> emission control</w:t>
      </w:r>
      <w:r w:rsidRPr="00FD476A">
        <w:t>.</w:t>
      </w:r>
    </w:p>
    <w:p w14:paraId="08CFE43A" w14:textId="277DA0C6" w:rsidR="00867FDB" w:rsidRDefault="00867FDB" w:rsidP="00B1738B">
      <w:pPr>
        <w:spacing w:line="240" w:lineRule="auto"/>
        <w:contextualSpacing/>
      </w:pPr>
      <w:bookmarkStart w:id="34" w:name="_Hlk107326142"/>
      <w:r>
        <w:t xml:space="preserve">The NPS recommends that </w:t>
      </w:r>
      <w:r w:rsidRPr="00FD476A">
        <w:t xml:space="preserve">MPCA evaluate </w:t>
      </w:r>
      <w:r>
        <w:t xml:space="preserve">statutory factor two, </w:t>
      </w:r>
      <w:r w:rsidRPr="00FD476A">
        <w:t>the Time Necessary for Compliance</w:t>
      </w:r>
      <w:r>
        <w:t>,</w:t>
      </w:r>
      <w:r w:rsidRPr="00FD476A">
        <w:t xml:space="preserve"> </w:t>
      </w:r>
      <w:r w:rsidRPr="000C41A7">
        <w:t>addition of SDA/CDS and SCR</w:t>
      </w:r>
      <w:r>
        <w:t xml:space="preserve">. Review of statutory factors three and four finds </w:t>
      </w:r>
      <w:r w:rsidRPr="00FD476A">
        <w:t xml:space="preserve">no unusual Energy and Non-Air Quality Environmental Impacts related to </w:t>
      </w:r>
      <w:r w:rsidRPr="00E20434">
        <w:t xml:space="preserve">DSI, SDA/CDS, SNCR, or SCR </w:t>
      </w:r>
      <w:r>
        <w:t xml:space="preserve">and </w:t>
      </w:r>
      <w:r w:rsidRPr="00FD476A">
        <w:t>Remaining Useful Life is not an issue.</w:t>
      </w:r>
    </w:p>
    <w:bookmarkEnd w:id="34"/>
    <w:p w14:paraId="1D151E8C" w14:textId="2919BAE8" w:rsidR="00867FDB" w:rsidRDefault="00867FDB" w:rsidP="00B1738B">
      <w:pPr>
        <w:spacing w:line="240" w:lineRule="auto"/>
        <w:contextualSpacing/>
      </w:pPr>
    </w:p>
    <w:p w14:paraId="5B241957" w14:textId="2036A3FB" w:rsidR="00001A9D" w:rsidRDefault="00001A9D" w:rsidP="00B1738B">
      <w:pPr>
        <w:spacing w:line="240" w:lineRule="auto"/>
        <w:contextualSpacing/>
        <w:rPr>
          <w:szCs w:val="24"/>
        </w:rPr>
      </w:pPr>
      <w:r w:rsidRPr="00001A9D">
        <w:rPr>
          <w:szCs w:val="24"/>
        </w:rPr>
        <w:t xml:space="preserve">In its “Table 51. </w:t>
      </w:r>
      <w:r w:rsidR="000F561F" w:rsidRPr="00001A9D">
        <w:rPr>
          <w:szCs w:val="24"/>
        </w:rPr>
        <w:t>NO</w:t>
      </w:r>
      <w:r w:rsidR="000F561F" w:rsidRPr="00B448C7">
        <w:rPr>
          <w:szCs w:val="24"/>
          <w:vertAlign w:val="subscript"/>
        </w:rPr>
        <w:t>x</w:t>
      </w:r>
      <w:r w:rsidRPr="00001A9D">
        <w:rPr>
          <w:szCs w:val="24"/>
        </w:rPr>
        <w:t xml:space="preserve"> control information (MPCA revision)” MPCA estimates that SNCR </w:t>
      </w:r>
      <w:bookmarkStart w:id="35" w:name="_Hlk113353546"/>
      <w:r w:rsidRPr="00001A9D">
        <w:rPr>
          <w:szCs w:val="24"/>
        </w:rPr>
        <w:t>could remove 447 ton/</w:t>
      </w:r>
      <w:proofErr w:type="spellStart"/>
      <w:r w:rsidRPr="00001A9D">
        <w:rPr>
          <w:szCs w:val="24"/>
        </w:rPr>
        <w:t>yr</w:t>
      </w:r>
      <w:proofErr w:type="spellEnd"/>
      <w:r w:rsidRPr="00001A9D">
        <w:rPr>
          <w:szCs w:val="24"/>
        </w:rPr>
        <w:t xml:space="preserve"> of </w:t>
      </w:r>
      <w:r w:rsidR="00B448C7" w:rsidRPr="00001A9D">
        <w:rPr>
          <w:szCs w:val="24"/>
        </w:rPr>
        <w:t>NO</w:t>
      </w:r>
      <w:r w:rsidR="00B448C7" w:rsidRPr="008A2C11">
        <w:rPr>
          <w:szCs w:val="24"/>
          <w:vertAlign w:val="subscript"/>
        </w:rPr>
        <w:t>x</w:t>
      </w:r>
      <w:r w:rsidRPr="00001A9D">
        <w:rPr>
          <w:szCs w:val="24"/>
        </w:rPr>
        <w:t xml:space="preserve"> at $2,942/ton</w:t>
      </w:r>
      <w:bookmarkEnd w:id="35"/>
      <w:r w:rsidRPr="00001A9D">
        <w:rPr>
          <w:szCs w:val="24"/>
        </w:rPr>
        <w:t>, and that SCR could remove 832 ton/</w:t>
      </w:r>
      <w:proofErr w:type="spellStart"/>
      <w:r w:rsidRPr="00001A9D">
        <w:rPr>
          <w:szCs w:val="24"/>
        </w:rPr>
        <w:t>yr</w:t>
      </w:r>
      <w:proofErr w:type="spellEnd"/>
      <w:r w:rsidRPr="00001A9D">
        <w:rPr>
          <w:szCs w:val="24"/>
        </w:rPr>
        <w:t xml:space="preserve"> of </w:t>
      </w:r>
      <w:r w:rsidR="00B448C7" w:rsidRPr="00001A9D">
        <w:rPr>
          <w:szCs w:val="24"/>
        </w:rPr>
        <w:t>NO</w:t>
      </w:r>
      <w:r w:rsidR="00B448C7" w:rsidRPr="008A2C11">
        <w:rPr>
          <w:szCs w:val="24"/>
          <w:vertAlign w:val="subscript"/>
        </w:rPr>
        <w:t>x</w:t>
      </w:r>
      <w:r w:rsidRPr="00001A9D">
        <w:rPr>
          <w:szCs w:val="24"/>
        </w:rPr>
        <w:t xml:space="preserve"> at $5,986/ton. Although the cost-effectiveness of both SNCR and SCR </w:t>
      </w:r>
      <w:r>
        <w:rPr>
          <w:szCs w:val="24"/>
        </w:rPr>
        <w:t xml:space="preserve">(as estimated by MPCA) </w:t>
      </w:r>
      <w:r w:rsidRPr="00001A9D">
        <w:rPr>
          <w:szCs w:val="24"/>
        </w:rPr>
        <w:t>are below MPCA’s $7,600/ton threshold, SCR does not appear in MPCA’s “Table 58. Southern Minnesota Beet Sugar Cooperative - Control measure evaluation.”</w:t>
      </w:r>
      <w:r>
        <w:rPr>
          <w:szCs w:val="24"/>
        </w:rPr>
        <w:t xml:space="preserve"> Without explanation, MPCA </w:t>
      </w:r>
      <w:r w:rsidR="00A82025">
        <w:rPr>
          <w:szCs w:val="24"/>
        </w:rPr>
        <w:t>has</w:t>
      </w:r>
      <w:r>
        <w:rPr>
          <w:szCs w:val="24"/>
        </w:rPr>
        <w:t xml:space="preserve"> omitted further consideration of SCR </w:t>
      </w:r>
      <w:r w:rsidR="00A82025">
        <w:rPr>
          <w:szCs w:val="24"/>
        </w:rPr>
        <w:t xml:space="preserve">in its Table 58 </w:t>
      </w:r>
      <w:r>
        <w:rPr>
          <w:szCs w:val="24"/>
        </w:rPr>
        <w:t>and instead</w:t>
      </w:r>
      <w:r w:rsidR="00A82025">
        <w:rPr>
          <w:szCs w:val="24"/>
        </w:rPr>
        <w:t xml:space="preserve"> states:</w:t>
      </w:r>
    </w:p>
    <w:p w14:paraId="1108C2BE" w14:textId="759C24BB" w:rsidR="00A82025" w:rsidRPr="00A82025" w:rsidRDefault="00A82025" w:rsidP="00A82025">
      <w:pPr>
        <w:spacing w:line="240" w:lineRule="auto"/>
        <w:ind w:left="432"/>
        <w:contextualSpacing/>
        <w:rPr>
          <w:szCs w:val="24"/>
        </w:rPr>
      </w:pPr>
      <w:r w:rsidRPr="00A82025">
        <w:rPr>
          <w:szCs w:val="24"/>
        </w:rPr>
        <w:t xml:space="preserve">No additional information provided by the facility suggests that the </w:t>
      </w:r>
      <w:r w:rsidR="00B448C7" w:rsidRPr="00001A9D">
        <w:rPr>
          <w:szCs w:val="24"/>
        </w:rPr>
        <w:t>NO</w:t>
      </w:r>
      <w:r w:rsidR="00B448C7" w:rsidRPr="008A2C11">
        <w:rPr>
          <w:szCs w:val="24"/>
          <w:vertAlign w:val="subscript"/>
        </w:rPr>
        <w:t>x</w:t>
      </w:r>
      <w:r w:rsidRPr="00A82025">
        <w:rPr>
          <w:szCs w:val="24"/>
        </w:rPr>
        <w:t xml:space="preserve"> controls are not cost-effective for the facility in this regional haze implementation period. The MPCA maintains that the </w:t>
      </w:r>
      <w:r w:rsidR="00B448C7" w:rsidRPr="00001A9D">
        <w:rPr>
          <w:szCs w:val="24"/>
        </w:rPr>
        <w:t>NO</w:t>
      </w:r>
      <w:r w:rsidR="00B448C7" w:rsidRPr="008A2C11">
        <w:rPr>
          <w:szCs w:val="24"/>
          <w:vertAlign w:val="subscript"/>
        </w:rPr>
        <w:t>x</w:t>
      </w:r>
      <w:r w:rsidRPr="00A82025">
        <w:rPr>
          <w:szCs w:val="24"/>
        </w:rPr>
        <w:t xml:space="preserve"> controls are cost-effective and necessary to continue making reasonable progress, but the MPCA has not reached an agreed path forward with the facility to install the </w:t>
      </w:r>
      <w:r w:rsidR="00B448C7" w:rsidRPr="00001A9D">
        <w:rPr>
          <w:szCs w:val="24"/>
        </w:rPr>
        <w:t>NO</w:t>
      </w:r>
      <w:r w:rsidR="00B448C7" w:rsidRPr="008A2C11">
        <w:rPr>
          <w:szCs w:val="24"/>
          <w:vertAlign w:val="subscript"/>
        </w:rPr>
        <w:t>x</w:t>
      </w:r>
      <w:r w:rsidRPr="00A82025">
        <w:rPr>
          <w:szCs w:val="24"/>
        </w:rPr>
        <w:t xml:space="preserve"> controls.</w:t>
      </w:r>
    </w:p>
    <w:p w14:paraId="3D6B87B8" w14:textId="4C09E6D6" w:rsidR="00A82025" w:rsidRDefault="00A82025" w:rsidP="00B1738B">
      <w:pPr>
        <w:spacing w:line="240" w:lineRule="auto"/>
        <w:contextualSpacing/>
        <w:rPr>
          <w:szCs w:val="24"/>
        </w:rPr>
      </w:pPr>
    </w:p>
    <w:p w14:paraId="32E98053" w14:textId="12F9FAA4" w:rsidR="00A82025" w:rsidRDefault="00A82025" w:rsidP="00B1738B">
      <w:pPr>
        <w:spacing w:line="240" w:lineRule="auto"/>
        <w:contextualSpacing/>
        <w:rPr>
          <w:szCs w:val="24"/>
        </w:rPr>
      </w:pPr>
      <w:r>
        <w:rPr>
          <w:szCs w:val="24"/>
        </w:rPr>
        <w:t>MPCA appears to be depending upon SMBSC to agree to addition of SNCR with no further consideration of the more</w:t>
      </w:r>
      <w:r w:rsidR="005303DA">
        <w:rPr>
          <w:szCs w:val="24"/>
        </w:rPr>
        <w:t>-</w:t>
      </w:r>
      <w:r>
        <w:rPr>
          <w:szCs w:val="24"/>
        </w:rPr>
        <w:t>efficient (cost-effective) SCR technology.</w:t>
      </w:r>
    </w:p>
    <w:p w14:paraId="3670320C" w14:textId="093CD094" w:rsidR="008655C6" w:rsidRDefault="008655C6" w:rsidP="00B1738B">
      <w:pPr>
        <w:spacing w:line="240" w:lineRule="auto"/>
        <w:contextualSpacing/>
        <w:rPr>
          <w:szCs w:val="24"/>
        </w:rPr>
      </w:pPr>
    </w:p>
    <w:p w14:paraId="2BC8C1FF" w14:textId="64B12E9B" w:rsidR="008655C6" w:rsidRPr="005346A8" w:rsidRDefault="008655C6" w:rsidP="008655C6">
      <w:r>
        <w:t xml:space="preserve">In conclusion, based on the four factors, the NPS recommends that </w:t>
      </w:r>
      <w:r w:rsidRPr="00FD476A">
        <w:t xml:space="preserve">MPCA </w:t>
      </w:r>
      <w:r w:rsidRPr="00BF7652">
        <w:t>require</w:t>
      </w:r>
      <w:r>
        <w:t xml:space="preserve"> the</w:t>
      </w:r>
      <w:r w:rsidRPr="00BF7652">
        <w:t xml:space="preserve"> addition of cost-effective control strategies that provide the greatest emission reductions. The SDA/CDS option could remove </w:t>
      </w:r>
      <w:r>
        <w:t>70</w:t>
      </w:r>
      <w:r w:rsidRPr="00BF7652">
        <w:t xml:space="preserve">0 </w:t>
      </w:r>
      <w:r>
        <w:t>tons/year</w:t>
      </w:r>
      <w:r w:rsidRPr="00BF7652">
        <w:t xml:space="preserve"> of </w:t>
      </w:r>
      <w:r w:rsidRPr="00A9462F">
        <w:t>SO</w:t>
      </w:r>
      <w:r w:rsidRPr="00A9462F">
        <w:rPr>
          <w:vertAlign w:val="subscript"/>
        </w:rPr>
        <w:t>2</w:t>
      </w:r>
      <w:r w:rsidRPr="00BF7652">
        <w:t xml:space="preserve"> at an annual cost of $</w:t>
      </w:r>
      <w:r>
        <w:t>4.5</w:t>
      </w:r>
      <w:r w:rsidRPr="00BF7652">
        <w:t xml:space="preserve"> million for a cost-effectiveness value of less than $</w:t>
      </w:r>
      <w:r>
        <w:t>6,5</w:t>
      </w:r>
      <w:r w:rsidRPr="00BF7652">
        <w:t>00/ton</w:t>
      </w:r>
      <w:r>
        <w:t xml:space="preserve">. The NPS estimates </w:t>
      </w:r>
      <w:r w:rsidRPr="005346A8">
        <w:t xml:space="preserve">that addition of SCR could reduce annual </w:t>
      </w:r>
      <w:r w:rsidRPr="00A9462F">
        <w:t>NO</w:t>
      </w:r>
      <w:r w:rsidRPr="00FB5CA3">
        <w:rPr>
          <w:vertAlign w:val="subscript"/>
        </w:rPr>
        <w:t>x</w:t>
      </w:r>
      <w:r w:rsidRPr="005346A8">
        <w:t xml:space="preserve"> by </w:t>
      </w:r>
      <w:r>
        <w:t>about</w:t>
      </w:r>
      <w:r w:rsidRPr="005346A8">
        <w:t xml:space="preserve"> 800 tons at an annual cost of $</w:t>
      </w:r>
      <w:r>
        <w:t>3–</w:t>
      </w:r>
      <w:r w:rsidRPr="005346A8">
        <w:t>$</w:t>
      </w:r>
      <w:r>
        <w:t>5</w:t>
      </w:r>
      <w:r w:rsidRPr="005346A8">
        <w:t xml:space="preserve"> million resulting in a cost-effective strategy </w:t>
      </w:r>
      <w:r>
        <w:t xml:space="preserve">of </w:t>
      </w:r>
      <w:r w:rsidRPr="005346A8">
        <w:t>$</w:t>
      </w:r>
      <w:r>
        <w:t>3,900–</w:t>
      </w:r>
      <w:r w:rsidRPr="005346A8">
        <w:t>$</w:t>
      </w:r>
      <w:r>
        <w:t>5,400</w:t>
      </w:r>
      <w:r w:rsidRPr="005346A8">
        <w:t xml:space="preserve">/ton of </w:t>
      </w:r>
      <w:r w:rsidRPr="00A9462F">
        <w:t>NO</w:t>
      </w:r>
      <w:r w:rsidRPr="00FB5CA3">
        <w:rPr>
          <w:vertAlign w:val="subscript"/>
        </w:rPr>
        <w:t>x</w:t>
      </w:r>
      <w:r w:rsidRPr="005346A8">
        <w:t xml:space="preserve"> removed.</w:t>
      </w:r>
    </w:p>
    <w:p w14:paraId="7C55E199" w14:textId="77777777" w:rsidR="002827FD" w:rsidRDefault="002827FD">
      <w:r>
        <w:br w:type="page"/>
      </w:r>
    </w:p>
    <w:p w14:paraId="5D7DB50D" w14:textId="6379B8B7" w:rsidR="00867FDB" w:rsidRDefault="00867FDB" w:rsidP="00B1738B">
      <w:pPr>
        <w:pStyle w:val="Heading1"/>
        <w:spacing w:line="240" w:lineRule="auto"/>
        <w:contextualSpacing/>
      </w:pPr>
      <w:bookmarkStart w:id="36" w:name="_Toc115775431"/>
      <w:r>
        <w:t>Paper Manufacturing – Four-Factor Feedback</w:t>
      </w:r>
      <w:bookmarkEnd w:id="36"/>
    </w:p>
    <w:p w14:paraId="75722F85" w14:textId="77F2515B" w:rsidR="007352F5" w:rsidRPr="007352F5" w:rsidRDefault="007352F5" w:rsidP="003B5841">
      <w:pPr>
        <w:pStyle w:val="Default"/>
      </w:pPr>
      <w:r w:rsidRPr="007352F5">
        <w:t>MPCA conducted four-factor analyses for two paper mills with the emissions shown below.</w:t>
      </w:r>
    </w:p>
    <w:p w14:paraId="7F26D18F" w14:textId="5892B1DA" w:rsidR="00B448C7" w:rsidRPr="007352F5" w:rsidRDefault="00541741" w:rsidP="00541741">
      <w:pPr>
        <w:pStyle w:val="Caption"/>
      </w:pPr>
      <w:r>
        <w:t xml:space="preserve">Table </w:t>
      </w:r>
      <w:r>
        <w:fldChar w:fldCharType="begin"/>
      </w:r>
      <w:r>
        <w:instrText>SEQ Table \* ARABIC</w:instrText>
      </w:r>
      <w:r>
        <w:fldChar w:fldCharType="separate"/>
      </w:r>
      <w:r w:rsidR="00324681">
        <w:rPr>
          <w:noProof/>
        </w:rPr>
        <w:t>12</w:t>
      </w:r>
      <w:r>
        <w:fldChar w:fldCharType="end"/>
      </w:r>
      <w:r>
        <w:t xml:space="preserve">. </w:t>
      </w:r>
      <w:r w:rsidR="00CE6335" w:rsidRPr="00CE6335">
        <w:t xml:space="preserve">MPCA Table 28. Q/d Analysis </w:t>
      </w:r>
      <w:r w:rsidR="00CE6335">
        <w:t>E</w:t>
      </w:r>
      <w:r w:rsidR="00CE6335" w:rsidRPr="00CE6335">
        <w:t xml:space="preserve">missions </w:t>
      </w:r>
      <w:r w:rsidR="00CE6335">
        <w:t>D</w:t>
      </w:r>
      <w:r w:rsidR="00CE6335" w:rsidRPr="00CE6335">
        <w:t>ata (tons/</w:t>
      </w:r>
      <w:proofErr w:type="spellStart"/>
      <w:r w:rsidR="00CE6335" w:rsidRPr="00CE6335">
        <w:t>yr</w:t>
      </w:r>
      <w:proofErr w:type="spellEnd"/>
      <w:r w:rsidR="00CE6335">
        <w:t>)</w:t>
      </w:r>
    </w:p>
    <w:tbl>
      <w:tblPr>
        <w:tblW w:w="5000" w:type="pct"/>
        <w:tblLook w:val="04A0" w:firstRow="1" w:lastRow="0" w:firstColumn="1" w:lastColumn="0" w:noHBand="0" w:noVBand="1"/>
      </w:tblPr>
      <w:tblGrid>
        <w:gridCol w:w="6743"/>
        <w:gridCol w:w="1323"/>
        <w:gridCol w:w="1274"/>
      </w:tblGrid>
      <w:tr w:rsidR="007352F5" w:rsidRPr="007352F5" w14:paraId="748AC4FA" w14:textId="77777777" w:rsidTr="3328C818">
        <w:trPr>
          <w:trHeight w:val="300"/>
        </w:trPr>
        <w:tc>
          <w:tcPr>
            <w:tcW w:w="3610" w:type="pct"/>
            <w:tcBorders>
              <w:top w:val="single" w:sz="8" w:space="0" w:color="auto"/>
              <w:left w:val="single" w:sz="8" w:space="0" w:color="auto"/>
              <w:bottom w:val="nil"/>
              <w:right w:val="single" w:sz="4" w:space="0" w:color="auto"/>
            </w:tcBorders>
            <w:shd w:val="clear" w:color="auto" w:fill="auto"/>
            <w:noWrap/>
            <w:vAlign w:val="bottom"/>
            <w:hideMark/>
          </w:tcPr>
          <w:p w14:paraId="2D5A7485" w14:textId="77777777" w:rsidR="007352F5" w:rsidRPr="00541741" w:rsidRDefault="007352F5" w:rsidP="00541741">
            <w:pPr>
              <w:pStyle w:val="Table-Text"/>
              <w:rPr>
                <w:b/>
              </w:rPr>
            </w:pPr>
            <w:bookmarkStart w:id="37" w:name="_Hlk114827110"/>
            <w:r w:rsidRPr="00541741">
              <w:rPr>
                <w:b/>
              </w:rPr>
              <w:t>MPCA Table 28. Q/d Analysis emissions data (tons/</w:t>
            </w:r>
            <w:proofErr w:type="spellStart"/>
            <w:r w:rsidRPr="00541741">
              <w:rPr>
                <w:b/>
              </w:rPr>
              <w:t>yr</w:t>
            </w:r>
            <w:proofErr w:type="spellEnd"/>
            <w:r w:rsidRPr="00541741">
              <w:rPr>
                <w:b/>
              </w:rPr>
              <w:t>)</w:t>
            </w:r>
            <w:bookmarkEnd w:id="37"/>
          </w:p>
        </w:tc>
        <w:tc>
          <w:tcPr>
            <w:tcW w:w="708" w:type="pct"/>
            <w:tcBorders>
              <w:top w:val="single" w:sz="8" w:space="0" w:color="auto"/>
              <w:left w:val="nil"/>
              <w:bottom w:val="nil"/>
              <w:right w:val="single" w:sz="4" w:space="0" w:color="auto"/>
            </w:tcBorders>
            <w:shd w:val="clear" w:color="auto" w:fill="auto"/>
            <w:noWrap/>
            <w:vAlign w:val="center"/>
            <w:hideMark/>
          </w:tcPr>
          <w:p w14:paraId="0234DF59" w14:textId="77777777" w:rsidR="007352F5" w:rsidRPr="00541741" w:rsidRDefault="3B836707" w:rsidP="3328C818">
            <w:pPr>
              <w:pStyle w:val="Table-Text"/>
              <w:jc w:val="center"/>
              <w:rPr>
                <w:b/>
                <w:bCs/>
              </w:rPr>
            </w:pPr>
            <w:r w:rsidRPr="3328C818">
              <w:rPr>
                <w:b/>
                <w:bCs/>
              </w:rPr>
              <w:t>NO</w:t>
            </w:r>
            <w:r w:rsidRPr="3328C818">
              <w:rPr>
                <w:b/>
                <w:bCs/>
                <w:vertAlign w:val="subscript"/>
              </w:rPr>
              <w:t>x</w:t>
            </w:r>
          </w:p>
        </w:tc>
        <w:tc>
          <w:tcPr>
            <w:tcW w:w="682" w:type="pct"/>
            <w:tcBorders>
              <w:top w:val="single" w:sz="8" w:space="0" w:color="auto"/>
              <w:left w:val="nil"/>
              <w:bottom w:val="nil"/>
              <w:right w:val="single" w:sz="8" w:space="0" w:color="auto"/>
            </w:tcBorders>
            <w:shd w:val="clear" w:color="auto" w:fill="auto"/>
            <w:noWrap/>
            <w:vAlign w:val="center"/>
            <w:hideMark/>
          </w:tcPr>
          <w:p w14:paraId="41690251" w14:textId="77777777" w:rsidR="007352F5" w:rsidRPr="00541741" w:rsidRDefault="3B836707" w:rsidP="3328C818">
            <w:pPr>
              <w:pStyle w:val="Table-Text"/>
              <w:jc w:val="center"/>
              <w:rPr>
                <w:b/>
                <w:bCs/>
              </w:rPr>
            </w:pPr>
            <w:r w:rsidRPr="3328C818">
              <w:rPr>
                <w:b/>
                <w:bCs/>
              </w:rPr>
              <w:t>SO</w:t>
            </w:r>
            <w:r w:rsidRPr="3328C818">
              <w:rPr>
                <w:b/>
                <w:bCs/>
                <w:vertAlign w:val="subscript"/>
              </w:rPr>
              <w:t>2</w:t>
            </w:r>
          </w:p>
        </w:tc>
      </w:tr>
      <w:tr w:rsidR="007352F5" w:rsidRPr="007352F5" w14:paraId="314E6BFD" w14:textId="77777777" w:rsidTr="3328C818">
        <w:trPr>
          <w:trHeight w:hRule="exact" w:val="288"/>
        </w:trPr>
        <w:tc>
          <w:tcPr>
            <w:tcW w:w="361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AB39CB7" w14:textId="77777777" w:rsidR="007352F5" w:rsidRPr="007352F5" w:rsidRDefault="007352F5" w:rsidP="00541741">
            <w:pPr>
              <w:pStyle w:val="Table-Text"/>
            </w:pPr>
            <w:r w:rsidRPr="007352F5">
              <w:t>Sappi Cloquet LLC</w:t>
            </w:r>
          </w:p>
        </w:tc>
        <w:tc>
          <w:tcPr>
            <w:tcW w:w="708" w:type="pct"/>
            <w:tcBorders>
              <w:top w:val="single" w:sz="8" w:space="0" w:color="auto"/>
              <w:left w:val="nil"/>
              <w:bottom w:val="single" w:sz="4" w:space="0" w:color="auto"/>
              <w:right w:val="single" w:sz="4" w:space="0" w:color="auto"/>
            </w:tcBorders>
            <w:shd w:val="clear" w:color="auto" w:fill="auto"/>
            <w:noWrap/>
            <w:vAlign w:val="center"/>
            <w:hideMark/>
          </w:tcPr>
          <w:p w14:paraId="278FCF8E" w14:textId="77777777" w:rsidR="007352F5" w:rsidRPr="007352F5" w:rsidRDefault="3B836707" w:rsidP="3328C818">
            <w:pPr>
              <w:pStyle w:val="Table-Text"/>
              <w:jc w:val="center"/>
            </w:pPr>
            <w:r>
              <w:t>1,420.65</w:t>
            </w:r>
          </w:p>
        </w:tc>
        <w:tc>
          <w:tcPr>
            <w:tcW w:w="682" w:type="pct"/>
            <w:tcBorders>
              <w:top w:val="single" w:sz="8" w:space="0" w:color="auto"/>
              <w:left w:val="nil"/>
              <w:bottom w:val="single" w:sz="4" w:space="0" w:color="auto"/>
              <w:right w:val="single" w:sz="8" w:space="0" w:color="auto"/>
            </w:tcBorders>
            <w:shd w:val="clear" w:color="auto" w:fill="auto"/>
            <w:noWrap/>
            <w:vAlign w:val="center"/>
            <w:hideMark/>
          </w:tcPr>
          <w:p w14:paraId="531A4178" w14:textId="77777777" w:rsidR="007352F5" w:rsidRPr="007352F5" w:rsidRDefault="3B836707" w:rsidP="3328C818">
            <w:pPr>
              <w:pStyle w:val="Table-Text"/>
              <w:jc w:val="center"/>
            </w:pPr>
            <w:r>
              <w:t>82.88</w:t>
            </w:r>
          </w:p>
        </w:tc>
      </w:tr>
      <w:tr w:rsidR="007352F5" w:rsidRPr="007352F5" w14:paraId="24C20ABD" w14:textId="77777777" w:rsidTr="3328C818">
        <w:trPr>
          <w:trHeight w:hRule="exact" w:val="288"/>
        </w:trPr>
        <w:tc>
          <w:tcPr>
            <w:tcW w:w="3610" w:type="pct"/>
            <w:tcBorders>
              <w:top w:val="nil"/>
              <w:left w:val="single" w:sz="8" w:space="0" w:color="auto"/>
              <w:bottom w:val="single" w:sz="8" w:space="0" w:color="auto"/>
              <w:right w:val="single" w:sz="4" w:space="0" w:color="auto"/>
            </w:tcBorders>
            <w:shd w:val="clear" w:color="auto" w:fill="auto"/>
            <w:noWrap/>
            <w:vAlign w:val="bottom"/>
            <w:hideMark/>
          </w:tcPr>
          <w:p w14:paraId="2891A91F" w14:textId="77777777" w:rsidR="007352F5" w:rsidRPr="007352F5" w:rsidRDefault="007352F5" w:rsidP="00541741">
            <w:pPr>
              <w:pStyle w:val="Table-Text"/>
            </w:pPr>
            <w:r w:rsidRPr="007352F5">
              <w:t>Boise White Paper LLC - Intl Falls</w:t>
            </w:r>
          </w:p>
        </w:tc>
        <w:tc>
          <w:tcPr>
            <w:tcW w:w="708" w:type="pct"/>
            <w:tcBorders>
              <w:top w:val="nil"/>
              <w:left w:val="nil"/>
              <w:bottom w:val="single" w:sz="8" w:space="0" w:color="auto"/>
              <w:right w:val="single" w:sz="4" w:space="0" w:color="auto"/>
            </w:tcBorders>
            <w:shd w:val="clear" w:color="auto" w:fill="auto"/>
            <w:noWrap/>
            <w:vAlign w:val="center"/>
            <w:hideMark/>
          </w:tcPr>
          <w:p w14:paraId="7711C66D" w14:textId="77777777" w:rsidR="007352F5" w:rsidRPr="007352F5" w:rsidRDefault="3B836707" w:rsidP="3328C818">
            <w:pPr>
              <w:pStyle w:val="Table-Text"/>
              <w:jc w:val="center"/>
            </w:pPr>
            <w:r>
              <w:t>802.76</w:t>
            </w:r>
          </w:p>
        </w:tc>
        <w:tc>
          <w:tcPr>
            <w:tcW w:w="682" w:type="pct"/>
            <w:tcBorders>
              <w:top w:val="nil"/>
              <w:left w:val="nil"/>
              <w:bottom w:val="single" w:sz="8" w:space="0" w:color="auto"/>
              <w:right w:val="single" w:sz="8" w:space="0" w:color="auto"/>
            </w:tcBorders>
            <w:shd w:val="clear" w:color="auto" w:fill="auto"/>
            <w:noWrap/>
            <w:vAlign w:val="center"/>
            <w:hideMark/>
          </w:tcPr>
          <w:p w14:paraId="7FF63E54" w14:textId="77777777" w:rsidR="007352F5" w:rsidRPr="007352F5" w:rsidRDefault="3B836707" w:rsidP="3328C818">
            <w:pPr>
              <w:pStyle w:val="Table-Text"/>
              <w:jc w:val="center"/>
            </w:pPr>
            <w:r>
              <w:t>33</w:t>
            </w:r>
          </w:p>
        </w:tc>
      </w:tr>
      <w:tr w:rsidR="007352F5" w:rsidRPr="007352F5" w14:paraId="3BDE3090" w14:textId="77777777" w:rsidTr="3328C818">
        <w:trPr>
          <w:trHeight w:hRule="exact" w:val="288"/>
        </w:trPr>
        <w:tc>
          <w:tcPr>
            <w:tcW w:w="3610" w:type="pct"/>
            <w:tcBorders>
              <w:top w:val="nil"/>
              <w:left w:val="single" w:sz="8" w:space="0" w:color="auto"/>
              <w:bottom w:val="single" w:sz="8" w:space="0" w:color="auto"/>
              <w:right w:val="single" w:sz="4" w:space="0" w:color="auto"/>
            </w:tcBorders>
            <w:shd w:val="clear" w:color="auto" w:fill="auto"/>
            <w:noWrap/>
            <w:vAlign w:val="bottom"/>
            <w:hideMark/>
          </w:tcPr>
          <w:p w14:paraId="4322AFA1" w14:textId="77777777" w:rsidR="007352F5" w:rsidRPr="007352F5" w:rsidRDefault="007352F5" w:rsidP="00541741">
            <w:pPr>
              <w:pStyle w:val="Table-Text"/>
            </w:pPr>
            <w:r w:rsidRPr="007352F5">
              <w:t>Totals</w:t>
            </w:r>
          </w:p>
        </w:tc>
        <w:tc>
          <w:tcPr>
            <w:tcW w:w="708" w:type="pct"/>
            <w:tcBorders>
              <w:top w:val="nil"/>
              <w:left w:val="nil"/>
              <w:bottom w:val="single" w:sz="8" w:space="0" w:color="auto"/>
              <w:right w:val="single" w:sz="4" w:space="0" w:color="auto"/>
            </w:tcBorders>
            <w:shd w:val="clear" w:color="auto" w:fill="auto"/>
            <w:noWrap/>
            <w:vAlign w:val="center"/>
            <w:hideMark/>
          </w:tcPr>
          <w:p w14:paraId="24B88B75" w14:textId="77777777" w:rsidR="007352F5" w:rsidRPr="007352F5" w:rsidRDefault="3B836707" w:rsidP="3328C818">
            <w:pPr>
              <w:pStyle w:val="Table-Text"/>
              <w:jc w:val="center"/>
            </w:pPr>
            <w:r>
              <w:t>2,223.41</w:t>
            </w:r>
          </w:p>
        </w:tc>
        <w:tc>
          <w:tcPr>
            <w:tcW w:w="682" w:type="pct"/>
            <w:tcBorders>
              <w:top w:val="nil"/>
              <w:left w:val="nil"/>
              <w:bottom w:val="single" w:sz="8" w:space="0" w:color="auto"/>
              <w:right w:val="single" w:sz="8" w:space="0" w:color="auto"/>
            </w:tcBorders>
            <w:shd w:val="clear" w:color="auto" w:fill="auto"/>
            <w:noWrap/>
            <w:vAlign w:val="center"/>
            <w:hideMark/>
          </w:tcPr>
          <w:p w14:paraId="56CAC46B" w14:textId="77777777" w:rsidR="007352F5" w:rsidRPr="007352F5" w:rsidRDefault="3B836707" w:rsidP="3328C818">
            <w:pPr>
              <w:pStyle w:val="Table-Text"/>
              <w:jc w:val="center"/>
            </w:pPr>
            <w:r>
              <w:t>115.88</w:t>
            </w:r>
          </w:p>
        </w:tc>
      </w:tr>
    </w:tbl>
    <w:p w14:paraId="0C4A5197" w14:textId="77777777" w:rsidR="007352F5" w:rsidRPr="007352F5" w:rsidRDefault="007352F5" w:rsidP="007352F5">
      <w:pPr>
        <w:spacing w:line="240" w:lineRule="auto"/>
        <w:contextualSpacing/>
        <w:rPr>
          <w:rFonts w:cs="Times New Roman"/>
          <w:szCs w:val="24"/>
        </w:rPr>
      </w:pPr>
    </w:p>
    <w:p w14:paraId="587BE1A9" w14:textId="77777777" w:rsidR="00F50FEB" w:rsidRDefault="007352F5" w:rsidP="00F50FEB">
      <w:pPr>
        <w:spacing w:line="240" w:lineRule="auto"/>
        <w:contextualSpacing/>
        <w:rPr>
          <w:rFonts w:cs="Times New Roman"/>
          <w:szCs w:val="24"/>
        </w:rPr>
      </w:pPr>
      <w:r w:rsidRPr="007352F5">
        <w:rPr>
          <w:rFonts w:cs="Times New Roman"/>
          <w:szCs w:val="24"/>
        </w:rPr>
        <w:t>MPCA is not requiring any emission reductions from these facilities.</w:t>
      </w:r>
    </w:p>
    <w:p w14:paraId="63861A54" w14:textId="238CED3C" w:rsidR="00867FDB" w:rsidRDefault="00867FDB" w:rsidP="00E87F59">
      <w:pPr>
        <w:pStyle w:val="Heading2"/>
      </w:pPr>
      <w:bookmarkStart w:id="38" w:name="_Toc115775432"/>
      <w:r w:rsidRPr="002D3687">
        <w:t>Sappi Cloquet LLC</w:t>
      </w:r>
      <w:r w:rsidR="00E62018">
        <w:rPr>
          <w:rStyle w:val="FootnoteReference"/>
        </w:rPr>
        <w:footnoteReference w:id="17"/>
      </w:r>
      <w:bookmarkEnd w:id="38"/>
    </w:p>
    <w:p w14:paraId="4ACC4A10" w14:textId="77777777" w:rsidR="00867FDB" w:rsidRDefault="00867FDB" w:rsidP="00B1738B">
      <w:pPr>
        <w:pStyle w:val="Heading3"/>
        <w:spacing w:line="240" w:lineRule="auto"/>
        <w:contextualSpacing/>
      </w:pPr>
      <w:r>
        <w:t xml:space="preserve">Summary of NPS Recommendations for </w:t>
      </w:r>
      <w:r w:rsidRPr="00FE0E80">
        <w:t>Sappi Cloquet LLC</w:t>
      </w:r>
    </w:p>
    <w:p w14:paraId="678BC210" w14:textId="7AEEDCD2" w:rsidR="00867FDB" w:rsidRDefault="00867FDB" w:rsidP="00B1738B">
      <w:pPr>
        <w:spacing w:line="240" w:lineRule="auto"/>
        <w:contextualSpacing/>
      </w:pPr>
      <w:r>
        <w:t xml:space="preserve">NPS review of the four-factor analysis conducted for </w:t>
      </w:r>
      <w:r w:rsidRPr="00BD0F02">
        <w:t>Sappi Cloquet LLC</w:t>
      </w:r>
      <w:r>
        <w:t xml:space="preserve"> supports MPCA findings that:</w:t>
      </w:r>
    </w:p>
    <w:p w14:paraId="77A0DBF7" w14:textId="0109A865" w:rsidR="00867FDB" w:rsidRDefault="00867FDB" w:rsidP="00B1738B">
      <w:pPr>
        <w:pStyle w:val="ListParagraph"/>
      </w:pPr>
      <w:r>
        <w:t xml:space="preserve">Recovery Boiler #10 is effectively controlled and can be screened from four-factor evaluation. </w:t>
      </w:r>
    </w:p>
    <w:p w14:paraId="7123921B" w14:textId="0B68AEAD" w:rsidR="00867FDB" w:rsidRDefault="00867FDB" w:rsidP="00B1738B">
      <w:pPr>
        <w:pStyle w:val="ListParagraph"/>
      </w:pPr>
      <w:r>
        <w:t xml:space="preserve">Projected 2028 emissions of </w:t>
      </w:r>
      <w:r w:rsidRPr="00A9462F">
        <w:t>SO</w:t>
      </w:r>
      <w:r w:rsidRPr="00A9462F">
        <w:rPr>
          <w:vertAlign w:val="subscript"/>
        </w:rPr>
        <w:t>2</w:t>
      </w:r>
      <w:r>
        <w:t xml:space="preserve"> from Power Boiler #9 are too low to warrant four-factor evaluation of DSI or SDA emission controls from that unit.</w:t>
      </w:r>
    </w:p>
    <w:p w14:paraId="7CA90DEA" w14:textId="749640DB" w:rsidR="00867FDB" w:rsidRDefault="00867FDB" w:rsidP="00B1738B">
      <w:pPr>
        <w:spacing w:line="240" w:lineRule="auto"/>
        <w:contextualSpacing/>
      </w:pPr>
      <w:r>
        <w:t xml:space="preserve">With respect to the </w:t>
      </w:r>
      <w:r w:rsidRPr="00A9462F">
        <w:t>NO</w:t>
      </w:r>
      <w:r>
        <w:rPr>
          <w:vertAlign w:val="subscript"/>
        </w:rPr>
        <w:t>x</w:t>
      </w:r>
      <w:r>
        <w:t xml:space="preserve"> evaluation on Power Boiler #9, NPS review finds that:</w:t>
      </w:r>
    </w:p>
    <w:p w14:paraId="7C87D0CD" w14:textId="35ABF2D7" w:rsidR="00867FDB" w:rsidRDefault="00867FDB" w:rsidP="00B1738B">
      <w:pPr>
        <w:pStyle w:val="ListParagraph"/>
      </w:pPr>
      <w:r>
        <w:t>Addition of SNCR is cost-effective, and</w:t>
      </w:r>
    </w:p>
    <w:p w14:paraId="01623FFD" w14:textId="4D8AD28D" w:rsidR="00867FDB" w:rsidRDefault="00867FDB" w:rsidP="00B1738B">
      <w:pPr>
        <w:pStyle w:val="ListParagraph"/>
      </w:pPr>
      <w:r>
        <w:t>Addition of SCR is also cost-effective and represents greater emission control.</w:t>
      </w:r>
    </w:p>
    <w:p w14:paraId="70D2EFD1" w14:textId="0B0B8D76" w:rsidR="00867FDB" w:rsidRPr="00BD0F02" w:rsidRDefault="00867FDB" w:rsidP="00B1738B">
      <w:pPr>
        <w:spacing w:line="240" w:lineRule="auto"/>
        <w:contextualSpacing/>
      </w:pPr>
      <w:r>
        <w:t xml:space="preserve">The NPS recommends that MPCA require the addition of cost-effective control strategies that provide the greatest emission reductions. NPS estimates indicate that addition of SCR to Boiler 9 could reduce annual </w:t>
      </w:r>
      <w:r w:rsidRPr="00A9462F">
        <w:t>NO</w:t>
      </w:r>
      <w:r>
        <w:rPr>
          <w:vertAlign w:val="subscript"/>
        </w:rPr>
        <w:t>x</w:t>
      </w:r>
      <w:r>
        <w:t xml:space="preserve"> by </w:t>
      </w:r>
      <w:r w:rsidR="00F50FEB">
        <w:t xml:space="preserve">almost </w:t>
      </w:r>
      <w:r>
        <w:t>300 tons/year at an annual cost of about $2 million resulting in a cost-effective strategy of about $</w:t>
      </w:r>
      <w:r w:rsidR="0012593E">
        <w:t>6,5</w:t>
      </w:r>
      <w:r>
        <w:t xml:space="preserve">00/ton of </w:t>
      </w:r>
      <w:r w:rsidRPr="00A9462F">
        <w:t>NO</w:t>
      </w:r>
      <w:r>
        <w:rPr>
          <w:vertAlign w:val="subscript"/>
        </w:rPr>
        <w:t>x</w:t>
      </w:r>
      <w:r>
        <w:t xml:space="preserve"> removed. By requiring implementation of identified controls MPCA will be reducing haze</w:t>
      </w:r>
      <w:r w:rsidR="00F50FEB">
        <w:t>-</w:t>
      </w:r>
      <w:r>
        <w:t>causing emissions and advancing incremental improvement of visibility at Voyageurs and Isle Royale National Parks as well as other Class I areas in the region.</w:t>
      </w:r>
    </w:p>
    <w:p w14:paraId="5F048888" w14:textId="1A4221BB" w:rsidR="00867FDB" w:rsidRDefault="00867FDB" w:rsidP="00B1738B">
      <w:pPr>
        <w:pStyle w:val="Heading3"/>
        <w:spacing w:line="240" w:lineRule="auto"/>
        <w:contextualSpacing/>
      </w:pPr>
      <w:r>
        <w:t xml:space="preserve">Facility Characteristics </w:t>
      </w:r>
    </w:p>
    <w:p w14:paraId="6BF95731" w14:textId="609D1137" w:rsidR="00867FDB" w:rsidRPr="00BA693C" w:rsidRDefault="00867FDB" w:rsidP="00B1738B">
      <w:pPr>
        <w:spacing w:line="240" w:lineRule="auto"/>
        <w:contextualSpacing/>
      </w:pPr>
      <w:r w:rsidRPr="00BA693C">
        <w:t xml:space="preserve">Sappi Cloquet LLC </w:t>
      </w:r>
      <w:r w:rsidR="00C138B6">
        <w:t xml:space="preserve">(Sappi) </w:t>
      </w:r>
      <w:r w:rsidRPr="00BA693C">
        <w:t xml:space="preserve">is a </w:t>
      </w:r>
      <w:r w:rsidR="0012593E">
        <w:t>K</w:t>
      </w:r>
      <w:r w:rsidRPr="00BA693C">
        <w:t xml:space="preserve">raft pulp and paper mill that manufactures paper pulp, dissolving wood pulp, and fine coated paper. </w:t>
      </w:r>
      <w:r w:rsidRPr="00037230">
        <w:t>The facility is located near Cloquet, MN, about 175 km south of Voyageurs National Park, a Class I area administered by the NPS.</w:t>
      </w:r>
      <w:r w:rsidR="0012593E">
        <w:t xml:space="preserve"> </w:t>
      </w:r>
      <w:r w:rsidRPr="00BA693C">
        <w:t>The two emission units included in MPCA’s request for information are:</w:t>
      </w:r>
    </w:p>
    <w:p w14:paraId="21B9D13D" w14:textId="7713EE10" w:rsidR="00767669" w:rsidRPr="00767669" w:rsidRDefault="00867FDB" w:rsidP="00EA0940">
      <w:pPr>
        <w:pStyle w:val="ListParagraph"/>
      </w:pPr>
      <w:r w:rsidRPr="00767669">
        <w:rPr>
          <w:rFonts w:eastAsiaTheme="minorEastAsia"/>
        </w:rPr>
        <w:t>Power Boiler #9</w:t>
      </w:r>
      <w:r w:rsidR="00767669" w:rsidRPr="00767669">
        <w:rPr>
          <w:rFonts w:eastAsiaTheme="minorEastAsia"/>
        </w:rPr>
        <w:t xml:space="preserve"> </w:t>
      </w:r>
      <w:r w:rsidR="00767669">
        <w:rPr>
          <w:rFonts w:eastAsiaTheme="minorEastAsia"/>
        </w:rPr>
        <w:t xml:space="preserve">(2016 </w:t>
      </w:r>
      <w:r w:rsidR="00767669" w:rsidRPr="00767669">
        <w:rPr>
          <w:rFonts w:eastAsiaTheme="minorEastAsia"/>
        </w:rPr>
        <w:t>NO</w:t>
      </w:r>
      <w:r w:rsidR="00767669" w:rsidRPr="00767669">
        <w:rPr>
          <w:rFonts w:eastAsiaTheme="minorEastAsia"/>
          <w:vertAlign w:val="subscript"/>
        </w:rPr>
        <w:t>X</w:t>
      </w:r>
      <w:r w:rsidR="00767669">
        <w:rPr>
          <w:rFonts w:eastAsiaTheme="minorEastAsia"/>
        </w:rPr>
        <w:t xml:space="preserve"> emissions = 434 ton/yr.)</w:t>
      </w:r>
    </w:p>
    <w:p w14:paraId="5E49C288" w14:textId="433D4CD8" w:rsidR="00867FDB" w:rsidRPr="00E776E4" w:rsidRDefault="00867FDB" w:rsidP="00EA0940">
      <w:pPr>
        <w:pStyle w:val="ListParagraph"/>
      </w:pPr>
      <w:r w:rsidRPr="00767669">
        <w:rPr>
          <w:rFonts w:eastAsiaTheme="minorEastAsia"/>
        </w:rPr>
        <w:t>Recovery Boiler #10</w:t>
      </w:r>
      <w:r w:rsidR="00F50FEB" w:rsidRPr="00767669">
        <w:rPr>
          <w:rFonts w:eastAsiaTheme="minorEastAsia"/>
        </w:rPr>
        <w:t xml:space="preserve"> </w:t>
      </w:r>
      <w:r w:rsidR="00767669" w:rsidRPr="00767669">
        <w:rPr>
          <w:rFonts w:eastAsiaTheme="minorEastAsia"/>
        </w:rPr>
        <w:t>(2016 NO</w:t>
      </w:r>
      <w:r w:rsidR="00767669" w:rsidRPr="00767669">
        <w:rPr>
          <w:rFonts w:eastAsiaTheme="minorEastAsia"/>
          <w:vertAlign w:val="subscript"/>
        </w:rPr>
        <w:t>X</w:t>
      </w:r>
      <w:r w:rsidR="00767669" w:rsidRPr="00767669">
        <w:rPr>
          <w:rFonts w:eastAsiaTheme="minorEastAsia"/>
        </w:rPr>
        <w:t xml:space="preserve"> emissions = 704 ton/yr.)</w:t>
      </w:r>
    </w:p>
    <w:p w14:paraId="7E312DB3" w14:textId="5CD2F6C9" w:rsidR="00767669" w:rsidRDefault="00767669" w:rsidP="00B1738B">
      <w:pPr>
        <w:tabs>
          <w:tab w:val="left" w:pos="4130"/>
        </w:tabs>
        <w:spacing w:line="240" w:lineRule="auto"/>
        <w:contextualSpacing/>
      </w:pPr>
      <w:r>
        <w:t xml:space="preserve">It appears that these two emission units account for about </w:t>
      </w:r>
      <w:r w:rsidR="007A4549">
        <w:t xml:space="preserve">80% of mill </w:t>
      </w:r>
      <w:r w:rsidR="00845E52" w:rsidRPr="00A625C3">
        <w:rPr>
          <w:rFonts w:cs="Times New Roman"/>
          <w:szCs w:val="24"/>
        </w:rPr>
        <w:t>NO</w:t>
      </w:r>
      <w:r w:rsidR="00845E52" w:rsidRPr="00A625C3">
        <w:rPr>
          <w:rFonts w:cs="Times New Roman"/>
          <w:szCs w:val="24"/>
          <w:vertAlign w:val="subscript"/>
        </w:rPr>
        <w:t>X</w:t>
      </w:r>
      <w:r w:rsidR="00845E52">
        <w:t xml:space="preserve"> </w:t>
      </w:r>
      <w:r w:rsidR="007A4549">
        <w:t>emissions.</w:t>
      </w:r>
    </w:p>
    <w:p w14:paraId="56E88E49" w14:textId="77777777" w:rsidR="00767669" w:rsidRDefault="00767669" w:rsidP="00B1738B">
      <w:pPr>
        <w:tabs>
          <w:tab w:val="left" w:pos="4130"/>
        </w:tabs>
        <w:spacing w:line="240" w:lineRule="auto"/>
        <w:contextualSpacing/>
      </w:pPr>
    </w:p>
    <w:p w14:paraId="271AA202" w14:textId="3FB326E9" w:rsidR="00867FDB" w:rsidRPr="00E776E4" w:rsidRDefault="00867FDB" w:rsidP="00B1738B">
      <w:pPr>
        <w:tabs>
          <w:tab w:val="left" w:pos="4130"/>
        </w:tabs>
        <w:spacing w:line="240" w:lineRule="auto"/>
        <w:contextualSpacing/>
      </w:pPr>
      <w:r w:rsidRPr="00E776E4">
        <w:t>NPS supports MPCA findings that:</w:t>
      </w:r>
    </w:p>
    <w:p w14:paraId="43C5EA9D" w14:textId="14BCED41" w:rsidR="00867FDB" w:rsidRPr="00E776E4" w:rsidRDefault="00867FDB" w:rsidP="00B1738B">
      <w:pPr>
        <w:pStyle w:val="ListParagraph"/>
      </w:pPr>
      <w:r w:rsidRPr="00E776E4">
        <w:t xml:space="preserve">Recovery Boiler #10 is effectively controlled </w:t>
      </w:r>
      <w:r w:rsidR="00216AED">
        <w:t xml:space="preserve">with quaternary air </w:t>
      </w:r>
      <w:r w:rsidRPr="00E776E4">
        <w:t xml:space="preserve">and can be screened from four-factor evaluation. </w:t>
      </w:r>
    </w:p>
    <w:p w14:paraId="2C153A34" w14:textId="46E65907" w:rsidR="00867FDB" w:rsidRDefault="00867FDB" w:rsidP="00B1738B">
      <w:pPr>
        <w:pStyle w:val="ListParagraph"/>
      </w:pPr>
      <w:r w:rsidRPr="00E776E4">
        <w:t xml:space="preserve">Projected 2028 emissions of </w:t>
      </w:r>
      <w:r w:rsidRPr="00A9462F">
        <w:t>SO</w:t>
      </w:r>
      <w:r w:rsidRPr="00A9462F">
        <w:rPr>
          <w:vertAlign w:val="subscript"/>
        </w:rPr>
        <w:t>2</w:t>
      </w:r>
      <w:r w:rsidRPr="00E776E4">
        <w:t xml:space="preserve"> from Power Boiler #9 are too low to warrant four-factor evaluation of DSI or SDA emission controls from that unit.</w:t>
      </w:r>
    </w:p>
    <w:p w14:paraId="6B80A8CC" w14:textId="0DE17A6C" w:rsidR="00867FDB" w:rsidRDefault="00867FDB" w:rsidP="00B1738B">
      <w:pPr>
        <w:pStyle w:val="Heading3"/>
        <w:spacing w:line="240" w:lineRule="auto"/>
        <w:contextualSpacing/>
      </w:pPr>
      <w:r w:rsidRPr="00A9462F">
        <w:t>NO</w:t>
      </w:r>
      <w:r>
        <w:rPr>
          <w:vertAlign w:val="subscript"/>
        </w:rPr>
        <w:t>x</w:t>
      </w:r>
      <w:r>
        <w:t xml:space="preserve"> Four-factor Analysis</w:t>
      </w:r>
    </w:p>
    <w:p w14:paraId="41D88196" w14:textId="77777777" w:rsidR="00867FDB" w:rsidRDefault="00867FDB" w:rsidP="00B1738B">
      <w:pPr>
        <w:pStyle w:val="Heading4"/>
        <w:spacing w:line="240" w:lineRule="auto"/>
        <w:contextualSpacing/>
      </w:pPr>
      <w:r>
        <w:t>Control Selection &amp; Efficiency</w:t>
      </w:r>
    </w:p>
    <w:p w14:paraId="0B2845CA" w14:textId="023A047C" w:rsidR="00867FDB" w:rsidRPr="00002E99" w:rsidRDefault="00867FDB" w:rsidP="00B23D77">
      <w:r w:rsidRPr="00002E99">
        <w:t xml:space="preserve">Power Boiler #9 </w:t>
      </w:r>
      <w:r w:rsidR="00A7726C" w:rsidRPr="00002E99">
        <w:t xml:space="preserve">is a stoker grate design </w:t>
      </w:r>
      <w:r w:rsidR="00A7726C">
        <w:t xml:space="preserve">that </w:t>
      </w:r>
      <w:r w:rsidRPr="00002E99">
        <w:t xml:space="preserve">burns primarily hog fuel (biomass), utilizes natural gas as a startup/supplemental fuel, is a backup combustion source for </w:t>
      </w:r>
      <w:r w:rsidR="00C138B6">
        <w:t>non-</w:t>
      </w:r>
      <w:proofErr w:type="spellStart"/>
      <w:r w:rsidR="00C138B6">
        <w:t>condensible</w:t>
      </w:r>
      <w:proofErr w:type="spellEnd"/>
      <w:r w:rsidR="00C138B6">
        <w:t xml:space="preserve"> gases</w:t>
      </w:r>
      <w:r w:rsidRPr="00002E99">
        <w:t xml:space="preserve">, and is permitted to burn distillate oil. Based on the primary fuel use and the design of Power Boiler #9, </w:t>
      </w:r>
      <w:r w:rsidR="0012593E">
        <w:t>L</w:t>
      </w:r>
      <w:r w:rsidRPr="00002E99">
        <w:t>ow</w:t>
      </w:r>
      <w:r w:rsidR="0012593E">
        <w:t>-</w:t>
      </w:r>
      <w:r w:rsidRPr="00A9462F">
        <w:t>NO</w:t>
      </w:r>
      <w:r>
        <w:rPr>
          <w:vertAlign w:val="subscript"/>
        </w:rPr>
        <w:t>x</w:t>
      </w:r>
      <w:r w:rsidRPr="00002E99">
        <w:t xml:space="preserve"> </w:t>
      </w:r>
      <w:r w:rsidR="0012593E">
        <w:t>B</w:t>
      </w:r>
      <w:r w:rsidRPr="00002E99">
        <w:t xml:space="preserve">urners </w:t>
      </w:r>
      <w:r w:rsidR="0012593E">
        <w:t xml:space="preserve">(LNB) </w:t>
      </w:r>
      <w:r w:rsidRPr="00002E99">
        <w:t>were not considered in the four-factor analysis because:</w:t>
      </w:r>
    </w:p>
    <w:p w14:paraId="230A000C" w14:textId="100D161C" w:rsidR="00867FDB" w:rsidRPr="00002E99" w:rsidRDefault="0012593E" w:rsidP="00B23D77">
      <w:pPr>
        <w:pStyle w:val="ListParagraph"/>
      </w:pPr>
      <w:r>
        <w:t>LNB</w:t>
      </w:r>
      <w:r w:rsidR="00867FDB" w:rsidRPr="00002E99">
        <w:t xml:space="preserve"> for solid fuels (like the ones at coal fired power plants) typically utilize dry solid fuel which is pulverized to a fine powder in a mill and fed pneumatically into the burners. This allows staging of air and fuel in the combustion process in order to reduce </w:t>
      </w:r>
      <w:r w:rsidR="00867FDB" w:rsidRPr="00A9462F">
        <w:t>NO</w:t>
      </w:r>
      <w:r w:rsidR="00867FDB">
        <w:rPr>
          <w:vertAlign w:val="subscript"/>
        </w:rPr>
        <w:t>x</w:t>
      </w:r>
      <w:r w:rsidR="00867FDB" w:rsidRPr="00002E99">
        <w:t xml:space="preserve"> emissions. This technology is not feasible for the stoker grate hog fuel boiler at Sappi.</w:t>
      </w:r>
    </w:p>
    <w:p w14:paraId="51B07F89" w14:textId="47C42811" w:rsidR="00867FDB" w:rsidRPr="00002E99" w:rsidRDefault="0012593E" w:rsidP="00B23D77">
      <w:pPr>
        <w:pStyle w:val="ListParagraph"/>
      </w:pPr>
      <w:r>
        <w:t>LNB</w:t>
      </w:r>
      <w:r w:rsidR="00216AED">
        <w:t xml:space="preserve"> </w:t>
      </w:r>
      <w:r w:rsidR="00867FDB" w:rsidRPr="00002E99">
        <w:t xml:space="preserve">for natural gas and/or distillate oil are technically feasible options, but the hog fuel boiler at Sappi burns primarily hog fuel (biomass). Thus, installing </w:t>
      </w:r>
      <w:r>
        <w:t>LNB</w:t>
      </w:r>
      <w:r w:rsidR="00867FDB" w:rsidRPr="00002E99">
        <w:t xml:space="preserve"> for natural gas and/or distillate oil would have a minor impact on </w:t>
      </w:r>
      <w:r w:rsidR="00867FDB" w:rsidRPr="00A9462F">
        <w:t>NO</w:t>
      </w:r>
      <w:r w:rsidR="00867FDB">
        <w:rPr>
          <w:vertAlign w:val="subscript"/>
        </w:rPr>
        <w:t>x</w:t>
      </w:r>
      <w:r w:rsidR="00867FDB" w:rsidRPr="00002E99">
        <w:t xml:space="preserve"> emissions and therefore was not further considered in the four-factor analysis.</w:t>
      </w:r>
    </w:p>
    <w:p w14:paraId="1714B3BB" w14:textId="357DEDB0" w:rsidR="00867FDB" w:rsidRPr="00002E99" w:rsidRDefault="00867FDB" w:rsidP="00B23D77">
      <w:r w:rsidRPr="00002E99">
        <w:t>Based on this information, the technologies that were considered in the four-factor analysis are</w:t>
      </w:r>
      <w:r>
        <w:t xml:space="preserve"> S</w:t>
      </w:r>
      <w:r w:rsidRPr="00002E99">
        <w:t>CR</w:t>
      </w:r>
      <w:r>
        <w:t xml:space="preserve"> and </w:t>
      </w:r>
      <w:r w:rsidRPr="00002E99">
        <w:t>SNCR</w:t>
      </w:r>
      <w:r>
        <w:t xml:space="preserve">. The </w:t>
      </w:r>
      <w:r w:rsidRPr="00BC2078">
        <w:t xml:space="preserve">NPS supports this determination of appropriate </w:t>
      </w:r>
      <w:r w:rsidRPr="00A9462F">
        <w:t>NO</w:t>
      </w:r>
      <w:r>
        <w:rPr>
          <w:vertAlign w:val="subscript"/>
        </w:rPr>
        <w:t>x</w:t>
      </w:r>
      <w:r>
        <w:t xml:space="preserve"> </w:t>
      </w:r>
      <w:r w:rsidRPr="00BC2078">
        <w:t>controls for consideration.</w:t>
      </w:r>
    </w:p>
    <w:p w14:paraId="29F02B7D" w14:textId="642F79E3" w:rsidR="00867FDB" w:rsidRDefault="00867FDB" w:rsidP="00B1738B">
      <w:pPr>
        <w:pStyle w:val="Heading4"/>
        <w:spacing w:line="240" w:lineRule="auto"/>
        <w:contextualSpacing/>
      </w:pPr>
      <w:r>
        <w:t>Statutory Factor 1: Cost of Compliance</w:t>
      </w:r>
    </w:p>
    <w:p w14:paraId="68153865" w14:textId="77777777" w:rsidR="00867FDB" w:rsidRPr="0072039B" w:rsidRDefault="00867FDB" w:rsidP="00B1738B">
      <w:pPr>
        <w:spacing w:line="240" w:lineRule="auto"/>
        <w:contextualSpacing/>
      </w:pPr>
      <w:r w:rsidRPr="0072039B">
        <w:t>The table below shows the SNCR and SCR costs estimated by MPCA and</w:t>
      </w:r>
      <w:r>
        <w:t xml:space="preserve"> the </w:t>
      </w:r>
      <w:r w:rsidRPr="0072039B">
        <w:t>NPS</w:t>
      </w:r>
      <w:r>
        <w:t xml:space="preserve"> for Sappi. </w:t>
      </w:r>
      <w:r w:rsidRPr="0072039B">
        <w:t>All cost-effectiveness values are below $</w:t>
      </w:r>
      <w:r w:rsidR="0012593E">
        <w:t>10</w:t>
      </w:r>
      <w:r w:rsidRPr="0072039B">
        <w:t>,000/ton</w:t>
      </w:r>
      <w:r w:rsidR="0012593E">
        <w:t xml:space="preserve">, and </w:t>
      </w:r>
      <w:r w:rsidR="005202A6">
        <w:t>NPS</w:t>
      </w:r>
      <w:r w:rsidR="0012593E">
        <w:t xml:space="preserve"> estimate</w:t>
      </w:r>
      <w:r w:rsidR="00027685">
        <w:t>s</w:t>
      </w:r>
      <w:r w:rsidR="0012593E">
        <w:t xml:space="preserve"> that the cost-effectiveness of adding SCR is below MPCA’s $7,600/ton acceptance threshold</w:t>
      </w:r>
      <w:r w:rsidRPr="0072039B">
        <w:t>.</w:t>
      </w:r>
    </w:p>
    <w:p w14:paraId="4E2A0112" w14:textId="77777777" w:rsidR="00B23D77" w:rsidRDefault="00B23D77">
      <w:pPr>
        <w:rPr>
          <w:bCs/>
          <w:i/>
          <w:iCs/>
          <w:color w:val="44546A" w:themeColor="text2"/>
          <w:sz w:val="22"/>
          <w:szCs w:val="18"/>
        </w:rPr>
      </w:pPr>
      <w:r>
        <w:br w:type="page"/>
      </w:r>
    </w:p>
    <w:p w14:paraId="49D81A0A" w14:textId="5A7B7AFC" w:rsidR="00A86D88" w:rsidRDefault="00541741" w:rsidP="00541741">
      <w:pPr>
        <w:pStyle w:val="Caption"/>
      </w:pPr>
      <w:r>
        <w:t xml:space="preserve">Table </w:t>
      </w:r>
      <w:r>
        <w:fldChar w:fldCharType="begin"/>
      </w:r>
      <w:r>
        <w:instrText>SEQ Table \* ARABIC</w:instrText>
      </w:r>
      <w:r>
        <w:fldChar w:fldCharType="separate"/>
      </w:r>
      <w:r w:rsidR="00324681">
        <w:rPr>
          <w:noProof/>
        </w:rPr>
        <w:t>13</w:t>
      </w:r>
      <w:r>
        <w:fldChar w:fldCharType="end"/>
      </w:r>
      <w:r>
        <w:t xml:space="preserve">. </w:t>
      </w:r>
      <w:r w:rsidR="00867FDB">
        <w:t>NPS estimated</w:t>
      </w:r>
      <w:r w:rsidR="00867FDB" w:rsidRPr="004B48D7">
        <w:t xml:space="preserve"> </w:t>
      </w:r>
      <w:r w:rsidR="00867FDB" w:rsidRPr="00A9462F">
        <w:t>NO</w:t>
      </w:r>
      <w:r w:rsidR="00867FDB">
        <w:rPr>
          <w:vertAlign w:val="subscript"/>
        </w:rPr>
        <w:t>x</w:t>
      </w:r>
      <w:r w:rsidR="00867FDB">
        <w:t xml:space="preserve"> control</w:t>
      </w:r>
      <w:r w:rsidR="00867FDB" w:rsidRPr="004B48D7">
        <w:t xml:space="preserve"> costs </w:t>
      </w:r>
      <w:r w:rsidR="00867FDB">
        <w:t xml:space="preserve">for </w:t>
      </w:r>
      <w:r w:rsidR="00867FDB" w:rsidRPr="00C77F70">
        <w:t xml:space="preserve">Sappi Cloquet </w:t>
      </w:r>
      <w:r w:rsidR="00867FDB">
        <w:t xml:space="preserve">power boiler 9 compared to </w:t>
      </w:r>
      <w:r w:rsidR="00867FDB" w:rsidRPr="004B48D7">
        <w:t xml:space="preserve">MPCA </w:t>
      </w:r>
      <w:r w:rsidR="00867FDB">
        <w:t>estimates</w:t>
      </w:r>
    </w:p>
    <w:tbl>
      <w:tblPr>
        <w:tblW w:w="5000" w:type="pct"/>
        <w:tblLook w:val="04A0" w:firstRow="1" w:lastRow="0" w:firstColumn="1" w:lastColumn="0" w:noHBand="0" w:noVBand="1"/>
      </w:tblPr>
      <w:tblGrid>
        <w:gridCol w:w="4176"/>
        <w:gridCol w:w="1216"/>
        <w:gridCol w:w="1216"/>
        <w:gridCol w:w="1366"/>
        <w:gridCol w:w="1366"/>
      </w:tblGrid>
      <w:tr w:rsidR="00A86D88" w:rsidRPr="00A86D88" w14:paraId="0C47C33A" w14:textId="77777777" w:rsidTr="3328C818">
        <w:trPr>
          <w:trHeight w:val="300"/>
        </w:trPr>
        <w:tc>
          <w:tcPr>
            <w:tcW w:w="5000" w:type="pct"/>
            <w:gridSpan w:val="5"/>
            <w:tcBorders>
              <w:top w:val="single" w:sz="8" w:space="0" w:color="auto"/>
              <w:left w:val="single" w:sz="8" w:space="0" w:color="auto"/>
              <w:bottom w:val="single" w:sz="8" w:space="0" w:color="auto"/>
              <w:right w:val="single" w:sz="8" w:space="0" w:color="000000" w:themeColor="text1"/>
            </w:tcBorders>
            <w:shd w:val="clear" w:color="auto" w:fill="auto"/>
            <w:noWrap/>
            <w:vAlign w:val="bottom"/>
            <w:hideMark/>
          </w:tcPr>
          <w:p w14:paraId="3F85D4F6" w14:textId="77777777" w:rsidR="00A86D88" w:rsidRPr="00C83302" w:rsidRDefault="00A86D88" w:rsidP="00541741">
            <w:pPr>
              <w:pStyle w:val="Table-Text"/>
              <w:rPr>
                <w:b/>
              </w:rPr>
            </w:pPr>
            <w:r w:rsidRPr="00C83302">
              <w:rPr>
                <w:b/>
              </w:rPr>
              <w:t xml:space="preserve">Sappi Boiler 9 </w:t>
            </w:r>
          </w:p>
        </w:tc>
      </w:tr>
      <w:tr w:rsidR="00A86D88" w:rsidRPr="00A86D88" w14:paraId="41907C73" w14:textId="77777777" w:rsidTr="00CA4D7F">
        <w:trPr>
          <w:trHeight w:val="290"/>
        </w:trPr>
        <w:tc>
          <w:tcPr>
            <w:tcW w:w="22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94417" w14:textId="77777777" w:rsidR="00A86D88" w:rsidRPr="00C83302" w:rsidRDefault="00A86D88" w:rsidP="00541741">
            <w:pPr>
              <w:pStyle w:val="Table-Text"/>
              <w:rPr>
                <w:b/>
              </w:rPr>
            </w:pPr>
            <w:r w:rsidRPr="00C83302">
              <w:rPr>
                <w:b/>
              </w:rPr>
              <w:t>Control Technology</w:t>
            </w:r>
          </w:p>
        </w:tc>
        <w:tc>
          <w:tcPr>
            <w:tcW w:w="1302" w:type="pct"/>
            <w:gridSpan w:val="2"/>
            <w:tcBorders>
              <w:top w:val="nil"/>
              <w:left w:val="single" w:sz="4" w:space="0" w:color="auto"/>
              <w:bottom w:val="single" w:sz="4" w:space="0" w:color="auto"/>
              <w:right w:val="single" w:sz="8" w:space="0" w:color="000000" w:themeColor="text1"/>
            </w:tcBorders>
            <w:shd w:val="clear" w:color="auto" w:fill="auto"/>
            <w:noWrap/>
            <w:vAlign w:val="center"/>
            <w:hideMark/>
          </w:tcPr>
          <w:p w14:paraId="3C55ECCA" w14:textId="77777777" w:rsidR="00A86D88" w:rsidRPr="00C83302" w:rsidRDefault="1AD3821D" w:rsidP="3328C818">
            <w:pPr>
              <w:pStyle w:val="Table-Text"/>
              <w:jc w:val="center"/>
              <w:rPr>
                <w:b/>
                <w:bCs/>
              </w:rPr>
            </w:pPr>
            <w:r w:rsidRPr="3328C818">
              <w:rPr>
                <w:b/>
                <w:bCs/>
              </w:rPr>
              <w:t>SNCR</w:t>
            </w:r>
          </w:p>
        </w:tc>
        <w:tc>
          <w:tcPr>
            <w:tcW w:w="1463" w:type="pct"/>
            <w:gridSpan w:val="2"/>
            <w:tcBorders>
              <w:top w:val="nil"/>
              <w:left w:val="nil"/>
              <w:bottom w:val="single" w:sz="4" w:space="0" w:color="auto"/>
              <w:right w:val="single" w:sz="8" w:space="0" w:color="000000" w:themeColor="text1"/>
            </w:tcBorders>
            <w:shd w:val="clear" w:color="auto" w:fill="auto"/>
            <w:noWrap/>
            <w:vAlign w:val="center"/>
            <w:hideMark/>
          </w:tcPr>
          <w:p w14:paraId="4769D155" w14:textId="77777777" w:rsidR="00A86D88" w:rsidRPr="00C83302" w:rsidRDefault="1AD3821D" w:rsidP="3328C818">
            <w:pPr>
              <w:pStyle w:val="Table-Text"/>
              <w:jc w:val="center"/>
              <w:rPr>
                <w:b/>
                <w:bCs/>
              </w:rPr>
            </w:pPr>
            <w:r w:rsidRPr="3328C818">
              <w:rPr>
                <w:b/>
                <w:bCs/>
              </w:rPr>
              <w:t>SCR</w:t>
            </w:r>
          </w:p>
        </w:tc>
      </w:tr>
      <w:tr w:rsidR="00A86D88" w:rsidRPr="00A86D88" w14:paraId="69B655F9" w14:textId="77777777" w:rsidTr="00CA4D7F">
        <w:trPr>
          <w:trHeight w:val="300"/>
        </w:trPr>
        <w:tc>
          <w:tcPr>
            <w:tcW w:w="2236" w:type="pct"/>
            <w:vMerge/>
            <w:tcBorders>
              <w:top w:val="single" w:sz="8" w:space="0" w:color="000000" w:themeColor="text1"/>
              <w:left w:val="single" w:sz="4" w:space="0" w:color="auto"/>
              <w:bottom w:val="single" w:sz="4" w:space="0" w:color="auto"/>
              <w:right w:val="single" w:sz="4" w:space="0" w:color="auto"/>
            </w:tcBorders>
            <w:vAlign w:val="center"/>
            <w:hideMark/>
          </w:tcPr>
          <w:p w14:paraId="5F03280F" w14:textId="77777777" w:rsidR="00A86D88" w:rsidRPr="00C83302" w:rsidRDefault="00A86D88" w:rsidP="00541741">
            <w:pPr>
              <w:pStyle w:val="Table-Text"/>
              <w:rPr>
                <w:b/>
              </w:rPr>
            </w:pPr>
          </w:p>
        </w:tc>
        <w:tc>
          <w:tcPr>
            <w:tcW w:w="651" w:type="pct"/>
            <w:tcBorders>
              <w:top w:val="nil"/>
              <w:left w:val="single" w:sz="4" w:space="0" w:color="auto"/>
              <w:bottom w:val="nil"/>
              <w:right w:val="single" w:sz="4" w:space="0" w:color="auto"/>
            </w:tcBorders>
            <w:shd w:val="clear" w:color="auto" w:fill="auto"/>
            <w:noWrap/>
            <w:vAlign w:val="center"/>
            <w:hideMark/>
          </w:tcPr>
          <w:p w14:paraId="1724B0F3" w14:textId="77777777" w:rsidR="00A86D88" w:rsidRPr="00C83302" w:rsidRDefault="1AD3821D" w:rsidP="3328C818">
            <w:pPr>
              <w:pStyle w:val="Table-Text"/>
              <w:jc w:val="center"/>
              <w:rPr>
                <w:b/>
                <w:bCs/>
              </w:rPr>
            </w:pPr>
            <w:r w:rsidRPr="3328C818">
              <w:rPr>
                <w:b/>
                <w:bCs/>
              </w:rPr>
              <w:t>NPS</w:t>
            </w:r>
          </w:p>
        </w:tc>
        <w:tc>
          <w:tcPr>
            <w:tcW w:w="651" w:type="pct"/>
            <w:tcBorders>
              <w:top w:val="nil"/>
              <w:left w:val="nil"/>
              <w:bottom w:val="nil"/>
              <w:right w:val="nil"/>
            </w:tcBorders>
            <w:shd w:val="clear" w:color="auto" w:fill="auto"/>
            <w:noWrap/>
            <w:vAlign w:val="center"/>
            <w:hideMark/>
          </w:tcPr>
          <w:p w14:paraId="75A52A86" w14:textId="77777777" w:rsidR="00A86D88" w:rsidRPr="00C83302" w:rsidRDefault="1AD3821D" w:rsidP="3328C818">
            <w:pPr>
              <w:pStyle w:val="Table-Text"/>
              <w:jc w:val="center"/>
              <w:rPr>
                <w:b/>
                <w:bCs/>
              </w:rPr>
            </w:pPr>
            <w:r w:rsidRPr="3328C818">
              <w:rPr>
                <w:b/>
                <w:bCs/>
              </w:rPr>
              <w:t>MPCA</w:t>
            </w:r>
          </w:p>
        </w:tc>
        <w:tc>
          <w:tcPr>
            <w:tcW w:w="731" w:type="pct"/>
            <w:tcBorders>
              <w:top w:val="nil"/>
              <w:left w:val="single" w:sz="8" w:space="0" w:color="auto"/>
              <w:bottom w:val="single" w:sz="8" w:space="0" w:color="auto"/>
              <w:right w:val="single" w:sz="4" w:space="0" w:color="auto"/>
            </w:tcBorders>
            <w:shd w:val="clear" w:color="auto" w:fill="auto"/>
            <w:noWrap/>
            <w:vAlign w:val="center"/>
            <w:hideMark/>
          </w:tcPr>
          <w:p w14:paraId="5C5D451F" w14:textId="77777777" w:rsidR="00A86D88" w:rsidRPr="00C83302" w:rsidRDefault="1AD3821D" w:rsidP="3328C818">
            <w:pPr>
              <w:pStyle w:val="Table-Text"/>
              <w:jc w:val="center"/>
              <w:rPr>
                <w:b/>
                <w:bCs/>
              </w:rPr>
            </w:pPr>
            <w:r w:rsidRPr="3328C818">
              <w:rPr>
                <w:b/>
                <w:bCs/>
              </w:rPr>
              <w:t>NPS</w:t>
            </w:r>
          </w:p>
        </w:tc>
        <w:tc>
          <w:tcPr>
            <w:tcW w:w="731" w:type="pct"/>
            <w:tcBorders>
              <w:top w:val="nil"/>
              <w:left w:val="nil"/>
              <w:bottom w:val="single" w:sz="8" w:space="0" w:color="auto"/>
              <w:right w:val="single" w:sz="8" w:space="0" w:color="auto"/>
            </w:tcBorders>
            <w:shd w:val="clear" w:color="auto" w:fill="auto"/>
            <w:noWrap/>
            <w:vAlign w:val="center"/>
            <w:hideMark/>
          </w:tcPr>
          <w:p w14:paraId="0131AC94" w14:textId="77777777" w:rsidR="00A86D88" w:rsidRPr="00C83302" w:rsidRDefault="1AD3821D" w:rsidP="3328C818">
            <w:pPr>
              <w:pStyle w:val="Table-Text"/>
              <w:jc w:val="center"/>
              <w:rPr>
                <w:b/>
                <w:bCs/>
              </w:rPr>
            </w:pPr>
            <w:r w:rsidRPr="3328C818">
              <w:rPr>
                <w:b/>
                <w:bCs/>
              </w:rPr>
              <w:t>MPCA</w:t>
            </w:r>
          </w:p>
        </w:tc>
      </w:tr>
      <w:tr w:rsidR="00A86D88" w:rsidRPr="00A86D88" w14:paraId="56DE6BC6" w14:textId="77777777" w:rsidTr="00CA4D7F">
        <w:trPr>
          <w:trHeight w:hRule="exact" w:val="288"/>
        </w:trPr>
        <w:tc>
          <w:tcPr>
            <w:tcW w:w="2236"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30D11BE" w14:textId="77777777" w:rsidR="00A86D88" w:rsidRPr="00A86D88" w:rsidRDefault="00A86D88" w:rsidP="00541741">
            <w:pPr>
              <w:pStyle w:val="Table-Text"/>
            </w:pPr>
            <w:r w:rsidRPr="00A86D88">
              <w:t>Capacity (</w:t>
            </w:r>
            <w:proofErr w:type="spellStart"/>
            <w:r w:rsidRPr="00A86D88">
              <w:t>mmBtu</w:t>
            </w:r>
            <w:proofErr w:type="spellEnd"/>
            <w:r w:rsidRPr="00A86D88">
              <w:t>/</w:t>
            </w:r>
            <w:proofErr w:type="spellStart"/>
            <w:r w:rsidRPr="00A86D88">
              <w:t>hr</w:t>
            </w:r>
            <w:proofErr w:type="spellEnd"/>
            <w:r w:rsidRPr="00A86D88">
              <w:t>)</w:t>
            </w:r>
          </w:p>
        </w:tc>
        <w:tc>
          <w:tcPr>
            <w:tcW w:w="651" w:type="pct"/>
            <w:tcBorders>
              <w:top w:val="single" w:sz="8" w:space="0" w:color="auto"/>
              <w:left w:val="nil"/>
              <w:bottom w:val="single" w:sz="4" w:space="0" w:color="auto"/>
              <w:right w:val="single" w:sz="4" w:space="0" w:color="auto"/>
            </w:tcBorders>
            <w:shd w:val="clear" w:color="auto" w:fill="auto"/>
            <w:noWrap/>
            <w:vAlign w:val="center"/>
            <w:hideMark/>
          </w:tcPr>
          <w:p w14:paraId="776E749F" w14:textId="77777777" w:rsidR="00A86D88" w:rsidRPr="00A86D88" w:rsidRDefault="1AD3821D" w:rsidP="3328C818">
            <w:pPr>
              <w:pStyle w:val="Table-Text"/>
              <w:jc w:val="center"/>
            </w:pPr>
            <w:r>
              <w:t>430</w:t>
            </w:r>
          </w:p>
        </w:tc>
        <w:tc>
          <w:tcPr>
            <w:tcW w:w="651" w:type="pct"/>
            <w:tcBorders>
              <w:top w:val="single" w:sz="8" w:space="0" w:color="auto"/>
              <w:left w:val="nil"/>
              <w:bottom w:val="single" w:sz="4" w:space="0" w:color="auto"/>
              <w:right w:val="nil"/>
            </w:tcBorders>
            <w:shd w:val="clear" w:color="auto" w:fill="auto"/>
            <w:noWrap/>
            <w:vAlign w:val="center"/>
            <w:hideMark/>
          </w:tcPr>
          <w:p w14:paraId="637CE65B" w14:textId="77777777" w:rsidR="00A86D88" w:rsidRPr="00A86D88" w:rsidRDefault="1AD3821D" w:rsidP="3328C818">
            <w:pPr>
              <w:pStyle w:val="Table-Text"/>
              <w:jc w:val="center"/>
            </w:pPr>
            <w:r>
              <w:t>430</w:t>
            </w:r>
          </w:p>
        </w:tc>
        <w:tc>
          <w:tcPr>
            <w:tcW w:w="731" w:type="pct"/>
            <w:tcBorders>
              <w:top w:val="nil"/>
              <w:left w:val="single" w:sz="8" w:space="0" w:color="auto"/>
              <w:bottom w:val="single" w:sz="4" w:space="0" w:color="auto"/>
              <w:right w:val="single" w:sz="4" w:space="0" w:color="auto"/>
            </w:tcBorders>
            <w:shd w:val="clear" w:color="auto" w:fill="auto"/>
            <w:noWrap/>
            <w:vAlign w:val="center"/>
            <w:hideMark/>
          </w:tcPr>
          <w:p w14:paraId="499E0ECB" w14:textId="77777777" w:rsidR="00A86D88" w:rsidRPr="00A86D88" w:rsidRDefault="1AD3821D" w:rsidP="3328C818">
            <w:pPr>
              <w:pStyle w:val="Table-Text"/>
              <w:jc w:val="center"/>
            </w:pPr>
            <w:r>
              <w:t>430</w:t>
            </w:r>
          </w:p>
        </w:tc>
        <w:tc>
          <w:tcPr>
            <w:tcW w:w="731" w:type="pct"/>
            <w:tcBorders>
              <w:top w:val="nil"/>
              <w:left w:val="nil"/>
              <w:bottom w:val="single" w:sz="4" w:space="0" w:color="auto"/>
              <w:right w:val="single" w:sz="8" w:space="0" w:color="auto"/>
            </w:tcBorders>
            <w:shd w:val="clear" w:color="auto" w:fill="auto"/>
            <w:noWrap/>
            <w:vAlign w:val="center"/>
            <w:hideMark/>
          </w:tcPr>
          <w:p w14:paraId="4FAA6480" w14:textId="77777777" w:rsidR="00A86D88" w:rsidRPr="00A86D88" w:rsidRDefault="1AD3821D" w:rsidP="3328C818">
            <w:pPr>
              <w:pStyle w:val="Table-Text"/>
              <w:jc w:val="center"/>
            </w:pPr>
            <w:r>
              <w:t>430</w:t>
            </w:r>
          </w:p>
        </w:tc>
      </w:tr>
      <w:tr w:rsidR="00A86D88" w:rsidRPr="00A86D88" w14:paraId="2A765C90" w14:textId="77777777" w:rsidTr="3328C818">
        <w:trPr>
          <w:trHeight w:hRule="exact" w:val="288"/>
        </w:trPr>
        <w:tc>
          <w:tcPr>
            <w:tcW w:w="2236" w:type="pct"/>
            <w:tcBorders>
              <w:top w:val="nil"/>
              <w:left w:val="single" w:sz="8" w:space="0" w:color="auto"/>
              <w:bottom w:val="single" w:sz="4" w:space="0" w:color="auto"/>
              <w:right w:val="single" w:sz="8" w:space="0" w:color="auto"/>
            </w:tcBorders>
            <w:shd w:val="clear" w:color="auto" w:fill="auto"/>
            <w:noWrap/>
            <w:vAlign w:val="center"/>
            <w:hideMark/>
          </w:tcPr>
          <w:p w14:paraId="2DD96CA3" w14:textId="77777777" w:rsidR="00A86D88" w:rsidRPr="00A86D88" w:rsidRDefault="00A86D88" w:rsidP="00541741">
            <w:pPr>
              <w:pStyle w:val="Table-Text"/>
            </w:pPr>
            <w:r w:rsidRPr="00A86D88">
              <w:t>Retrofit factor</w:t>
            </w:r>
          </w:p>
        </w:tc>
        <w:tc>
          <w:tcPr>
            <w:tcW w:w="651" w:type="pct"/>
            <w:tcBorders>
              <w:top w:val="nil"/>
              <w:left w:val="nil"/>
              <w:bottom w:val="single" w:sz="4" w:space="0" w:color="auto"/>
              <w:right w:val="single" w:sz="4" w:space="0" w:color="auto"/>
            </w:tcBorders>
            <w:shd w:val="clear" w:color="auto" w:fill="auto"/>
            <w:noWrap/>
            <w:vAlign w:val="center"/>
            <w:hideMark/>
          </w:tcPr>
          <w:p w14:paraId="09297DAA" w14:textId="77777777" w:rsidR="00A86D88" w:rsidRPr="00A86D88" w:rsidRDefault="1AD3821D" w:rsidP="3328C818">
            <w:pPr>
              <w:pStyle w:val="Table-Text"/>
              <w:jc w:val="center"/>
            </w:pPr>
            <w:r>
              <w:t>1</w:t>
            </w:r>
          </w:p>
        </w:tc>
        <w:tc>
          <w:tcPr>
            <w:tcW w:w="651" w:type="pct"/>
            <w:tcBorders>
              <w:top w:val="nil"/>
              <w:left w:val="nil"/>
              <w:bottom w:val="single" w:sz="4" w:space="0" w:color="auto"/>
              <w:right w:val="nil"/>
            </w:tcBorders>
            <w:shd w:val="clear" w:color="auto" w:fill="auto"/>
            <w:noWrap/>
            <w:vAlign w:val="center"/>
            <w:hideMark/>
          </w:tcPr>
          <w:p w14:paraId="17C68B12" w14:textId="77777777" w:rsidR="00A86D88" w:rsidRPr="00A86D88" w:rsidRDefault="1AD3821D" w:rsidP="3328C818">
            <w:pPr>
              <w:pStyle w:val="Table-Text"/>
              <w:jc w:val="center"/>
            </w:pPr>
            <w:r>
              <w:t>1</w:t>
            </w:r>
          </w:p>
        </w:tc>
        <w:tc>
          <w:tcPr>
            <w:tcW w:w="731" w:type="pct"/>
            <w:tcBorders>
              <w:top w:val="nil"/>
              <w:left w:val="single" w:sz="8" w:space="0" w:color="auto"/>
              <w:bottom w:val="single" w:sz="4" w:space="0" w:color="auto"/>
              <w:right w:val="single" w:sz="4" w:space="0" w:color="auto"/>
            </w:tcBorders>
            <w:shd w:val="clear" w:color="auto" w:fill="FFFF00"/>
            <w:noWrap/>
            <w:vAlign w:val="center"/>
            <w:hideMark/>
          </w:tcPr>
          <w:p w14:paraId="36D200BD" w14:textId="77777777" w:rsidR="00A86D88" w:rsidRPr="00A86D88" w:rsidRDefault="1AD3821D" w:rsidP="3328C818">
            <w:pPr>
              <w:pStyle w:val="Table-Text"/>
              <w:jc w:val="center"/>
            </w:pPr>
            <w:r>
              <w:t>1</w:t>
            </w:r>
          </w:p>
        </w:tc>
        <w:tc>
          <w:tcPr>
            <w:tcW w:w="731" w:type="pct"/>
            <w:tcBorders>
              <w:top w:val="nil"/>
              <w:left w:val="nil"/>
              <w:bottom w:val="single" w:sz="4" w:space="0" w:color="auto"/>
              <w:right w:val="single" w:sz="8" w:space="0" w:color="auto"/>
            </w:tcBorders>
            <w:shd w:val="clear" w:color="auto" w:fill="FFFF00"/>
            <w:noWrap/>
            <w:vAlign w:val="center"/>
            <w:hideMark/>
          </w:tcPr>
          <w:p w14:paraId="31732C47" w14:textId="77777777" w:rsidR="00A86D88" w:rsidRPr="00A86D88" w:rsidRDefault="1AD3821D" w:rsidP="3328C818">
            <w:pPr>
              <w:pStyle w:val="Table-Text"/>
              <w:jc w:val="center"/>
            </w:pPr>
            <w:r>
              <w:t>1.33</w:t>
            </w:r>
          </w:p>
        </w:tc>
      </w:tr>
      <w:tr w:rsidR="00A86D88" w:rsidRPr="00A86D88" w14:paraId="51EF4D23" w14:textId="77777777" w:rsidTr="3328C818">
        <w:trPr>
          <w:trHeight w:hRule="exact" w:val="288"/>
        </w:trPr>
        <w:tc>
          <w:tcPr>
            <w:tcW w:w="2236" w:type="pct"/>
            <w:tcBorders>
              <w:top w:val="nil"/>
              <w:left w:val="single" w:sz="8" w:space="0" w:color="auto"/>
              <w:bottom w:val="single" w:sz="4" w:space="0" w:color="auto"/>
              <w:right w:val="single" w:sz="8" w:space="0" w:color="auto"/>
            </w:tcBorders>
            <w:shd w:val="clear" w:color="auto" w:fill="auto"/>
            <w:noWrap/>
            <w:vAlign w:val="center"/>
            <w:hideMark/>
          </w:tcPr>
          <w:p w14:paraId="19C9BFB4" w14:textId="77777777" w:rsidR="00A86D88" w:rsidRPr="00A86D88" w:rsidRDefault="00A86D88" w:rsidP="00541741">
            <w:pPr>
              <w:pStyle w:val="Table-Text"/>
            </w:pPr>
            <w:r w:rsidRPr="00A86D88">
              <w:t>CEPCI</w:t>
            </w:r>
          </w:p>
        </w:tc>
        <w:tc>
          <w:tcPr>
            <w:tcW w:w="651" w:type="pct"/>
            <w:tcBorders>
              <w:top w:val="nil"/>
              <w:left w:val="nil"/>
              <w:bottom w:val="single" w:sz="4" w:space="0" w:color="auto"/>
              <w:right w:val="single" w:sz="4" w:space="0" w:color="auto"/>
            </w:tcBorders>
            <w:shd w:val="clear" w:color="auto" w:fill="auto"/>
            <w:noWrap/>
            <w:vAlign w:val="center"/>
            <w:hideMark/>
          </w:tcPr>
          <w:p w14:paraId="6BCC297D" w14:textId="77777777" w:rsidR="00A86D88" w:rsidRPr="00A86D88" w:rsidRDefault="1AD3821D" w:rsidP="3328C818">
            <w:pPr>
              <w:pStyle w:val="Table-Text"/>
              <w:jc w:val="center"/>
            </w:pPr>
            <w:r>
              <w:t>607.5</w:t>
            </w:r>
          </w:p>
        </w:tc>
        <w:tc>
          <w:tcPr>
            <w:tcW w:w="651" w:type="pct"/>
            <w:tcBorders>
              <w:top w:val="nil"/>
              <w:left w:val="nil"/>
              <w:bottom w:val="single" w:sz="4" w:space="0" w:color="auto"/>
              <w:right w:val="nil"/>
            </w:tcBorders>
            <w:shd w:val="clear" w:color="auto" w:fill="auto"/>
            <w:noWrap/>
            <w:vAlign w:val="center"/>
            <w:hideMark/>
          </w:tcPr>
          <w:p w14:paraId="12609D18" w14:textId="77777777" w:rsidR="00A86D88" w:rsidRPr="00A86D88" w:rsidRDefault="1AD3821D" w:rsidP="3328C818">
            <w:pPr>
              <w:pStyle w:val="Table-Text"/>
              <w:jc w:val="center"/>
            </w:pPr>
            <w:r>
              <w:t>607.5</w:t>
            </w:r>
          </w:p>
        </w:tc>
        <w:tc>
          <w:tcPr>
            <w:tcW w:w="731" w:type="pct"/>
            <w:tcBorders>
              <w:top w:val="nil"/>
              <w:left w:val="single" w:sz="8" w:space="0" w:color="auto"/>
              <w:bottom w:val="single" w:sz="4" w:space="0" w:color="auto"/>
              <w:right w:val="single" w:sz="4" w:space="0" w:color="auto"/>
            </w:tcBorders>
            <w:shd w:val="clear" w:color="auto" w:fill="auto"/>
            <w:noWrap/>
            <w:vAlign w:val="center"/>
            <w:hideMark/>
          </w:tcPr>
          <w:p w14:paraId="1F775ECA" w14:textId="77777777" w:rsidR="00A86D88" w:rsidRPr="00A86D88" w:rsidRDefault="1AD3821D" w:rsidP="3328C818">
            <w:pPr>
              <w:pStyle w:val="Table-Text"/>
              <w:jc w:val="center"/>
            </w:pPr>
            <w:r>
              <w:t>607.5</w:t>
            </w:r>
          </w:p>
        </w:tc>
        <w:tc>
          <w:tcPr>
            <w:tcW w:w="731" w:type="pct"/>
            <w:tcBorders>
              <w:top w:val="nil"/>
              <w:left w:val="nil"/>
              <w:bottom w:val="single" w:sz="4" w:space="0" w:color="auto"/>
              <w:right w:val="single" w:sz="8" w:space="0" w:color="auto"/>
            </w:tcBorders>
            <w:shd w:val="clear" w:color="auto" w:fill="auto"/>
            <w:noWrap/>
            <w:vAlign w:val="center"/>
            <w:hideMark/>
          </w:tcPr>
          <w:p w14:paraId="417C2048" w14:textId="77777777" w:rsidR="00A86D88" w:rsidRPr="00A86D88" w:rsidRDefault="1AD3821D" w:rsidP="3328C818">
            <w:pPr>
              <w:pStyle w:val="Table-Text"/>
              <w:jc w:val="center"/>
            </w:pPr>
            <w:r>
              <w:t>607.5</w:t>
            </w:r>
          </w:p>
        </w:tc>
      </w:tr>
      <w:tr w:rsidR="00A86D88" w:rsidRPr="00A86D88" w14:paraId="42D14EDD" w14:textId="77777777" w:rsidTr="3328C818">
        <w:trPr>
          <w:trHeight w:hRule="exact" w:val="288"/>
        </w:trPr>
        <w:tc>
          <w:tcPr>
            <w:tcW w:w="2236" w:type="pct"/>
            <w:tcBorders>
              <w:top w:val="nil"/>
              <w:left w:val="single" w:sz="8" w:space="0" w:color="auto"/>
              <w:bottom w:val="single" w:sz="4" w:space="0" w:color="auto"/>
              <w:right w:val="single" w:sz="8" w:space="0" w:color="auto"/>
            </w:tcBorders>
            <w:shd w:val="clear" w:color="auto" w:fill="auto"/>
            <w:noWrap/>
            <w:vAlign w:val="bottom"/>
            <w:hideMark/>
          </w:tcPr>
          <w:p w14:paraId="646F0F87" w14:textId="77777777" w:rsidR="00A86D88" w:rsidRPr="00A86D88" w:rsidRDefault="00A86D88" w:rsidP="00541741">
            <w:pPr>
              <w:pStyle w:val="Table-Text"/>
            </w:pPr>
            <w:r w:rsidRPr="00A86D88">
              <w:t xml:space="preserve">Capital Cost </w:t>
            </w:r>
          </w:p>
        </w:tc>
        <w:tc>
          <w:tcPr>
            <w:tcW w:w="651" w:type="pct"/>
            <w:tcBorders>
              <w:top w:val="nil"/>
              <w:left w:val="nil"/>
              <w:bottom w:val="single" w:sz="4" w:space="0" w:color="auto"/>
              <w:right w:val="single" w:sz="4" w:space="0" w:color="auto"/>
            </w:tcBorders>
            <w:shd w:val="clear" w:color="auto" w:fill="auto"/>
            <w:noWrap/>
            <w:vAlign w:val="center"/>
            <w:hideMark/>
          </w:tcPr>
          <w:p w14:paraId="13B3A9C1" w14:textId="77777777" w:rsidR="00A86D88" w:rsidRPr="00A86D88" w:rsidRDefault="1AD3821D" w:rsidP="3328C818">
            <w:pPr>
              <w:pStyle w:val="Table-Text"/>
              <w:jc w:val="center"/>
            </w:pPr>
            <w:r>
              <w:t xml:space="preserve"> $ 6,068,270 </w:t>
            </w:r>
          </w:p>
        </w:tc>
        <w:tc>
          <w:tcPr>
            <w:tcW w:w="651" w:type="pct"/>
            <w:tcBorders>
              <w:top w:val="nil"/>
              <w:left w:val="nil"/>
              <w:bottom w:val="single" w:sz="4" w:space="0" w:color="auto"/>
              <w:right w:val="nil"/>
            </w:tcBorders>
            <w:shd w:val="clear" w:color="auto" w:fill="auto"/>
            <w:noWrap/>
            <w:vAlign w:val="center"/>
            <w:hideMark/>
          </w:tcPr>
          <w:p w14:paraId="6E840051" w14:textId="77777777" w:rsidR="00A86D88" w:rsidRPr="00A86D88" w:rsidRDefault="1AD3821D" w:rsidP="3328C818">
            <w:pPr>
              <w:pStyle w:val="Table-Text"/>
              <w:jc w:val="center"/>
            </w:pPr>
            <w:r>
              <w:t xml:space="preserve"> $ 6,068,270 </w:t>
            </w:r>
          </w:p>
        </w:tc>
        <w:tc>
          <w:tcPr>
            <w:tcW w:w="731" w:type="pct"/>
            <w:tcBorders>
              <w:top w:val="nil"/>
              <w:left w:val="single" w:sz="8" w:space="0" w:color="auto"/>
              <w:bottom w:val="single" w:sz="4" w:space="0" w:color="auto"/>
              <w:right w:val="single" w:sz="4" w:space="0" w:color="auto"/>
            </w:tcBorders>
            <w:shd w:val="clear" w:color="auto" w:fill="auto"/>
            <w:noWrap/>
            <w:vAlign w:val="center"/>
            <w:hideMark/>
          </w:tcPr>
          <w:p w14:paraId="590D0DE6" w14:textId="77777777" w:rsidR="00A86D88" w:rsidRPr="00A86D88" w:rsidRDefault="1AD3821D" w:rsidP="3328C818">
            <w:pPr>
              <w:pStyle w:val="Table-Text"/>
              <w:jc w:val="center"/>
            </w:pPr>
            <w:r>
              <w:t xml:space="preserve"> $ 22,651,621 </w:t>
            </w:r>
          </w:p>
        </w:tc>
        <w:tc>
          <w:tcPr>
            <w:tcW w:w="731" w:type="pct"/>
            <w:tcBorders>
              <w:top w:val="nil"/>
              <w:left w:val="nil"/>
              <w:bottom w:val="single" w:sz="4" w:space="0" w:color="auto"/>
              <w:right w:val="single" w:sz="8" w:space="0" w:color="auto"/>
            </w:tcBorders>
            <w:shd w:val="clear" w:color="auto" w:fill="auto"/>
            <w:noWrap/>
            <w:vAlign w:val="center"/>
            <w:hideMark/>
          </w:tcPr>
          <w:p w14:paraId="64DB0EBD" w14:textId="77777777" w:rsidR="00A86D88" w:rsidRPr="00A86D88" w:rsidRDefault="1AD3821D" w:rsidP="3328C818">
            <w:pPr>
              <w:pStyle w:val="Table-Text"/>
              <w:jc w:val="center"/>
            </w:pPr>
            <w:r>
              <w:t xml:space="preserve"> $ 29,945,905 </w:t>
            </w:r>
          </w:p>
        </w:tc>
      </w:tr>
      <w:tr w:rsidR="00A86D88" w:rsidRPr="00A86D88" w14:paraId="0E096A88" w14:textId="77777777" w:rsidTr="3328C818">
        <w:trPr>
          <w:trHeight w:hRule="exact" w:val="288"/>
        </w:trPr>
        <w:tc>
          <w:tcPr>
            <w:tcW w:w="2236" w:type="pct"/>
            <w:tcBorders>
              <w:top w:val="nil"/>
              <w:left w:val="single" w:sz="8" w:space="0" w:color="auto"/>
              <w:bottom w:val="single" w:sz="4" w:space="0" w:color="auto"/>
              <w:right w:val="single" w:sz="8" w:space="0" w:color="auto"/>
            </w:tcBorders>
            <w:shd w:val="clear" w:color="auto" w:fill="auto"/>
            <w:noWrap/>
            <w:vAlign w:val="bottom"/>
            <w:hideMark/>
          </w:tcPr>
          <w:p w14:paraId="72CB44D5" w14:textId="77777777" w:rsidR="00A86D88" w:rsidRPr="00A86D88" w:rsidRDefault="00A86D88" w:rsidP="00541741">
            <w:pPr>
              <w:pStyle w:val="Table-Text"/>
            </w:pPr>
            <w:r w:rsidRPr="00A86D88">
              <w:t>Interest rate (%)</w:t>
            </w:r>
          </w:p>
        </w:tc>
        <w:tc>
          <w:tcPr>
            <w:tcW w:w="651" w:type="pct"/>
            <w:tcBorders>
              <w:top w:val="nil"/>
              <w:left w:val="nil"/>
              <w:bottom w:val="single" w:sz="4" w:space="0" w:color="auto"/>
              <w:right w:val="single" w:sz="4" w:space="0" w:color="auto"/>
            </w:tcBorders>
            <w:shd w:val="clear" w:color="auto" w:fill="auto"/>
            <w:noWrap/>
            <w:vAlign w:val="center"/>
            <w:hideMark/>
          </w:tcPr>
          <w:p w14:paraId="7B1C8354" w14:textId="77777777" w:rsidR="00A86D88" w:rsidRPr="00A86D88" w:rsidRDefault="1AD3821D" w:rsidP="3328C818">
            <w:pPr>
              <w:pStyle w:val="Table-Text"/>
              <w:jc w:val="center"/>
            </w:pPr>
            <w:r>
              <w:t>3.50</w:t>
            </w:r>
          </w:p>
        </w:tc>
        <w:tc>
          <w:tcPr>
            <w:tcW w:w="651" w:type="pct"/>
            <w:tcBorders>
              <w:top w:val="nil"/>
              <w:left w:val="nil"/>
              <w:bottom w:val="single" w:sz="4" w:space="0" w:color="auto"/>
              <w:right w:val="nil"/>
            </w:tcBorders>
            <w:shd w:val="clear" w:color="auto" w:fill="auto"/>
            <w:noWrap/>
            <w:vAlign w:val="center"/>
            <w:hideMark/>
          </w:tcPr>
          <w:p w14:paraId="0FE739B6" w14:textId="77777777" w:rsidR="00A86D88" w:rsidRPr="00A86D88" w:rsidRDefault="1AD3821D" w:rsidP="3328C818">
            <w:pPr>
              <w:pStyle w:val="Table-Text"/>
              <w:jc w:val="center"/>
            </w:pPr>
            <w:r>
              <w:t>3.50</w:t>
            </w:r>
          </w:p>
        </w:tc>
        <w:tc>
          <w:tcPr>
            <w:tcW w:w="731" w:type="pct"/>
            <w:tcBorders>
              <w:top w:val="nil"/>
              <w:left w:val="single" w:sz="8" w:space="0" w:color="auto"/>
              <w:bottom w:val="single" w:sz="4" w:space="0" w:color="auto"/>
              <w:right w:val="single" w:sz="4" w:space="0" w:color="auto"/>
            </w:tcBorders>
            <w:shd w:val="clear" w:color="auto" w:fill="auto"/>
            <w:noWrap/>
            <w:vAlign w:val="center"/>
            <w:hideMark/>
          </w:tcPr>
          <w:p w14:paraId="349DA8E6" w14:textId="77777777" w:rsidR="00A86D88" w:rsidRPr="00A86D88" w:rsidRDefault="1AD3821D" w:rsidP="3328C818">
            <w:pPr>
              <w:pStyle w:val="Table-Text"/>
              <w:jc w:val="center"/>
            </w:pPr>
            <w:r>
              <w:t>3.50</w:t>
            </w:r>
          </w:p>
        </w:tc>
        <w:tc>
          <w:tcPr>
            <w:tcW w:w="731" w:type="pct"/>
            <w:tcBorders>
              <w:top w:val="nil"/>
              <w:left w:val="nil"/>
              <w:bottom w:val="single" w:sz="4" w:space="0" w:color="auto"/>
              <w:right w:val="single" w:sz="8" w:space="0" w:color="auto"/>
            </w:tcBorders>
            <w:shd w:val="clear" w:color="auto" w:fill="auto"/>
            <w:noWrap/>
            <w:vAlign w:val="center"/>
            <w:hideMark/>
          </w:tcPr>
          <w:p w14:paraId="1F6558B9" w14:textId="77777777" w:rsidR="00A86D88" w:rsidRPr="00A86D88" w:rsidRDefault="1AD3821D" w:rsidP="3328C818">
            <w:pPr>
              <w:pStyle w:val="Table-Text"/>
              <w:jc w:val="center"/>
            </w:pPr>
            <w:r>
              <w:t>3.50</w:t>
            </w:r>
          </w:p>
        </w:tc>
      </w:tr>
      <w:tr w:rsidR="00A86D88" w:rsidRPr="00A86D88" w14:paraId="4C566D2A" w14:textId="77777777" w:rsidTr="3328C818">
        <w:trPr>
          <w:trHeight w:hRule="exact" w:val="288"/>
        </w:trPr>
        <w:tc>
          <w:tcPr>
            <w:tcW w:w="2236" w:type="pct"/>
            <w:tcBorders>
              <w:top w:val="nil"/>
              <w:left w:val="single" w:sz="8" w:space="0" w:color="auto"/>
              <w:bottom w:val="single" w:sz="4" w:space="0" w:color="auto"/>
              <w:right w:val="single" w:sz="8" w:space="0" w:color="auto"/>
            </w:tcBorders>
            <w:shd w:val="clear" w:color="auto" w:fill="auto"/>
            <w:noWrap/>
            <w:vAlign w:val="bottom"/>
            <w:hideMark/>
          </w:tcPr>
          <w:p w14:paraId="1A489529" w14:textId="77777777" w:rsidR="00A86D88" w:rsidRPr="00A86D88" w:rsidRDefault="00A86D88" w:rsidP="00541741">
            <w:pPr>
              <w:pStyle w:val="Table-Text"/>
            </w:pPr>
            <w:r w:rsidRPr="00A86D88">
              <w:t>Control Equipment Life (</w:t>
            </w:r>
            <w:proofErr w:type="spellStart"/>
            <w:r w:rsidRPr="00A86D88">
              <w:t>yr</w:t>
            </w:r>
            <w:proofErr w:type="spellEnd"/>
            <w:r w:rsidRPr="00A86D88">
              <w:t>)</w:t>
            </w:r>
          </w:p>
        </w:tc>
        <w:tc>
          <w:tcPr>
            <w:tcW w:w="651" w:type="pct"/>
            <w:tcBorders>
              <w:top w:val="nil"/>
              <w:left w:val="nil"/>
              <w:bottom w:val="single" w:sz="4" w:space="0" w:color="auto"/>
              <w:right w:val="single" w:sz="4" w:space="0" w:color="auto"/>
            </w:tcBorders>
            <w:shd w:val="clear" w:color="auto" w:fill="auto"/>
            <w:noWrap/>
            <w:vAlign w:val="center"/>
            <w:hideMark/>
          </w:tcPr>
          <w:p w14:paraId="6D8F10BF" w14:textId="77777777" w:rsidR="00A86D88" w:rsidRPr="00A86D88" w:rsidRDefault="1AD3821D" w:rsidP="3328C818">
            <w:pPr>
              <w:pStyle w:val="Table-Text"/>
              <w:jc w:val="center"/>
            </w:pPr>
            <w:r>
              <w:t>20</w:t>
            </w:r>
          </w:p>
        </w:tc>
        <w:tc>
          <w:tcPr>
            <w:tcW w:w="651" w:type="pct"/>
            <w:tcBorders>
              <w:top w:val="nil"/>
              <w:left w:val="nil"/>
              <w:bottom w:val="single" w:sz="4" w:space="0" w:color="auto"/>
              <w:right w:val="nil"/>
            </w:tcBorders>
            <w:shd w:val="clear" w:color="auto" w:fill="auto"/>
            <w:noWrap/>
            <w:vAlign w:val="center"/>
            <w:hideMark/>
          </w:tcPr>
          <w:p w14:paraId="24825AD6" w14:textId="77777777" w:rsidR="00A86D88" w:rsidRPr="00A86D88" w:rsidRDefault="1AD3821D" w:rsidP="3328C818">
            <w:pPr>
              <w:pStyle w:val="Table-Text"/>
              <w:jc w:val="center"/>
            </w:pPr>
            <w:r>
              <w:t>20</w:t>
            </w:r>
          </w:p>
        </w:tc>
        <w:tc>
          <w:tcPr>
            <w:tcW w:w="731" w:type="pct"/>
            <w:tcBorders>
              <w:top w:val="nil"/>
              <w:left w:val="single" w:sz="8" w:space="0" w:color="auto"/>
              <w:bottom w:val="single" w:sz="4" w:space="0" w:color="auto"/>
              <w:right w:val="single" w:sz="4" w:space="0" w:color="auto"/>
            </w:tcBorders>
            <w:shd w:val="clear" w:color="auto" w:fill="auto"/>
            <w:noWrap/>
            <w:vAlign w:val="center"/>
            <w:hideMark/>
          </w:tcPr>
          <w:p w14:paraId="37E38980" w14:textId="77777777" w:rsidR="00A86D88" w:rsidRPr="00A86D88" w:rsidRDefault="1AD3821D" w:rsidP="3328C818">
            <w:pPr>
              <w:pStyle w:val="Table-Text"/>
              <w:jc w:val="center"/>
            </w:pPr>
            <w:r>
              <w:t>25</w:t>
            </w:r>
          </w:p>
        </w:tc>
        <w:tc>
          <w:tcPr>
            <w:tcW w:w="731" w:type="pct"/>
            <w:tcBorders>
              <w:top w:val="nil"/>
              <w:left w:val="nil"/>
              <w:bottom w:val="single" w:sz="4" w:space="0" w:color="auto"/>
              <w:right w:val="single" w:sz="8" w:space="0" w:color="auto"/>
            </w:tcBorders>
            <w:shd w:val="clear" w:color="auto" w:fill="auto"/>
            <w:noWrap/>
            <w:vAlign w:val="center"/>
            <w:hideMark/>
          </w:tcPr>
          <w:p w14:paraId="2F1ED176" w14:textId="77777777" w:rsidR="00A86D88" w:rsidRPr="00A86D88" w:rsidRDefault="1AD3821D" w:rsidP="3328C818">
            <w:pPr>
              <w:pStyle w:val="Table-Text"/>
              <w:jc w:val="center"/>
            </w:pPr>
            <w:r>
              <w:t>25</w:t>
            </w:r>
          </w:p>
        </w:tc>
      </w:tr>
      <w:tr w:rsidR="00A86D88" w:rsidRPr="00A86D88" w14:paraId="73B3054F" w14:textId="77777777" w:rsidTr="3328C818">
        <w:trPr>
          <w:trHeight w:hRule="exact" w:val="288"/>
        </w:trPr>
        <w:tc>
          <w:tcPr>
            <w:tcW w:w="2236" w:type="pct"/>
            <w:tcBorders>
              <w:top w:val="nil"/>
              <w:left w:val="single" w:sz="8" w:space="0" w:color="auto"/>
              <w:bottom w:val="single" w:sz="4" w:space="0" w:color="auto"/>
              <w:right w:val="single" w:sz="8" w:space="0" w:color="auto"/>
            </w:tcBorders>
            <w:shd w:val="clear" w:color="auto" w:fill="auto"/>
            <w:noWrap/>
            <w:vAlign w:val="bottom"/>
            <w:hideMark/>
          </w:tcPr>
          <w:p w14:paraId="2AA6C12C" w14:textId="77777777" w:rsidR="00A86D88" w:rsidRPr="00A86D88" w:rsidRDefault="00A86D88" w:rsidP="00541741">
            <w:pPr>
              <w:pStyle w:val="Table-Text"/>
            </w:pPr>
            <w:r w:rsidRPr="00A86D88">
              <w:t>Capital Recovery Cost</w:t>
            </w:r>
          </w:p>
        </w:tc>
        <w:tc>
          <w:tcPr>
            <w:tcW w:w="651" w:type="pct"/>
            <w:tcBorders>
              <w:top w:val="nil"/>
              <w:left w:val="nil"/>
              <w:bottom w:val="single" w:sz="4" w:space="0" w:color="auto"/>
              <w:right w:val="single" w:sz="4" w:space="0" w:color="auto"/>
            </w:tcBorders>
            <w:shd w:val="clear" w:color="auto" w:fill="auto"/>
            <w:noWrap/>
            <w:vAlign w:val="center"/>
            <w:hideMark/>
          </w:tcPr>
          <w:p w14:paraId="5A4D7173" w14:textId="77777777" w:rsidR="00A86D88" w:rsidRPr="00A86D88" w:rsidRDefault="1AD3821D" w:rsidP="3328C818">
            <w:pPr>
              <w:pStyle w:val="Table-Text"/>
              <w:jc w:val="center"/>
            </w:pPr>
            <w:r>
              <w:t xml:space="preserve"> $    427,206 </w:t>
            </w:r>
          </w:p>
        </w:tc>
        <w:tc>
          <w:tcPr>
            <w:tcW w:w="651" w:type="pct"/>
            <w:tcBorders>
              <w:top w:val="nil"/>
              <w:left w:val="nil"/>
              <w:bottom w:val="single" w:sz="4" w:space="0" w:color="auto"/>
              <w:right w:val="nil"/>
            </w:tcBorders>
            <w:shd w:val="clear" w:color="auto" w:fill="auto"/>
            <w:noWrap/>
            <w:vAlign w:val="center"/>
            <w:hideMark/>
          </w:tcPr>
          <w:p w14:paraId="68063905" w14:textId="77777777" w:rsidR="00A86D88" w:rsidRPr="00A86D88" w:rsidRDefault="1AD3821D" w:rsidP="3328C818">
            <w:pPr>
              <w:pStyle w:val="Table-Text"/>
              <w:jc w:val="center"/>
            </w:pPr>
            <w:r>
              <w:t xml:space="preserve"> $    427,206 </w:t>
            </w:r>
          </w:p>
        </w:tc>
        <w:tc>
          <w:tcPr>
            <w:tcW w:w="731" w:type="pct"/>
            <w:tcBorders>
              <w:top w:val="nil"/>
              <w:left w:val="single" w:sz="8" w:space="0" w:color="auto"/>
              <w:bottom w:val="single" w:sz="4" w:space="0" w:color="auto"/>
              <w:right w:val="single" w:sz="4" w:space="0" w:color="auto"/>
            </w:tcBorders>
            <w:shd w:val="clear" w:color="auto" w:fill="auto"/>
            <w:noWrap/>
            <w:vAlign w:val="center"/>
            <w:hideMark/>
          </w:tcPr>
          <w:p w14:paraId="51C65267" w14:textId="77777777" w:rsidR="00A86D88" w:rsidRPr="00A86D88" w:rsidRDefault="1AD3821D" w:rsidP="3328C818">
            <w:pPr>
              <w:pStyle w:val="Table-Text"/>
              <w:jc w:val="center"/>
            </w:pPr>
            <w:r>
              <w:t xml:space="preserve"> $  1,374,953 </w:t>
            </w:r>
          </w:p>
        </w:tc>
        <w:tc>
          <w:tcPr>
            <w:tcW w:w="731" w:type="pct"/>
            <w:tcBorders>
              <w:top w:val="nil"/>
              <w:left w:val="nil"/>
              <w:bottom w:val="single" w:sz="4" w:space="0" w:color="auto"/>
              <w:right w:val="single" w:sz="8" w:space="0" w:color="auto"/>
            </w:tcBorders>
            <w:shd w:val="clear" w:color="auto" w:fill="auto"/>
            <w:noWrap/>
            <w:vAlign w:val="center"/>
            <w:hideMark/>
          </w:tcPr>
          <w:p w14:paraId="40540E3D" w14:textId="77777777" w:rsidR="00A86D88" w:rsidRPr="00A86D88" w:rsidRDefault="1AD3821D" w:rsidP="3328C818">
            <w:pPr>
              <w:pStyle w:val="Table-Text"/>
              <w:jc w:val="center"/>
            </w:pPr>
            <w:r>
              <w:t xml:space="preserve"> $   1,817,716 </w:t>
            </w:r>
          </w:p>
        </w:tc>
      </w:tr>
      <w:tr w:rsidR="00A86D88" w:rsidRPr="00A86D88" w14:paraId="2DF16CA8" w14:textId="77777777" w:rsidTr="3328C818">
        <w:trPr>
          <w:trHeight w:hRule="exact" w:val="288"/>
        </w:trPr>
        <w:tc>
          <w:tcPr>
            <w:tcW w:w="2236" w:type="pct"/>
            <w:tcBorders>
              <w:top w:val="nil"/>
              <w:left w:val="single" w:sz="8" w:space="0" w:color="auto"/>
              <w:bottom w:val="single" w:sz="4" w:space="0" w:color="auto"/>
              <w:right w:val="single" w:sz="8" w:space="0" w:color="auto"/>
            </w:tcBorders>
            <w:shd w:val="clear" w:color="auto" w:fill="auto"/>
            <w:noWrap/>
            <w:vAlign w:val="bottom"/>
            <w:hideMark/>
          </w:tcPr>
          <w:p w14:paraId="35DFAF05" w14:textId="77777777" w:rsidR="00A86D88" w:rsidRPr="00A86D88" w:rsidRDefault="00A86D88" w:rsidP="00541741">
            <w:pPr>
              <w:pStyle w:val="Table-Text"/>
            </w:pPr>
            <w:r w:rsidRPr="00A86D88">
              <w:t>Indirect Cost/Fixed O&amp;M</w:t>
            </w:r>
          </w:p>
        </w:tc>
        <w:tc>
          <w:tcPr>
            <w:tcW w:w="651" w:type="pct"/>
            <w:tcBorders>
              <w:top w:val="nil"/>
              <w:left w:val="nil"/>
              <w:bottom w:val="single" w:sz="4" w:space="0" w:color="auto"/>
              <w:right w:val="single" w:sz="4" w:space="0" w:color="auto"/>
            </w:tcBorders>
            <w:shd w:val="clear" w:color="auto" w:fill="auto"/>
            <w:noWrap/>
            <w:vAlign w:val="center"/>
            <w:hideMark/>
          </w:tcPr>
          <w:p w14:paraId="614A2E74" w14:textId="77777777" w:rsidR="00A86D88" w:rsidRPr="00A86D88" w:rsidRDefault="1AD3821D" w:rsidP="3328C818">
            <w:pPr>
              <w:pStyle w:val="Table-Text"/>
              <w:jc w:val="center"/>
            </w:pPr>
            <w:r>
              <w:t xml:space="preserve"> $    429,937 </w:t>
            </w:r>
          </w:p>
        </w:tc>
        <w:tc>
          <w:tcPr>
            <w:tcW w:w="651" w:type="pct"/>
            <w:tcBorders>
              <w:top w:val="nil"/>
              <w:left w:val="nil"/>
              <w:bottom w:val="single" w:sz="4" w:space="0" w:color="auto"/>
              <w:right w:val="nil"/>
            </w:tcBorders>
            <w:shd w:val="clear" w:color="auto" w:fill="auto"/>
            <w:noWrap/>
            <w:vAlign w:val="center"/>
            <w:hideMark/>
          </w:tcPr>
          <w:p w14:paraId="75E4F799" w14:textId="77777777" w:rsidR="00A86D88" w:rsidRPr="00A86D88" w:rsidRDefault="1AD3821D" w:rsidP="3328C818">
            <w:pPr>
              <w:pStyle w:val="Table-Text"/>
              <w:jc w:val="center"/>
            </w:pPr>
            <w:r>
              <w:t xml:space="preserve"> $    429,937 </w:t>
            </w:r>
          </w:p>
        </w:tc>
        <w:tc>
          <w:tcPr>
            <w:tcW w:w="731" w:type="pct"/>
            <w:tcBorders>
              <w:top w:val="nil"/>
              <w:left w:val="single" w:sz="8" w:space="0" w:color="auto"/>
              <w:bottom w:val="single" w:sz="4" w:space="0" w:color="auto"/>
              <w:right w:val="single" w:sz="4" w:space="0" w:color="auto"/>
            </w:tcBorders>
            <w:shd w:val="clear" w:color="auto" w:fill="auto"/>
            <w:noWrap/>
            <w:vAlign w:val="center"/>
            <w:hideMark/>
          </w:tcPr>
          <w:p w14:paraId="6BFB9227" w14:textId="77777777" w:rsidR="00A86D88" w:rsidRPr="00A86D88" w:rsidRDefault="1AD3821D" w:rsidP="3328C818">
            <w:pPr>
              <w:pStyle w:val="Table-Text"/>
              <w:jc w:val="center"/>
            </w:pPr>
            <w:r>
              <w:t xml:space="preserve"> $   1,378,847 </w:t>
            </w:r>
          </w:p>
        </w:tc>
        <w:tc>
          <w:tcPr>
            <w:tcW w:w="731" w:type="pct"/>
            <w:tcBorders>
              <w:top w:val="nil"/>
              <w:left w:val="nil"/>
              <w:bottom w:val="single" w:sz="4" w:space="0" w:color="auto"/>
              <w:right w:val="single" w:sz="8" w:space="0" w:color="auto"/>
            </w:tcBorders>
            <w:shd w:val="clear" w:color="auto" w:fill="auto"/>
            <w:noWrap/>
            <w:vAlign w:val="center"/>
            <w:hideMark/>
          </w:tcPr>
          <w:p w14:paraId="2D22DFD3" w14:textId="77777777" w:rsidR="00A86D88" w:rsidRPr="00A86D88" w:rsidRDefault="1AD3821D" w:rsidP="3328C818">
            <w:pPr>
              <w:pStyle w:val="Table-Text"/>
              <w:jc w:val="center"/>
            </w:pPr>
            <w:r>
              <w:t xml:space="preserve"> $   1,822,048 </w:t>
            </w:r>
          </w:p>
        </w:tc>
      </w:tr>
      <w:tr w:rsidR="00A86D88" w:rsidRPr="00A86D88" w14:paraId="17B4ACC0" w14:textId="77777777" w:rsidTr="3328C818">
        <w:trPr>
          <w:trHeight w:hRule="exact" w:val="288"/>
        </w:trPr>
        <w:tc>
          <w:tcPr>
            <w:tcW w:w="2236" w:type="pct"/>
            <w:tcBorders>
              <w:top w:val="nil"/>
              <w:left w:val="single" w:sz="8" w:space="0" w:color="auto"/>
              <w:bottom w:val="single" w:sz="4" w:space="0" w:color="auto"/>
              <w:right w:val="single" w:sz="8" w:space="0" w:color="auto"/>
            </w:tcBorders>
            <w:shd w:val="clear" w:color="auto" w:fill="auto"/>
            <w:noWrap/>
            <w:vAlign w:val="bottom"/>
            <w:hideMark/>
          </w:tcPr>
          <w:p w14:paraId="21E23C0E" w14:textId="77777777" w:rsidR="00A86D88" w:rsidRPr="00A86D88" w:rsidRDefault="00A86D88" w:rsidP="00541741">
            <w:pPr>
              <w:pStyle w:val="Table-Text"/>
            </w:pPr>
            <w:r w:rsidRPr="00A86D88">
              <w:t>Total System Capacity Factor</w:t>
            </w:r>
          </w:p>
        </w:tc>
        <w:tc>
          <w:tcPr>
            <w:tcW w:w="651" w:type="pct"/>
            <w:tcBorders>
              <w:top w:val="nil"/>
              <w:left w:val="nil"/>
              <w:bottom w:val="single" w:sz="4" w:space="0" w:color="auto"/>
              <w:right w:val="single" w:sz="4" w:space="0" w:color="auto"/>
            </w:tcBorders>
            <w:shd w:val="clear" w:color="auto" w:fill="auto"/>
            <w:noWrap/>
            <w:vAlign w:val="center"/>
            <w:hideMark/>
          </w:tcPr>
          <w:p w14:paraId="7F26A273" w14:textId="77777777" w:rsidR="00A86D88" w:rsidRPr="00A86D88" w:rsidRDefault="1AD3821D" w:rsidP="3328C818">
            <w:pPr>
              <w:pStyle w:val="Table-Text"/>
              <w:jc w:val="center"/>
            </w:pPr>
            <w:r>
              <w:t>0.631</w:t>
            </w:r>
          </w:p>
        </w:tc>
        <w:tc>
          <w:tcPr>
            <w:tcW w:w="651" w:type="pct"/>
            <w:tcBorders>
              <w:top w:val="nil"/>
              <w:left w:val="nil"/>
              <w:bottom w:val="single" w:sz="4" w:space="0" w:color="auto"/>
              <w:right w:val="nil"/>
            </w:tcBorders>
            <w:shd w:val="clear" w:color="auto" w:fill="auto"/>
            <w:noWrap/>
            <w:vAlign w:val="center"/>
            <w:hideMark/>
          </w:tcPr>
          <w:p w14:paraId="08330CEB" w14:textId="77777777" w:rsidR="00A86D88" w:rsidRPr="00A86D88" w:rsidRDefault="1AD3821D" w:rsidP="3328C818">
            <w:pPr>
              <w:pStyle w:val="Table-Text"/>
              <w:jc w:val="center"/>
            </w:pPr>
            <w:r>
              <w:t>0.631</w:t>
            </w:r>
          </w:p>
        </w:tc>
        <w:tc>
          <w:tcPr>
            <w:tcW w:w="731" w:type="pct"/>
            <w:tcBorders>
              <w:top w:val="nil"/>
              <w:left w:val="single" w:sz="8" w:space="0" w:color="auto"/>
              <w:bottom w:val="single" w:sz="4" w:space="0" w:color="auto"/>
              <w:right w:val="single" w:sz="4" w:space="0" w:color="auto"/>
            </w:tcBorders>
            <w:shd w:val="clear" w:color="auto" w:fill="auto"/>
            <w:noWrap/>
            <w:vAlign w:val="center"/>
            <w:hideMark/>
          </w:tcPr>
          <w:p w14:paraId="29833FA8" w14:textId="77777777" w:rsidR="00A86D88" w:rsidRPr="00A86D88" w:rsidRDefault="1AD3821D" w:rsidP="3328C818">
            <w:pPr>
              <w:pStyle w:val="Table-Text"/>
              <w:jc w:val="center"/>
            </w:pPr>
            <w:r>
              <w:t>0.631</w:t>
            </w:r>
          </w:p>
        </w:tc>
        <w:tc>
          <w:tcPr>
            <w:tcW w:w="731" w:type="pct"/>
            <w:tcBorders>
              <w:top w:val="nil"/>
              <w:left w:val="nil"/>
              <w:bottom w:val="single" w:sz="4" w:space="0" w:color="auto"/>
              <w:right w:val="single" w:sz="8" w:space="0" w:color="auto"/>
            </w:tcBorders>
            <w:shd w:val="clear" w:color="auto" w:fill="auto"/>
            <w:noWrap/>
            <w:vAlign w:val="center"/>
            <w:hideMark/>
          </w:tcPr>
          <w:p w14:paraId="2B2DD0EC" w14:textId="77777777" w:rsidR="00A86D88" w:rsidRPr="00A86D88" w:rsidRDefault="1AD3821D" w:rsidP="3328C818">
            <w:pPr>
              <w:pStyle w:val="Table-Text"/>
              <w:jc w:val="center"/>
            </w:pPr>
            <w:r>
              <w:t>0.631</w:t>
            </w:r>
          </w:p>
        </w:tc>
      </w:tr>
      <w:tr w:rsidR="00A86D88" w:rsidRPr="00A86D88" w14:paraId="6F89123C" w14:textId="77777777" w:rsidTr="3328C818">
        <w:trPr>
          <w:trHeight w:hRule="exact" w:val="288"/>
        </w:trPr>
        <w:tc>
          <w:tcPr>
            <w:tcW w:w="2236" w:type="pct"/>
            <w:tcBorders>
              <w:top w:val="nil"/>
              <w:left w:val="single" w:sz="8" w:space="0" w:color="auto"/>
              <w:bottom w:val="single" w:sz="4" w:space="0" w:color="auto"/>
              <w:right w:val="single" w:sz="8" w:space="0" w:color="auto"/>
            </w:tcBorders>
            <w:shd w:val="clear" w:color="auto" w:fill="auto"/>
            <w:noWrap/>
            <w:vAlign w:val="bottom"/>
            <w:hideMark/>
          </w:tcPr>
          <w:p w14:paraId="09541260" w14:textId="77777777" w:rsidR="00A86D88" w:rsidRPr="00A86D88" w:rsidRDefault="00A86D88" w:rsidP="00541741">
            <w:pPr>
              <w:pStyle w:val="Table-Text"/>
            </w:pPr>
            <w:r w:rsidRPr="00A86D88">
              <w:t>Catalyst Life (</w:t>
            </w:r>
            <w:proofErr w:type="spellStart"/>
            <w:r w:rsidRPr="00A86D88">
              <w:t>hr</w:t>
            </w:r>
            <w:proofErr w:type="spellEnd"/>
            <w:r w:rsidRPr="00A86D88">
              <w:t>)</w:t>
            </w:r>
          </w:p>
        </w:tc>
        <w:tc>
          <w:tcPr>
            <w:tcW w:w="651" w:type="pct"/>
            <w:tcBorders>
              <w:top w:val="nil"/>
              <w:left w:val="nil"/>
              <w:bottom w:val="single" w:sz="4" w:space="0" w:color="auto"/>
              <w:right w:val="single" w:sz="4" w:space="0" w:color="auto"/>
            </w:tcBorders>
            <w:shd w:val="clear" w:color="auto" w:fill="auto"/>
            <w:noWrap/>
            <w:vAlign w:val="center"/>
            <w:hideMark/>
          </w:tcPr>
          <w:p w14:paraId="7951B16E" w14:textId="77777777" w:rsidR="00A86D88" w:rsidRPr="00A86D88" w:rsidRDefault="1AD3821D" w:rsidP="3328C818">
            <w:pPr>
              <w:pStyle w:val="Table-Text"/>
              <w:jc w:val="center"/>
            </w:pPr>
            <w:r>
              <w:t> </w:t>
            </w:r>
          </w:p>
        </w:tc>
        <w:tc>
          <w:tcPr>
            <w:tcW w:w="651" w:type="pct"/>
            <w:tcBorders>
              <w:top w:val="nil"/>
              <w:left w:val="nil"/>
              <w:bottom w:val="single" w:sz="4" w:space="0" w:color="auto"/>
              <w:right w:val="nil"/>
            </w:tcBorders>
            <w:shd w:val="clear" w:color="auto" w:fill="auto"/>
            <w:noWrap/>
            <w:vAlign w:val="center"/>
            <w:hideMark/>
          </w:tcPr>
          <w:p w14:paraId="4E10D0E1" w14:textId="77777777" w:rsidR="00A86D88" w:rsidRPr="00A86D88" w:rsidRDefault="1AD3821D" w:rsidP="3328C818">
            <w:pPr>
              <w:pStyle w:val="Table-Text"/>
              <w:jc w:val="center"/>
            </w:pPr>
            <w:r>
              <w:t> </w:t>
            </w:r>
          </w:p>
        </w:tc>
        <w:tc>
          <w:tcPr>
            <w:tcW w:w="731" w:type="pct"/>
            <w:tcBorders>
              <w:top w:val="nil"/>
              <w:left w:val="single" w:sz="8" w:space="0" w:color="auto"/>
              <w:bottom w:val="single" w:sz="4" w:space="0" w:color="auto"/>
              <w:right w:val="single" w:sz="4" w:space="0" w:color="auto"/>
            </w:tcBorders>
            <w:shd w:val="clear" w:color="auto" w:fill="auto"/>
            <w:noWrap/>
            <w:vAlign w:val="center"/>
            <w:hideMark/>
          </w:tcPr>
          <w:p w14:paraId="762A34C2" w14:textId="2828687C" w:rsidR="00A86D88" w:rsidRPr="00A86D88" w:rsidRDefault="1AD3821D" w:rsidP="3328C818">
            <w:pPr>
              <w:pStyle w:val="Table-Text"/>
              <w:jc w:val="center"/>
            </w:pPr>
            <w:r>
              <w:t>20,000</w:t>
            </w:r>
          </w:p>
        </w:tc>
        <w:tc>
          <w:tcPr>
            <w:tcW w:w="731" w:type="pct"/>
            <w:tcBorders>
              <w:top w:val="nil"/>
              <w:left w:val="nil"/>
              <w:bottom w:val="single" w:sz="4" w:space="0" w:color="auto"/>
              <w:right w:val="single" w:sz="8" w:space="0" w:color="auto"/>
            </w:tcBorders>
            <w:shd w:val="clear" w:color="auto" w:fill="auto"/>
            <w:noWrap/>
            <w:vAlign w:val="center"/>
            <w:hideMark/>
          </w:tcPr>
          <w:p w14:paraId="4C36DB54" w14:textId="1172D68A" w:rsidR="00A86D88" w:rsidRPr="00A86D88" w:rsidRDefault="1AD3821D" w:rsidP="3328C818">
            <w:pPr>
              <w:pStyle w:val="Table-Text"/>
              <w:jc w:val="center"/>
            </w:pPr>
            <w:r>
              <w:t>20,000</w:t>
            </w:r>
          </w:p>
        </w:tc>
      </w:tr>
      <w:tr w:rsidR="00A86D88" w:rsidRPr="00A86D88" w14:paraId="46F00DFF" w14:textId="77777777" w:rsidTr="3328C818">
        <w:trPr>
          <w:trHeight w:hRule="exact" w:val="288"/>
        </w:trPr>
        <w:tc>
          <w:tcPr>
            <w:tcW w:w="2236" w:type="pct"/>
            <w:tcBorders>
              <w:top w:val="nil"/>
              <w:left w:val="single" w:sz="8" w:space="0" w:color="auto"/>
              <w:bottom w:val="single" w:sz="4" w:space="0" w:color="auto"/>
              <w:right w:val="single" w:sz="8" w:space="0" w:color="auto"/>
            </w:tcBorders>
            <w:shd w:val="clear" w:color="auto" w:fill="auto"/>
            <w:noWrap/>
            <w:vAlign w:val="bottom"/>
            <w:hideMark/>
          </w:tcPr>
          <w:p w14:paraId="788D7723" w14:textId="77777777" w:rsidR="00A86D88" w:rsidRPr="00A86D88" w:rsidRDefault="00A86D88" w:rsidP="00541741">
            <w:pPr>
              <w:pStyle w:val="Table-Text"/>
            </w:pPr>
            <w:r w:rsidRPr="00A86D88">
              <w:t>Catalyst Replacement Cost Method</w:t>
            </w:r>
          </w:p>
        </w:tc>
        <w:tc>
          <w:tcPr>
            <w:tcW w:w="651" w:type="pct"/>
            <w:tcBorders>
              <w:top w:val="nil"/>
              <w:left w:val="nil"/>
              <w:bottom w:val="single" w:sz="4" w:space="0" w:color="auto"/>
              <w:right w:val="single" w:sz="4" w:space="0" w:color="auto"/>
            </w:tcBorders>
            <w:shd w:val="clear" w:color="auto" w:fill="auto"/>
            <w:noWrap/>
            <w:vAlign w:val="center"/>
            <w:hideMark/>
          </w:tcPr>
          <w:p w14:paraId="662076EB" w14:textId="77777777" w:rsidR="00A86D88" w:rsidRPr="00A86D88" w:rsidRDefault="1AD3821D" w:rsidP="3328C818">
            <w:pPr>
              <w:pStyle w:val="Table-Text"/>
              <w:jc w:val="center"/>
            </w:pPr>
            <w:r>
              <w:t> </w:t>
            </w:r>
          </w:p>
        </w:tc>
        <w:tc>
          <w:tcPr>
            <w:tcW w:w="651" w:type="pct"/>
            <w:tcBorders>
              <w:top w:val="nil"/>
              <w:left w:val="nil"/>
              <w:bottom w:val="single" w:sz="4" w:space="0" w:color="auto"/>
              <w:right w:val="nil"/>
            </w:tcBorders>
            <w:shd w:val="clear" w:color="auto" w:fill="auto"/>
            <w:noWrap/>
            <w:vAlign w:val="center"/>
            <w:hideMark/>
          </w:tcPr>
          <w:p w14:paraId="067F034B" w14:textId="77777777" w:rsidR="00A86D88" w:rsidRPr="00A86D88" w:rsidRDefault="1AD3821D" w:rsidP="3328C818">
            <w:pPr>
              <w:pStyle w:val="Table-Text"/>
              <w:jc w:val="center"/>
            </w:pPr>
            <w:r>
              <w:t> </w:t>
            </w:r>
          </w:p>
        </w:tc>
        <w:tc>
          <w:tcPr>
            <w:tcW w:w="731" w:type="pct"/>
            <w:tcBorders>
              <w:top w:val="nil"/>
              <w:left w:val="single" w:sz="8" w:space="0" w:color="auto"/>
              <w:bottom w:val="single" w:sz="4" w:space="0" w:color="auto"/>
              <w:right w:val="single" w:sz="4" w:space="0" w:color="auto"/>
            </w:tcBorders>
            <w:shd w:val="clear" w:color="auto" w:fill="auto"/>
            <w:noWrap/>
            <w:vAlign w:val="center"/>
            <w:hideMark/>
          </w:tcPr>
          <w:p w14:paraId="51AE19A1" w14:textId="77777777" w:rsidR="00A86D88" w:rsidRPr="00A86D88" w:rsidRDefault="1AD3821D" w:rsidP="3328C818">
            <w:pPr>
              <w:pStyle w:val="Table-Text"/>
              <w:jc w:val="center"/>
            </w:pPr>
            <w:r>
              <w:t>1</w:t>
            </w:r>
          </w:p>
        </w:tc>
        <w:tc>
          <w:tcPr>
            <w:tcW w:w="731" w:type="pct"/>
            <w:tcBorders>
              <w:top w:val="nil"/>
              <w:left w:val="nil"/>
              <w:bottom w:val="single" w:sz="4" w:space="0" w:color="auto"/>
              <w:right w:val="single" w:sz="8" w:space="0" w:color="auto"/>
            </w:tcBorders>
            <w:shd w:val="clear" w:color="auto" w:fill="auto"/>
            <w:noWrap/>
            <w:vAlign w:val="center"/>
            <w:hideMark/>
          </w:tcPr>
          <w:p w14:paraId="1F1A16F9" w14:textId="77777777" w:rsidR="00A86D88" w:rsidRPr="00A86D88" w:rsidRDefault="1AD3821D" w:rsidP="3328C818">
            <w:pPr>
              <w:pStyle w:val="Table-Text"/>
              <w:jc w:val="center"/>
            </w:pPr>
            <w:r>
              <w:t>1</w:t>
            </w:r>
          </w:p>
        </w:tc>
      </w:tr>
      <w:tr w:rsidR="00A86D88" w:rsidRPr="00A86D88" w14:paraId="367E3DE3" w14:textId="77777777" w:rsidTr="3328C818">
        <w:trPr>
          <w:trHeight w:hRule="exact" w:val="288"/>
        </w:trPr>
        <w:tc>
          <w:tcPr>
            <w:tcW w:w="2236" w:type="pct"/>
            <w:tcBorders>
              <w:top w:val="nil"/>
              <w:left w:val="single" w:sz="8" w:space="0" w:color="auto"/>
              <w:bottom w:val="single" w:sz="4" w:space="0" w:color="auto"/>
              <w:right w:val="single" w:sz="8" w:space="0" w:color="auto"/>
            </w:tcBorders>
            <w:shd w:val="clear" w:color="auto" w:fill="auto"/>
            <w:noWrap/>
            <w:vAlign w:val="bottom"/>
            <w:hideMark/>
          </w:tcPr>
          <w:p w14:paraId="0255CAAE" w14:textId="77777777" w:rsidR="00A86D88" w:rsidRPr="00A86D88" w:rsidRDefault="00A86D88" w:rsidP="00541741">
            <w:pPr>
              <w:pStyle w:val="Table-Text"/>
            </w:pPr>
            <w:r w:rsidRPr="00A86D88">
              <w:t>Catalyst Replacement Cost</w:t>
            </w:r>
          </w:p>
        </w:tc>
        <w:tc>
          <w:tcPr>
            <w:tcW w:w="651" w:type="pct"/>
            <w:tcBorders>
              <w:top w:val="nil"/>
              <w:left w:val="nil"/>
              <w:bottom w:val="single" w:sz="4" w:space="0" w:color="auto"/>
              <w:right w:val="single" w:sz="4" w:space="0" w:color="auto"/>
            </w:tcBorders>
            <w:shd w:val="clear" w:color="auto" w:fill="auto"/>
            <w:noWrap/>
            <w:vAlign w:val="center"/>
            <w:hideMark/>
          </w:tcPr>
          <w:p w14:paraId="304D1CED" w14:textId="77777777" w:rsidR="00A86D88" w:rsidRPr="00A86D88" w:rsidRDefault="1AD3821D" w:rsidP="3328C818">
            <w:pPr>
              <w:pStyle w:val="Table-Text"/>
              <w:jc w:val="center"/>
            </w:pPr>
            <w:r>
              <w:t> </w:t>
            </w:r>
          </w:p>
        </w:tc>
        <w:tc>
          <w:tcPr>
            <w:tcW w:w="651" w:type="pct"/>
            <w:tcBorders>
              <w:top w:val="nil"/>
              <w:left w:val="nil"/>
              <w:bottom w:val="single" w:sz="4" w:space="0" w:color="auto"/>
              <w:right w:val="nil"/>
            </w:tcBorders>
            <w:shd w:val="clear" w:color="auto" w:fill="auto"/>
            <w:noWrap/>
            <w:vAlign w:val="center"/>
            <w:hideMark/>
          </w:tcPr>
          <w:p w14:paraId="195B6DEB" w14:textId="77777777" w:rsidR="00A86D88" w:rsidRPr="00A86D88" w:rsidRDefault="1AD3821D" w:rsidP="3328C818">
            <w:pPr>
              <w:pStyle w:val="Table-Text"/>
              <w:jc w:val="center"/>
            </w:pPr>
            <w:r>
              <w:t> </w:t>
            </w:r>
          </w:p>
        </w:tc>
        <w:tc>
          <w:tcPr>
            <w:tcW w:w="731" w:type="pct"/>
            <w:tcBorders>
              <w:top w:val="nil"/>
              <w:left w:val="single" w:sz="8" w:space="0" w:color="auto"/>
              <w:bottom w:val="single" w:sz="4" w:space="0" w:color="auto"/>
              <w:right w:val="single" w:sz="4" w:space="0" w:color="auto"/>
            </w:tcBorders>
            <w:shd w:val="clear" w:color="auto" w:fill="auto"/>
            <w:noWrap/>
            <w:vAlign w:val="center"/>
            <w:hideMark/>
          </w:tcPr>
          <w:p w14:paraId="6394953A" w14:textId="77777777" w:rsidR="00A86D88" w:rsidRPr="00A86D88" w:rsidRDefault="1AD3821D" w:rsidP="3328C818">
            <w:pPr>
              <w:pStyle w:val="Table-Text"/>
              <w:jc w:val="center"/>
            </w:pPr>
            <w:r>
              <w:t xml:space="preserve"> $      199,786 </w:t>
            </w:r>
          </w:p>
        </w:tc>
        <w:tc>
          <w:tcPr>
            <w:tcW w:w="731" w:type="pct"/>
            <w:tcBorders>
              <w:top w:val="nil"/>
              <w:left w:val="nil"/>
              <w:bottom w:val="single" w:sz="4" w:space="0" w:color="auto"/>
              <w:right w:val="single" w:sz="8" w:space="0" w:color="auto"/>
            </w:tcBorders>
            <w:shd w:val="clear" w:color="auto" w:fill="auto"/>
            <w:noWrap/>
            <w:vAlign w:val="center"/>
            <w:hideMark/>
          </w:tcPr>
          <w:p w14:paraId="562DCF80" w14:textId="77777777" w:rsidR="00A86D88" w:rsidRPr="00A86D88" w:rsidRDefault="1AD3821D" w:rsidP="3328C818">
            <w:pPr>
              <w:pStyle w:val="Table-Text"/>
              <w:jc w:val="center"/>
            </w:pPr>
            <w:r>
              <w:t xml:space="preserve"> $      194,561 </w:t>
            </w:r>
          </w:p>
        </w:tc>
      </w:tr>
      <w:tr w:rsidR="00A86D88" w:rsidRPr="00A86D88" w14:paraId="6BE1BCA5" w14:textId="77777777" w:rsidTr="3328C818">
        <w:trPr>
          <w:trHeight w:hRule="exact" w:val="288"/>
        </w:trPr>
        <w:tc>
          <w:tcPr>
            <w:tcW w:w="2236" w:type="pct"/>
            <w:tcBorders>
              <w:top w:val="nil"/>
              <w:left w:val="single" w:sz="8" w:space="0" w:color="auto"/>
              <w:bottom w:val="single" w:sz="4" w:space="0" w:color="auto"/>
              <w:right w:val="single" w:sz="8" w:space="0" w:color="auto"/>
            </w:tcBorders>
            <w:shd w:val="clear" w:color="auto" w:fill="auto"/>
            <w:noWrap/>
            <w:vAlign w:val="bottom"/>
            <w:hideMark/>
          </w:tcPr>
          <w:p w14:paraId="241905E2" w14:textId="77777777" w:rsidR="00A86D88" w:rsidRPr="00A86D88" w:rsidRDefault="00A86D88" w:rsidP="00541741">
            <w:pPr>
              <w:pStyle w:val="Table-Text"/>
            </w:pPr>
            <w:r w:rsidRPr="00A86D88">
              <w:t>Direct Cost/Variable O&amp;M</w:t>
            </w:r>
          </w:p>
        </w:tc>
        <w:tc>
          <w:tcPr>
            <w:tcW w:w="651" w:type="pct"/>
            <w:tcBorders>
              <w:top w:val="nil"/>
              <w:left w:val="nil"/>
              <w:bottom w:val="single" w:sz="4" w:space="0" w:color="auto"/>
              <w:right w:val="single" w:sz="4" w:space="0" w:color="auto"/>
            </w:tcBorders>
            <w:shd w:val="clear" w:color="auto" w:fill="auto"/>
            <w:noWrap/>
            <w:vAlign w:val="center"/>
            <w:hideMark/>
          </w:tcPr>
          <w:p w14:paraId="6F036F76" w14:textId="77777777" w:rsidR="00A86D88" w:rsidRPr="00A86D88" w:rsidRDefault="1AD3821D" w:rsidP="3328C818">
            <w:pPr>
              <w:pStyle w:val="Table-Text"/>
              <w:jc w:val="center"/>
            </w:pPr>
            <w:r>
              <w:t xml:space="preserve"> $    168,063 </w:t>
            </w:r>
          </w:p>
        </w:tc>
        <w:tc>
          <w:tcPr>
            <w:tcW w:w="651" w:type="pct"/>
            <w:tcBorders>
              <w:top w:val="nil"/>
              <w:left w:val="nil"/>
              <w:bottom w:val="single" w:sz="4" w:space="0" w:color="auto"/>
              <w:right w:val="nil"/>
            </w:tcBorders>
            <w:shd w:val="clear" w:color="auto" w:fill="auto"/>
            <w:noWrap/>
            <w:vAlign w:val="center"/>
            <w:hideMark/>
          </w:tcPr>
          <w:p w14:paraId="71D80331" w14:textId="77777777" w:rsidR="00A86D88" w:rsidRPr="00A86D88" w:rsidRDefault="1AD3821D" w:rsidP="3328C818">
            <w:pPr>
              <w:pStyle w:val="Table-Text"/>
              <w:jc w:val="center"/>
            </w:pPr>
            <w:r>
              <w:t xml:space="preserve"> $    312,950 </w:t>
            </w:r>
          </w:p>
        </w:tc>
        <w:tc>
          <w:tcPr>
            <w:tcW w:w="731" w:type="pct"/>
            <w:tcBorders>
              <w:top w:val="nil"/>
              <w:left w:val="single" w:sz="8" w:space="0" w:color="auto"/>
              <w:bottom w:val="single" w:sz="4" w:space="0" w:color="auto"/>
              <w:right w:val="single" w:sz="4" w:space="0" w:color="auto"/>
            </w:tcBorders>
            <w:shd w:val="clear" w:color="auto" w:fill="auto"/>
            <w:noWrap/>
            <w:vAlign w:val="center"/>
            <w:hideMark/>
          </w:tcPr>
          <w:p w14:paraId="06FF5C6D" w14:textId="77777777" w:rsidR="00A86D88" w:rsidRPr="00A86D88" w:rsidRDefault="1AD3821D" w:rsidP="3328C818">
            <w:pPr>
              <w:pStyle w:val="Table-Text"/>
              <w:jc w:val="center"/>
            </w:pPr>
            <w:r>
              <w:t xml:space="preserve"> $      485,705 </w:t>
            </w:r>
          </w:p>
        </w:tc>
        <w:tc>
          <w:tcPr>
            <w:tcW w:w="731" w:type="pct"/>
            <w:tcBorders>
              <w:top w:val="nil"/>
              <w:left w:val="nil"/>
              <w:bottom w:val="single" w:sz="4" w:space="0" w:color="auto"/>
              <w:right w:val="single" w:sz="8" w:space="0" w:color="auto"/>
            </w:tcBorders>
            <w:shd w:val="clear" w:color="auto" w:fill="auto"/>
            <w:noWrap/>
            <w:vAlign w:val="center"/>
            <w:hideMark/>
          </w:tcPr>
          <w:p w14:paraId="0D896B30" w14:textId="77777777" w:rsidR="00A86D88" w:rsidRPr="00A86D88" w:rsidRDefault="1AD3821D" w:rsidP="3328C818">
            <w:pPr>
              <w:pStyle w:val="Table-Text"/>
              <w:jc w:val="center"/>
            </w:pPr>
            <w:r>
              <w:t xml:space="preserve"> $      514,973 </w:t>
            </w:r>
          </w:p>
        </w:tc>
      </w:tr>
      <w:tr w:rsidR="00A86D88" w:rsidRPr="00A86D88" w14:paraId="4863527C" w14:textId="77777777" w:rsidTr="3328C818">
        <w:trPr>
          <w:trHeight w:hRule="exact" w:val="288"/>
        </w:trPr>
        <w:tc>
          <w:tcPr>
            <w:tcW w:w="2236" w:type="pct"/>
            <w:tcBorders>
              <w:top w:val="nil"/>
              <w:left w:val="single" w:sz="8" w:space="0" w:color="auto"/>
              <w:bottom w:val="single" w:sz="4" w:space="0" w:color="auto"/>
              <w:right w:val="single" w:sz="8" w:space="0" w:color="auto"/>
            </w:tcBorders>
            <w:shd w:val="clear" w:color="auto" w:fill="auto"/>
            <w:noWrap/>
            <w:vAlign w:val="bottom"/>
            <w:hideMark/>
          </w:tcPr>
          <w:p w14:paraId="4E0EE639" w14:textId="77777777" w:rsidR="00A86D88" w:rsidRPr="00A86D88" w:rsidRDefault="00A86D88" w:rsidP="00541741">
            <w:pPr>
              <w:pStyle w:val="Table-Text"/>
            </w:pPr>
            <w:r w:rsidRPr="00A86D88">
              <w:t xml:space="preserve">Total Annual Cost </w:t>
            </w:r>
          </w:p>
        </w:tc>
        <w:tc>
          <w:tcPr>
            <w:tcW w:w="651" w:type="pct"/>
            <w:tcBorders>
              <w:top w:val="nil"/>
              <w:left w:val="nil"/>
              <w:bottom w:val="single" w:sz="4" w:space="0" w:color="auto"/>
              <w:right w:val="single" w:sz="4" w:space="0" w:color="auto"/>
            </w:tcBorders>
            <w:shd w:val="clear" w:color="auto" w:fill="auto"/>
            <w:noWrap/>
            <w:vAlign w:val="center"/>
            <w:hideMark/>
          </w:tcPr>
          <w:p w14:paraId="2CA30248" w14:textId="77777777" w:rsidR="00A86D88" w:rsidRPr="00A86D88" w:rsidRDefault="1AD3821D" w:rsidP="3328C818">
            <w:pPr>
              <w:pStyle w:val="Table-Text"/>
              <w:jc w:val="center"/>
            </w:pPr>
            <w:r>
              <w:t xml:space="preserve"> $    598,000 </w:t>
            </w:r>
          </w:p>
        </w:tc>
        <w:tc>
          <w:tcPr>
            <w:tcW w:w="651" w:type="pct"/>
            <w:tcBorders>
              <w:top w:val="nil"/>
              <w:left w:val="nil"/>
              <w:bottom w:val="single" w:sz="4" w:space="0" w:color="auto"/>
              <w:right w:val="nil"/>
            </w:tcBorders>
            <w:shd w:val="clear" w:color="auto" w:fill="auto"/>
            <w:noWrap/>
            <w:vAlign w:val="center"/>
            <w:hideMark/>
          </w:tcPr>
          <w:p w14:paraId="049B5B60" w14:textId="77777777" w:rsidR="00A86D88" w:rsidRPr="00A86D88" w:rsidRDefault="1AD3821D" w:rsidP="3328C818">
            <w:pPr>
              <w:pStyle w:val="Table-Text"/>
              <w:jc w:val="center"/>
            </w:pPr>
            <w:r>
              <w:t xml:space="preserve"> $    742,887 </w:t>
            </w:r>
          </w:p>
        </w:tc>
        <w:tc>
          <w:tcPr>
            <w:tcW w:w="731" w:type="pct"/>
            <w:tcBorders>
              <w:top w:val="nil"/>
              <w:left w:val="single" w:sz="8" w:space="0" w:color="auto"/>
              <w:bottom w:val="single" w:sz="4" w:space="0" w:color="auto"/>
              <w:right w:val="single" w:sz="4" w:space="0" w:color="auto"/>
            </w:tcBorders>
            <w:shd w:val="clear" w:color="auto" w:fill="auto"/>
            <w:noWrap/>
            <w:vAlign w:val="center"/>
            <w:hideMark/>
          </w:tcPr>
          <w:p w14:paraId="570D35D5" w14:textId="77777777" w:rsidR="00A86D88" w:rsidRPr="00A86D88" w:rsidRDefault="1AD3821D" w:rsidP="3328C818">
            <w:pPr>
              <w:pStyle w:val="Table-Text"/>
              <w:jc w:val="center"/>
            </w:pPr>
            <w:r>
              <w:t xml:space="preserve"> $   1,864,552 </w:t>
            </w:r>
          </w:p>
        </w:tc>
        <w:tc>
          <w:tcPr>
            <w:tcW w:w="731" w:type="pct"/>
            <w:tcBorders>
              <w:top w:val="nil"/>
              <w:left w:val="nil"/>
              <w:bottom w:val="single" w:sz="4" w:space="0" w:color="auto"/>
              <w:right w:val="single" w:sz="8" w:space="0" w:color="auto"/>
            </w:tcBorders>
            <w:shd w:val="clear" w:color="auto" w:fill="auto"/>
            <w:noWrap/>
            <w:vAlign w:val="center"/>
            <w:hideMark/>
          </w:tcPr>
          <w:p w14:paraId="30D722EB" w14:textId="77777777" w:rsidR="00A86D88" w:rsidRPr="00A86D88" w:rsidRDefault="1AD3821D" w:rsidP="3328C818">
            <w:pPr>
              <w:pStyle w:val="Table-Text"/>
              <w:jc w:val="center"/>
            </w:pPr>
            <w:r>
              <w:t xml:space="preserve"> $   2,337,020 </w:t>
            </w:r>
          </w:p>
        </w:tc>
      </w:tr>
      <w:tr w:rsidR="00A86D88" w:rsidRPr="00A86D88" w14:paraId="128FB8A3" w14:textId="77777777" w:rsidTr="3328C818">
        <w:trPr>
          <w:trHeight w:hRule="exact" w:val="288"/>
        </w:trPr>
        <w:tc>
          <w:tcPr>
            <w:tcW w:w="2236" w:type="pct"/>
            <w:tcBorders>
              <w:top w:val="nil"/>
              <w:left w:val="single" w:sz="8" w:space="0" w:color="auto"/>
              <w:bottom w:val="single" w:sz="4" w:space="0" w:color="auto"/>
              <w:right w:val="single" w:sz="8" w:space="0" w:color="auto"/>
            </w:tcBorders>
            <w:shd w:val="clear" w:color="auto" w:fill="auto"/>
            <w:noWrap/>
            <w:vAlign w:val="bottom"/>
            <w:hideMark/>
          </w:tcPr>
          <w:p w14:paraId="7D915A9D" w14:textId="77777777" w:rsidR="00A86D88" w:rsidRPr="00A86D88" w:rsidRDefault="00A86D88" w:rsidP="00541741">
            <w:pPr>
              <w:pStyle w:val="Table-Text"/>
            </w:pPr>
            <w:r w:rsidRPr="00A86D88">
              <w:t>Uncontrolled NOx Emissions (Tons/</w:t>
            </w:r>
            <w:proofErr w:type="spellStart"/>
            <w:r w:rsidRPr="00A86D88">
              <w:t>yr</w:t>
            </w:r>
            <w:proofErr w:type="spellEnd"/>
            <w:r w:rsidRPr="00A86D88">
              <w:t>)</w:t>
            </w:r>
          </w:p>
        </w:tc>
        <w:tc>
          <w:tcPr>
            <w:tcW w:w="651" w:type="pct"/>
            <w:tcBorders>
              <w:top w:val="nil"/>
              <w:left w:val="nil"/>
              <w:bottom w:val="single" w:sz="4" w:space="0" w:color="auto"/>
              <w:right w:val="single" w:sz="4" w:space="0" w:color="auto"/>
            </w:tcBorders>
            <w:shd w:val="clear" w:color="auto" w:fill="auto"/>
            <w:noWrap/>
            <w:vAlign w:val="center"/>
            <w:hideMark/>
          </w:tcPr>
          <w:p w14:paraId="4C4E36D7" w14:textId="77777777" w:rsidR="00A86D88" w:rsidRPr="00A86D88" w:rsidRDefault="1AD3821D" w:rsidP="3328C818">
            <w:pPr>
              <w:pStyle w:val="Table-Text"/>
              <w:jc w:val="center"/>
            </w:pPr>
            <w:r>
              <w:t>347</w:t>
            </w:r>
          </w:p>
        </w:tc>
        <w:tc>
          <w:tcPr>
            <w:tcW w:w="651" w:type="pct"/>
            <w:tcBorders>
              <w:top w:val="nil"/>
              <w:left w:val="nil"/>
              <w:bottom w:val="single" w:sz="4" w:space="0" w:color="auto"/>
              <w:right w:val="nil"/>
            </w:tcBorders>
            <w:shd w:val="clear" w:color="auto" w:fill="auto"/>
            <w:noWrap/>
            <w:vAlign w:val="center"/>
            <w:hideMark/>
          </w:tcPr>
          <w:p w14:paraId="6F9AAF0B" w14:textId="77777777" w:rsidR="00A86D88" w:rsidRPr="00A86D88" w:rsidRDefault="1AD3821D" w:rsidP="3328C818">
            <w:pPr>
              <w:pStyle w:val="Table-Text"/>
              <w:jc w:val="center"/>
            </w:pPr>
            <w:r>
              <w:t>347</w:t>
            </w:r>
          </w:p>
        </w:tc>
        <w:tc>
          <w:tcPr>
            <w:tcW w:w="731" w:type="pct"/>
            <w:tcBorders>
              <w:top w:val="nil"/>
              <w:left w:val="single" w:sz="8" w:space="0" w:color="auto"/>
              <w:bottom w:val="single" w:sz="4" w:space="0" w:color="auto"/>
              <w:right w:val="single" w:sz="4" w:space="0" w:color="auto"/>
            </w:tcBorders>
            <w:shd w:val="clear" w:color="auto" w:fill="auto"/>
            <w:noWrap/>
            <w:vAlign w:val="center"/>
            <w:hideMark/>
          </w:tcPr>
          <w:p w14:paraId="1C3A2A24" w14:textId="77777777" w:rsidR="00A86D88" w:rsidRPr="00A86D88" w:rsidRDefault="1AD3821D" w:rsidP="3328C818">
            <w:pPr>
              <w:pStyle w:val="Table-Text"/>
              <w:jc w:val="center"/>
            </w:pPr>
            <w:r>
              <w:t>347</w:t>
            </w:r>
          </w:p>
        </w:tc>
        <w:tc>
          <w:tcPr>
            <w:tcW w:w="731" w:type="pct"/>
            <w:tcBorders>
              <w:top w:val="nil"/>
              <w:left w:val="nil"/>
              <w:bottom w:val="single" w:sz="4" w:space="0" w:color="auto"/>
              <w:right w:val="single" w:sz="8" w:space="0" w:color="auto"/>
            </w:tcBorders>
            <w:shd w:val="clear" w:color="auto" w:fill="auto"/>
            <w:noWrap/>
            <w:vAlign w:val="center"/>
            <w:hideMark/>
          </w:tcPr>
          <w:p w14:paraId="7E6F6557" w14:textId="77777777" w:rsidR="00A86D88" w:rsidRPr="00A86D88" w:rsidRDefault="1AD3821D" w:rsidP="3328C818">
            <w:pPr>
              <w:pStyle w:val="Table-Text"/>
              <w:jc w:val="center"/>
            </w:pPr>
            <w:r>
              <w:t>347</w:t>
            </w:r>
          </w:p>
        </w:tc>
      </w:tr>
      <w:tr w:rsidR="00A86D88" w:rsidRPr="00A86D88" w14:paraId="52E8A1AF" w14:textId="77777777" w:rsidTr="3328C818">
        <w:trPr>
          <w:trHeight w:hRule="exact" w:val="288"/>
        </w:trPr>
        <w:tc>
          <w:tcPr>
            <w:tcW w:w="2236" w:type="pct"/>
            <w:tcBorders>
              <w:top w:val="nil"/>
              <w:left w:val="single" w:sz="8" w:space="0" w:color="auto"/>
              <w:bottom w:val="single" w:sz="4" w:space="0" w:color="auto"/>
              <w:right w:val="single" w:sz="8" w:space="0" w:color="auto"/>
            </w:tcBorders>
            <w:shd w:val="clear" w:color="auto" w:fill="auto"/>
            <w:noWrap/>
            <w:vAlign w:val="bottom"/>
            <w:hideMark/>
          </w:tcPr>
          <w:p w14:paraId="2EAB0CC6" w14:textId="77777777" w:rsidR="00A86D88" w:rsidRPr="00A86D88" w:rsidRDefault="00A86D88" w:rsidP="00541741">
            <w:pPr>
              <w:pStyle w:val="Table-Text"/>
            </w:pPr>
            <w:r w:rsidRPr="00A86D88">
              <w:t>Uncontrolled NOx Emission Rate (</w:t>
            </w:r>
            <w:proofErr w:type="spellStart"/>
            <w:r w:rsidRPr="00A86D88">
              <w:t>lb</w:t>
            </w:r>
            <w:proofErr w:type="spellEnd"/>
            <w:r w:rsidRPr="00A86D88">
              <w:t>/</w:t>
            </w:r>
            <w:proofErr w:type="spellStart"/>
            <w:r w:rsidRPr="00A86D88">
              <w:t>mmbtu</w:t>
            </w:r>
            <w:proofErr w:type="spellEnd"/>
            <w:r w:rsidRPr="00A86D88">
              <w:t>)</w:t>
            </w:r>
          </w:p>
        </w:tc>
        <w:tc>
          <w:tcPr>
            <w:tcW w:w="651" w:type="pct"/>
            <w:tcBorders>
              <w:top w:val="nil"/>
              <w:left w:val="nil"/>
              <w:bottom w:val="single" w:sz="4" w:space="0" w:color="auto"/>
              <w:right w:val="single" w:sz="4" w:space="0" w:color="auto"/>
            </w:tcBorders>
            <w:shd w:val="clear" w:color="auto" w:fill="auto"/>
            <w:noWrap/>
            <w:vAlign w:val="center"/>
            <w:hideMark/>
          </w:tcPr>
          <w:p w14:paraId="7315CD4F" w14:textId="77777777" w:rsidR="00A86D88" w:rsidRPr="00A86D88" w:rsidRDefault="1AD3821D" w:rsidP="3328C818">
            <w:pPr>
              <w:pStyle w:val="Table-Text"/>
              <w:jc w:val="center"/>
            </w:pPr>
            <w:r>
              <w:t>0.29</w:t>
            </w:r>
          </w:p>
        </w:tc>
        <w:tc>
          <w:tcPr>
            <w:tcW w:w="651" w:type="pct"/>
            <w:tcBorders>
              <w:top w:val="nil"/>
              <w:left w:val="nil"/>
              <w:bottom w:val="single" w:sz="4" w:space="0" w:color="auto"/>
              <w:right w:val="nil"/>
            </w:tcBorders>
            <w:shd w:val="clear" w:color="auto" w:fill="auto"/>
            <w:noWrap/>
            <w:vAlign w:val="center"/>
            <w:hideMark/>
          </w:tcPr>
          <w:p w14:paraId="2672578C" w14:textId="77777777" w:rsidR="00A86D88" w:rsidRPr="00A86D88" w:rsidRDefault="1AD3821D" w:rsidP="3328C818">
            <w:pPr>
              <w:pStyle w:val="Table-Text"/>
              <w:jc w:val="center"/>
            </w:pPr>
            <w:r>
              <w:t>0.29</w:t>
            </w:r>
          </w:p>
        </w:tc>
        <w:tc>
          <w:tcPr>
            <w:tcW w:w="731" w:type="pct"/>
            <w:tcBorders>
              <w:top w:val="nil"/>
              <w:left w:val="single" w:sz="8" w:space="0" w:color="auto"/>
              <w:bottom w:val="single" w:sz="4" w:space="0" w:color="auto"/>
              <w:right w:val="single" w:sz="4" w:space="0" w:color="auto"/>
            </w:tcBorders>
            <w:shd w:val="clear" w:color="auto" w:fill="auto"/>
            <w:noWrap/>
            <w:vAlign w:val="center"/>
            <w:hideMark/>
          </w:tcPr>
          <w:p w14:paraId="0B95557A" w14:textId="77777777" w:rsidR="00A86D88" w:rsidRPr="00A86D88" w:rsidRDefault="1AD3821D" w:rsidP="3328C818">
            <w:pPr>
              <w:pStyle w:val="Table-Text"/>
              <w:jc w:val="center"/>
            </w:pPr>
            <w:r>
              <w:t>0.29</w:t>
            </w:r>
          </w:p>
        </w:tc>
        <w:tc>
          <w:tcPr>
            <w:tcW w:w="731" w:type="pct"/>
            <w:tcBorders>
              <w:top w:val="nil"/>
              <w:left w:val="nil"/>
              <w:bottom w:val="single" w:sz="4" w:space="0" w:color="auto"/>
              <w:right w:val="single" w:sz="8" w:space="0" w:color="auto"/>
            </w:tcBorders>
            <w:shd w:val="clear" w:color="auto" w:fill="auto"/>
            <w:noWrap/>
            <w:vAlign w:val="center"/>
            <w:hideMark/>
          </w:tcPr>
          <w:p w14:paraId="7AFCE4F6" w14:textId="77777777" w:rsidR="00A86D88" w:rsidRPr="00A86D88" w:rsidRDefault="1AD3821D" w:rsidP="3328C818">
            <w:pPr>
              <w:pStyle w:val="Table-Text"/>
              <w:jc w:val="center"/>
            </w:pPr>
            <w:r>
              <w:t>0.29</w:t>
            </w:r>
          </w:p>
        </w:tc>
      </w:tr>
      <w:tr w:rsidR="00A86D88" w:rsidRPr="00A86D88" w14:paraId="48E421AA" w14:textId="77777777" w:rsidTr="3328C818">
        <w:trPr>
          <w:trHeight w:hRule="exact" w:val="288"/>
        </w:trPr>
        <w:tc>
          <w:tcPr>
            <w:tcW w:w="2236" w:type="pct"/>
            <w:tcBorders>
              <w:top w:val="nil"/>
              <w:left w:val="single" w:sz="8" w:space="0" w:color="auto"/>
              <w:bottom w:val="single" w:sz="4" w:space="0" w:color="auto"/>
              <w:right w:val="single" w:sz="8" w:space="0" w:color="auto"/>
            </w:tcBorders>
            <w:shd w:val="clear" w:color="auto" w:fill="auto"/>
            <w:noWrap/>
            <w:vAlign w:val="bottom"/>
            <w:hideMark/>
          </w:tcPr>
          <w:p w14:paraId="418F9B34" w14:textId="77777777" w:rsidR="00A86D88" w:rsidRPr="00A86D88" w:rsidRDefault="00A86D88" w:rsidP="00541741">
            <w:pPr>
              <w:pStyle w:val="Table-Text"/>
            </w:pPr>
            <w:r w:rsidRPr="00A86D88">
              <w:t>NOx Removal Efficiency (%)</w:t>
            </w:r>
          </w:p>
        </w:tc>
        <w:tc>
          <w:tcPr>
            <w:tcW w:w="651" w:type="pct"/>
            <w:tcBorders>
              <w:top w:val="nil"/>
              <w:left w:val="nil"/>
              <w:bottom w:val="single" w:sz="4" w:space="0" w:color="auto"/>
              <w:right w:val="single" w:sz="4" w:space="0" w:color="auto"/>
            </w:tcBorders>
            <w:shd w:val="clear" w:color="auto" w:fill="auto"/>
            <w:noWrap/>
            <w:vAlign w:val="center"/>
            <w:hideMark/>
          </w:tcPr>
          <w:p w14:paraId="3D41F18F" w14:textId="77777777" w:rsidR="00A86D88" w:rsidRPr="00A86D88" w:rsidRDefault="1AD3821D" w:rsidP="3328C818">
            <w:pPr>
              <w:pStyle w:val="Table-Text"/>
              <w:jc w:val="center"/>
            </w:pPr>
            <w:r>
              <w:t>21</w:t>
            </w:r>
          </w:p>
        </w:tc>
        <w:tc>
          <w:tcPr>
            <w:tcW w:w="651" w:type="pct"/>
            <w:tcBorders>
              <w:top w:val="nil"/>
              <w:left w:val="nil"/>
              <w:bottom w:val="single" w:sz="4" w:space="0" w:color="auto"/>
              <w:right w:val="nil"/>
            </w:tcBorders>
            <w:shd w:val="clear" w:color="auto" w:fill="auto"/>
            <w:noWrap/>
            <w:vAlign w:val="center"/>
            <w:hideMark/>
          </w:tcPr>
          <w:p w14:paraId="25DCC25C" w14:textId="77777777" w:rsidR="00A86D88" w:rsidRPr="00A86D88" w:rsidRDefault="1AD3821D" w:rsidP="3328C818">
            <w:pPr>
              <w:pStyle w:val="Table-Text"/>
              <w:jc w:val="center"/>
            </w:pPr>
            <w:r>
              <w:t>25</w:t>
            </w:r>
          </w:p>
        </w:tc>
        <w:tc>
          <w:tcPr>
            <w:tcW w:w="731" w:type="pct"/>
            <w:tcBorders>
              <w:top w:val="nil"/>
              <w:left w:val="single" w:sz="8" w:space="0" w:color="auto"/>
              <w:bottom w:val="single" w:sz="4" w:space="0" w:color="auto"/>
              <w:right w:val="single" w:sz="4" w:space="0" w:color="auto"/>
            </w:tcBorders>
            <w:shd w:val="clear" w:color="auto" w:fill="auto"/>
            <w:noWrap/>
            <w:vAlign w:val="center"/>
            <w:hideMark/>
          </w:tcPr>
          <w:p w14:paraId="2118FADF" w14:textId="77777777" w:rsidR="00A86D88" w:rsidRPr="00A86D88" w:rsidRDefault="1AD3821D" w:rsidP="3328C818">
            <w:pPr>
              <w:pStyle w:val="Table-Text"/>
              <w:jc w:val="center"/>
            </w:pPr>
            <w:r>
              <w:t>83</w:t>
            </w:r>
          </w:p>
        </w:tc>
        <w:tc>
          <w:tcPr>
            <w:tcW w:w="731" w:type="pct"/>
            <w:tcBorders>
              <w:top w:val="nil"/>
              <w:left w:val="nil"/>
              <w:bottom w:val="single" w:sz="4" w:space="0" w:color="auto"/>
              <w:right w:val="single" w:sz="8" w:space="0" w:color="auto"/>
            </w:tcBorders>
            <w:shd w:val="clear" w:color="auto" w:fill="auto"/>
            <w:noWrap/>
            <w:vAlign w:val="center"/>
            <w:hideMark/>
          </w:tcPr>
          <w:p w14:paraId="565D005F" w14:textId="77777777" w:rsidR="00A86D88" w:rsidRPr="00A86D88" w:rsidRDefault="1AD3821D" w:rsidP="3328C818">
            <w:pPr>
              <w:pStyle w:val="Table-Text"/>
              <w:jc w:val="center"/>
            </w:pPr>
            <w:r>
              <w:t>80</w:t>
            </w:r>
          </w:p>
        </w:tc>
      </w:tr>
      <w:tr w:rsidR="00A86D88" w:rsidRPr="00A86D88" w14:paraId="7888183F" w14:textId="77777777" w:rsidTr="3328C818">
        <w:trPr>
          <w:trHeight w:hRule="exact" w:val="288"/>
        </w:trPr>
        <w:tc>
          <w:tcPr>
            <w:tcW w:w="2236" w:type="pct"/>
            <w:tcBorders>
              <w:top w:val="nil"/>
              <w:left w:val="single" w:sz="8" w:space="0" w:color="auto"/>
              <w:bottom w:val="single" w:sz="4" w:space="0" w:color="auto"/>
              <w:right w:val="single" w:sz="8" w:space="0" w:color="auto"/>
            </w:tcBorders>
            <w:shd w:val="clear" w:color="auto" w:fill="auto"/>
            <w:noWrap/>
            <w:vAlign w:val="bottom"/>
            <w:hideMark/>
          </w:tcPr>
          <w:p w14:paraId="72EC58D6" w14:textId="77777777" w:rsidR="00A86D88" w:rsidRPr="00A86D88" w:rsidRDefault="00A86D88" w:rsidP="00541741">
            <w:pPr>
              <w:pStyle w:val="Table-Text"/>
            </w:pPr>
            <w:r w:rsidRPr="00A86D88">
              <w:t>Controlled NOx Emission Rate (</w:t>
            </w:r>
            <w:proofErr w:type="spellStart"/>
            <w:r w:rsidRPr="00A86D88">
              <w:t>lb</w:t>
            </w:r>
            <w:proofErr w:type="spellEnd"/>
            <w:r w:rsidRPr="00A86D88">
              <w:t>/</w:t>
            </w:r>
            <w:proofErr w:type="spellStart"/>
            <w:r w:rsidRPr="00A86D88">
              <w:t>mmbtu</w:t>
            </w:r>
            <w:proofErr w:type="spellEnd"/>
            <w:r w:rsidRPr="00A86D88">
              <w:t>)</w:t>
            </w:r>
          </w:p>
        </w:tc>
        <w:tc>
          <w:tcPr>
            <w:tcW w:w="651" w:type="pct"/>
            <w:tcBorders>
              <w:top w:val="nil"/>
              <w:left w:val="nil"/>
              <w:bottom w:val="single" w:sz="4" w:space="0" w:color="auto"/>
              <w:right w:val="single" w:sz="4" w:space="0" w:color="auto"/>
            </w:tcBorders>
            <w:shd w:val="clear" w:color="auto" w:fill="auto"/>
            <w:noWrap/>
            <w:vAlign w:val="center"/>
            <w:hideMark/>
          </w:tcPr>
          <w:p w14:paraId="70190107" w14:textId="77777777" w:rsidR="00A86D88" w:rsidRPr="00A86D88" w:rsidRDefault="1AD3821D" w:rsidP="3328C818">
            <w:pPr>
              <w:pStyle w:val="Table-Text"/>
              <w:jc w:val="center"/>
            </w:pPr>
            <w:r>
              <w:t>0.23</w:t>
            </w:r>
          </w:p>
        </w:tc>
        <w:tc>
          <w:tcPr>
            <w:tcW w:w="651" w:type="pct"/>
            <w:tcBorders>
              <w:top w:val="nil"/>
              <w:left w:val="nil"/>
              <w:bottom w:val="single" w:sz="4" w:space="0" w:color="auto"/>
              <w:right w:val="nil"/>
            </w:tcBorders>
            <w:shd w:val="clear" w:color="auto" w:fill="auto"/>
            <w:noWrap/>
            <w:vAlign w:val="center"/>
            <w:hideMark/>
          </w:tcPr>
          <w:p w14:paraId="0A4949FB" w14:textId="77777777" w:rsidR="00A86D88" w:rsidRPr="00A86D88" w:rsidRDefault="1AD3821D" w:rsidP="3328C818">
            <w:pPr>
              <w:pStyle w:val="Table-Text"/>
              <w:jc w:val="center"/>
            </w:pPr>
            <w:r>
              <w:t>0.22</w:t>
            </w:r>
          </w:p>
        </w:tc>
        <w:tc>
          <w:tcPr>
            <w:tcW w:w="731" w:type="pct"/>
            <w:tcBorders>
              <w:top w:val="nil"/>
              <w:left w:val="single" w:sz="8" w:space="0" w:color="auto"/>
              <w:bottom w:val="single" w:sz="4" w:space="0" w:color="auto"/>
              <w:right w:val="single" w:sz="4" w:space="0" w:color="auto"/>
            </w:tcBorders>
            <w:shd w:val="clear" w:color="auto" w:fill="FFFF00"/>
            <w:noWrap/>
            <w:vAlign w:val="center"/>
            <w:hideMark/>
          </w:tcPr>
          <w:p w14:paraId="38A7CCF8" w14:textId="77777777" w:rsidR="00A86D88" w:rsidRPr="00A86D88" w:rsidRDefault="1AD3821D" w:rsidP="3328C818">
            <w:pPr>
              <w:pStyle w:val="Table-Text"/>
              <w:jc w:val="center"/>
            </w:pPr>
            <w:r>
              <w:t>0.05</w:t>
            </w:r>
          </w:p>
        </w:tc>
        <w:tc>
          <w:tcPr>
            <w:tcW w:w="731" w:type="pct"/>
            <w:tcBorders>
              <w:top w:val="nil"/>
              <w:left w:val="nil"/>
              <w:bottom w:val="single" w:sz="4" w:space="0" w:color="auto"/>
              <w:right w:val="single" w:sz="8" w:space="0" w:color="auto"/>
            </w:tcBorders>
            <w:shd w:val="clear" w:color="auto" w:fill="FFFF00"/>
            <w:noWrap/>
            <w:vAlign w:val="center"/>
            <w:hideMark/>
          </w:tcPr>
          <w:p w14:paraId="186F1512" w14:textId="77777777" w:rsidR="00A86D88" w:rsidRPr="00A86D88" w:rsidRDefault="1AD3821D" w:rsidP="3328C818">
            <w:pPr>
              <w:pStyle w:val="Table-Text"/>
              <w:jc w:val="center"/>
            </w:pPr>
            <w:r>
              <w:t>0.06</w:t>
            </w:r>
          </w:p>
        </w:tc>
      </w:tr>
      <w:tr w:rsidR="00A86D88" w:rsidRPr="00A86D88" w14:paraId="60879B29" w14:textId="77777777" w:rsidTr="3328C818">
        <w:trPr>
          <w:trHeight w:hRule="exact" w:val="288"/>
        </w:trPr>
        <w:tc>
          <w:tcPr>
            <w:tcW w:w="2236" w:type="pct"/>
            <w:tcBorders>
              <w:top w:val="nil"/>
              <w:left w:val="single" w:sz="8" w:space="0" w:color="auto"/>
              <w:bottom w:val="single" w:sz="4" w:space="0" w:color="auto"/>
              <w:right w:val="single" w:sz="8" w:space="0" w:color="auto"/>
            </w:tcBorders>
            <w:shd w:val="clear" w:color="auto" w:fill="auto"/>
            <w:noWrap/>
            <w:vAlign w:val="bottom"/>
            <w:hideMark/>
          </w:tcPr>
          <w:p w14:paraId="18171862" w14:textId="77777777" w:rsidR="00A86D88" w:rsidRPr="00A86D88" w:rsidRDefault="00A86D88" w:rsidP="00541741">
            <w:pPr>
              <w:pStyle w:val="Table-Text"/>
            </w:pPr>
            <w:r w:rsidRPr="00A86D88">
              <w:t>Tons Removed</w:t>
            </w:r>
          </w:p>
        </w:tc>
        <w:tc>
          <w:tcPr>
            <w:tcW w:w="651" w:type="pct"/>
            <w:tcBorders>
              <w:top w:val="nil"/>
              <w:left w:val="nil"/>
              <w:bottom w:val="single" w:sz="4" w:space="0" w:color="auto"/>
              <w:right w:val="single" w:sz="4" w:space="0" w:color="auto"/>
            </w:tcBorders>
            <w:shd w:val="clear" w:color="auto" w:fill="auto"/>
            <w:noWrap/>
            <w:vAlign w:val="center"/>
            <w:hideMark/>
          </w:tcPr>
          <w:p w14:paraId="490F25DE" w14:textId="77777777" w:rsidR="00A86D88" w:rsidRPr="00A86D88" w:rsidRDefault="1AD3821D" w:rsidP="3328C818">
            <w:pPr>
              <w:pStyle w:val="Table-Text"/>
              <w:jc w:val="center"/>
            </w:pPr>
            <w:r>
              <w:t>74</w:t>
            </w:r>
          </w:p>
        </w:tc>
        <w:tc>
          <w:tcPr>
            <w:tcW w:w="651" w:type="pct"/>
            <w:tcBorders>
              <w:top w:val="nil"/>
              <w:left w:val="nil"/>
              <w:bottom w:val="single" w:sz="4" w:space="0" w:color="auto"/>
              <w:right w:val="nil"/>
            </w:tcBorders>
            <w:shd w:val="clear" w:color="auto" w:fill="auto"/>
            <w:noWrap/>
            <w:vAlign w:val="center"/>
            <w:hideMark/>
          </w:tcPr>
          <w:p w14:paraId="652C8D50" w14:textId="77777777" w:rsidR="00A86D88" w:rsidRPr="00A86D88" w:rsidRDefault="1AD3821D" w:rsidP="3328C818">
            <w:pPr>
              <w:pStyle w:val="Table-Text"/>
              <w:jc w:val="center"/>
            </w:pPr>
            <w:r>
              <w:t>87</w:t>
            </w:r>
          </w:p>
        </w:tc>
        <w:tc>
          <w:tcPr>
            <w:tcW w:w="731" w:type="pct"/>
            <w:tcBorders>
              <w:top w:val="nil"/>
              <w:left w:val="single" w:sz="8" w:space="0" w:color="auto"/>
              <w:bottom w:val="single" w:sz="4" w:space="0" w:color="auto"/>
              <w:right w:val="single" w:sz="4" w:space="0" w:color="auto"/>
            </w:tcBorders>
            <w:shd w:val="clear" w:color="auto" w:fill="FFFF00"/>
            <w:noWrap/>
            <w:vAlign w:val="center"/>
            <w:hideMark/>
          </w:tcPr>
          <w:p w14:paraId="793623D4" w14:textId="77777777" w:rsidR="00A86D88" w:rsidRPr="00A86D88" w:rsidRDefault="1AD3821D" w:rsidP="3328C818">
            <w:pPr>
              <w:pStyle w:val="Table-Text"/>
              <w:jc w:val="center"/>
            </w:pPr>
            <w:r>
              <w:t>288</w:t>
            </w:r>
          </w:p>
        </w:tc>
        <w:tc>
          <w:tcPr>
            <w:tcW w:w="731" w:type="pct"/>
            <w:tcBorders>
              <w:top w:val="nil"/>
              <w:left w:val="nil"/>
              <w:bottom w:val="single" w:sz="4" w:space="0" w:color="auto"/>
              <w:right w:val="single" w:sz="8" w:space="0" w:color="auto"/>
            </w:tcBorders>
            <w:shd w:val="clear" w:color="auto" w:fill="FFFF00"/>
            <w:noWrap/>
            <w:vAlign w:val="center"/>
            <w:hideMark/>
          </w:tcPr>
          <w:p w14:paraId="2D098031" w14:textId="77777777" w:rsidR="00A86D88" w:rsidRPr="00A86D88" w:rsidRDefault="1AD3821D" w:rsidP="3328C818">
            <w:pPr>
              <w:pStyle w:val="Table-Text"/>
              <w:jc w:val="center"/>
            </w:pPr>
            <w:r>
              <w:t>278</w:t>
            </w:r>
          </w:p>
        </w:tc>
      </w:tr>
      <w:tr w:rsidR="00A86D88" w:rsidRPr="00A86D88" w14:paraId="174E52CC" w14:textId="77777777" w:rsidTr="3328C818">
        <w:trPr>
          <w:trHeight w:hRule="exact" w:val="288"/>
        </w:trPr>
        <w:tc>
          <w:tcPr>
            <w:tcW w:w="2236" w:type="pct"/>
            <w:tcBorders>
              <w:top w:val="nil"/>
              <w:left w:val="single" w:sz="8" w:space="0" w:color="auto"/>
              <w:bottom w:val="single" w:sz="8" w:space="0" w:color="auto"/>
              <w:right w:val="single" w:sz="8" w:space="0" w:color="auto"/>
            </w:tcBorders>
            <w:shd w:val="clear" w:color="auto" w:fill="auto"/>
            <w:noWrap/>
            <w:vAlign w:val="bottom"/>
            <w:hideMark/>
          </w:tcPr>
          <w:p w14:paraId="4D58590C" w14:textId="77777777" w:rsidR="00A86D88" w:rsidRPr="00A86D88" w:rsidRDefault="00A86D88" w:rsidP="00541741">
            <w:pPr>
              <w:pStyle w:val="Table-Text"/>
            </w:pPr>
            <w:r w:rsidRPr="00A86D88">
              <w:t>Cost-Effectiveness</w:t>
            </w:r>
          </w:p>
        </w:tc>
        <w:tc>
          <w:tcPr>
            <w:tcW w:w="651" w:type="pct"/>
            <w:tcBorders>
              <w:top w:val="nil"/>
              <w:left w:val="nil"/>
              <w:bottom w:val="single" w:sz="8" w:space="0" w:color="auto"/>
              <w:right w:val="single" w:sz="4" w:space="0" w:color="auto"/>
            </w:tcBorders>
            <w:shd w:val="clear" w:color="auto" w:fill="auto"/>
            <w:noWrap/>
            <w:vAlign w:val="center"/>
            <w:hideMark/>
          </w:tcPr>
          <w:p w14:paraId="515D0371" w14:textId="77777777" w:rsidR="00A86D88" w:rsidRPr="00A86D88" w:rsidRDefault="1AD3821D" w:rsidP="3328C818">
            <w:pPr>
              <w:pStyle w:val="Table-Text"/>
              <w:jc w:val="center"/>
            </w:pPr>
            <w:r>
              <w:t xml:space="preserve"> $        8,115 </w:t>
            </w:r>
          </w:p>
        </w:tc>
        <w:tc>
          <w:tcPr>
            <w:tcW w:w="651" w:type="pct"/>
            <w:tcBorders>
              <w:top w:val="nil"/>
              <w:left w:val="nil"/>
              <w:bottom w:val="single" w:sz="8" w:space="0" w:color="auto"/>
              <w:right w:val="nil"/>
            </w:tcBorders>
            <w:shd w:val="clear" w:color="auto" w:fill="auto"/>
            <w:noWrap/>
            <w:vAlign w:val="center"/>
            <w:hideMark/>
          </w:tcPr>
          <w:p w14:paraId="7859D6F8" w14:textId="77777777" w:rsidR="00A86D88" w:rsidRPr="00A86D88" w:rsidRDefault="1AD3821D" w:rsidP="3328C818">
            <w:pPr>
              <w:pStyle w:val="Table-Text"/>
              <w:jc w:val="center"/>
            </w:pPr>
            <w:r>
              <w:t xml:space="preserve"> $        8,562 </w:t>
            </w:r>
          </w:p>
        </w:tc>
        <w:tc>
          <w:tcPr>
            <w:tcW w:w="731" w:type="pct"/>
            <w:tcBorders>
              <w:top w:val="nil"/>
              <w:left w:val="single" w:sz="8" w:space="0" w:color="auto"/>
              <w:bottom w:val="single" w:sz="8" w:space="0" w:color="auto"/>
              <w:right w:val="single" w:sz="4" w:space="0" w:color="auto"/>
            </w:tcBorders>
            <w:shd w:val="clear" w:color="auto" w:fill="FFFF00"/>
            <w:noWrap/>
            <w:vAlign w:val="center"/>
            <w:hideMark/>
          </w:tcPr>
          <w:p w14:paraId="2998EEE4" w14:textId="77777777" w:rsidR="00A86D88" w:rsidRPr="00A86D88" w:rsidRDefault="1AD3821D" w:rsidP="3328C818">
            <w:pPr>
              <w:pStyle w:val="Table-Text"/>
              <w:jc w:val="center"/>
            </w:pPr>
            <w:r>
              <w:t xml:space="preserve"> $           6,483 </w:t>
            </w:r>
          </w:p>
        </w:tc>
        <w:tc>
          <w:tcPr>
            <w:tcW w:w="731" w:type="pct"/>
            <w:tcBorders>
              <w:top w:val="nil"/>
              <w:left w:val="nil"/>
              <w:bottom w:val="single" w:sz="8" w:space="0" w:color="auto"/>
              <w:right w:val="single" w:sz="8" w:space="0" w:color="auto"/>
            </w:tcBorders>
            <w:shd w:val="clear" w:color="auto" w:fill="FFFF00"/>
            <w:noWrap/>
            <w:vAlign w:val="center"/>
            <w:hideMark/>
          </w:tcPr>
          <w:p w14:paraId="6B1171F9" w14:textId="77777777" w:rsidR="00A86D88" w:rsidRPr="00A86D88" w:rsidRDefault="1AD3821D" w:rsidP="3328C818">
            <w:pPr>
              <w:pStyle w:val="Table-Text"/>
              <w:jc w:val="center"/>
            </w:pPr>
            <w:r>
              <w:t xml:space="preserve"> $           8,418 </w:t>
            </w:r>
          </w:p>
        </w:tc>
      </w:tr>
    </w:tbl>
    <w:p w14:paraId="55DD9B05" w14:textId="77777777" w:rsidR="00A86D88" w:rsidRDefault="00A86D88" w:rsidP="00A86D88">
      <w:pPr>
        <w:pStyle w:val="Caption"/>
        <w:contextualSpacing/>
      </w:pPr>
    </w:p>
    <w:p w14:paraId="3E9B0453" w14:textId="58808791" w:rsidR="00867FDB" w:rsidRPr="0072039B" w:rsidRDefault="00867FDB" w:rsidP="00B23D77">
      <w:pPr>
        <w:pStyle w:val="Heading5"/>
      </w:pPr>
      <w:r w:rsidRPr="0072039B">
        <w:t>Significant Issues regarding Cost-Effectiveness:</w:t>
      </w:r>
    </w:p>
    <w:p w14:paraId="5C01CAF4" w14:textId="04B259A2" w:rsidR="00867FDB" w:rsidRPr="0072039B" w:rsidRDefault="00867FDB" w:rsidP="00B1738B">
      <w:pPr>
        <w:pStyle w:val="ListParagraph"/>
        <w:rPr>
          <w:rFonts w:eastAsiaTheme="minorHAnsi"/>
        </w:rPr>
      </w:pPr>
      <w:r w:rsidRPr="0072039B">
        <w:rPr>
          <w:rFonts w:eastAsiaTheme="minorHAnsi"/>
        </w:rPr>
        <w:t>A retrofit factor</w:t>
      </w:r>
      <w:r w:rsidR="003B6242">
        <w:rPr>
          <w:rFonts w:eastAsiaTheme="minorHAnsi"/>
        </w:rPr>
        <w:t xml:space="preserve"> (1.33)</w:t>
      </w:r>
      <w:r w:rsidRPr="0072039B">
        <w:rPr>
          <w:rFonts w:eastAsiaTheme="minorHAnsi"/>
        </w:rPr>
        <w:t xml:space="preserve"> greater than the CCM default value of 1.0 (which </w:t>
      </w:r>
      <w:r w:rsidR="0012593E">
        <w:rPr>
          <w:rFonts w:eastAsiaTheme="minorHAnsi"/>
        </w:rPr>
        <w:t xml:space="preserve">inherently </w:t>
      </w:r>
      <w:r w:rsidRPr="0072039B">
        <w:rPr>
          <w:rFonts w:eastAsiaTheme="minorHAnsi"/>
        </w:rPr>
        <w:t>represents a 25% increase over a “greenfield” application) was not justified. The CCM advises that:</w:t>
      </w:r>
    </w:p>
    <w:p w14:paraId="188ECE64" w14:textId="6BBA7797" w:rsidR="00867FDB" w:rsidRPr="007604C8" w:rsidRDefault="00867FDB" w:rsidP="00B1738B">
      <w:pPr>
        <w:pStyle w:val="ListParagraph"/>
        <w:numPr>
          <w:ilvl w:val="1"/>
          <w:numId w:val="13"/>
        </w:numPr>
        <w:rPr>
          <w:rFonts w:eastAsiaTheme="minorHAnsi"/>
        </w:rPr>
      </w:pPr>
      <w:r w:rsidRPr="007604C8">
        <w:rPr>
          <w:rFonts w:eastAsiaTheme="minorHAnsi"/>
        </w:rPr>
        <w:t>If the SCR will be installed on an existing boiler, enter a retrofit factor between 0.8 and 1.5. Use 1 for retrofits with an average level of difficulty. For more difficult retrofits, you may use a retrofit factor greater than 1; however, you must document why the value used is appropriate. According to the CCM, “You must document why a retrofit factor of “__" is appropriate for the proposed project."</w:t>
      </w:r>
      <w:r>
        <w:rPr>
          <w:rFonts w:eastAsiaTheme="minorHAnsi"/>
        </w:rPr>
        <w:t xml:space="preserve"> </w:t>
      </w:r>
      <w:r w:rsidRPr="007604C8">
        <w:rPr>
          <w:rFonts w:eastAsiaTheme="minorHAnsi"/>
        </w:rPr>
        <w:t>The MPCA retrofit factor represents a 66% increase versus a “greenfield” estimate.</w:t>
      </w:r>
    </w:p>
    <w:p w14:paraId="7AA327E6" w14:textId="7D0ED1D5" w:rsidR="00867FDB" w:rsidRPr="0072039B" w:rsidRDefault="00867FDB" w:rsidP="00B1738B">
      <w:pPr>
        <w:pStyle w:val="ListParagraph"/>
      </w:pPr>
      <w:r w:rsidRPr="0072039B">
        <w:t xml:space="preserve">The CCM default for catalyst life is </w:t>
      </w:r>
      <w:r w:rsidR="003F6A6F">
        <w:t>16</w:t>
      </w:r>
      <w:r w:rsidRPr="0072039B">
        <w:t xml:space="preserve">,000 – 24,000 hours; </w:t>
      </w:r>
      <w:bookmarkStart w:id="39" w:name="_Hlk114120158"/>
      <w:r>
        <w:t>NPS</w:t>
      </w:r>
      <w:r w:rsidRPr="0072039B">
        <w:t xml:space="preserve"> used the MPCA 20,000</w:t>
      </w:r>
      <w:r w:rsidR="003B6242">
        <w:t>-</w:t>
      </w:r>
      <w:r w:rsidRPr="0072039B">
        <w:t>hour estimate</w:t>
      </w:r>
      <w:r w:rsidR="0012593E">
        <w:t xml:space="preserve"> for this application to a </w:t>
      </w:r>
      <w:proofErr w:type="spellStart"/>
      <w:r w:rsidR="0012593E">
        <w:t>woodwaste</w:t>
      </w:r>
      <w:proofErr w:type="spellEnd"/>
      <w:r w:rsidR="0012593E">
        <w:t>-fired boiler</w:t>
      </w:r>
      <w:r w:rsidRPr="0072039B">
        <w:t>.</w:t>
      </w:r>
      <w:bookmarkEnd w:id="39"/>
    </w:p>
    <w:p w14:paraId="603E97F7" w14:textId="387EE102" w:rsidR="00867FDB" w:rsidRPr="0072039B" w:rsidRDefault="00867FDB" w:rsidP="00B1738B">
      <w:pPr>
        <w:pStyle w:val="ListParagraph"/>
      </w:pPr>
      <w:r w:rsidRPr="0072039B">
        <w:rPr>
          <w:rFonts w:eastAsiaTheme="minorHAnsi"/>
        </w:rPr>
        <w:t xml:space="preserve">It is likely that MPCA has overestimated SNCR control efficiency and the resulting Direct Operating Costs and Tons Removed. </w:t>
      </w:r>
      <w:r w:rsidR="007E04F6">
        <w:rPr>
          <w:rFonts w:eastAsiaTheme="minorHAnsi"/>
        </w:rPr>
        <w:t xml:space="preserve">It also appears that MPCA has overestimated the Normalized Stoichiometric Ratio (NSR) and ammonia use for ammonia injection. </w:t>
      </w:r>
      <w:r>
        <w:t>NPS</w:t>
      </w:r>
      <w:r w:rsidRPr="0072039B">
        <w:t xml:space="preserve"> recommend</w:t>
      </w:r>
      <w:r>
        <w:t>s</w:t>
      </w:r>
      <w:r w:rsidRPr="0072039B">
        <w:t xml:space="preserve"> application of the relationship shown in CCM Figure 1.1c</w:t>
      </w:r>
      <w:r w:rsidR="007E04F6">
        <w:t xml:space="preserve"> and the CCM workbook default NSR = 1.05.</w:t>
      </w:r>
    </w:p>
    <w:p w14:paraId="5C58D0D8" w14:textId="14B25356" w:rsidR="00867FDB" w:rsidRPr="0072039B" w:rsidRDefault="00867FDB" w:rsidP="00B1738B">
      <w:pPr>
        <w:pStyle w:val="ListParagraph"/>
      </w:pPr>
      <w:r w:rsidRPr="0072039B">
        <w:rPr>
          <w:rFonts w:eastAsiaTheme="minorHAnsi"/>
        </w:rPr>
        <w:t xml:space="preserve">It is likely that MPCA has underestimated SCR control efficiency and the resulting Direct Operating Costs and Tons Removed. The CCM advises that SCR can achieve emissions as low as 0.04 </w:t>
      </w:r>
      <w:proofErr w:type="spellStart"/>
      <w:r w:rsidRPr="0072039B">
        <w:rPr>
          <w:rFonts w:eastAsiaTheme="minorHAnsi"/>
        </w:rPr>
        <w:t>lb</w:t>
      </w:r>
      <w:proofErr w:type="spellEnd"/>
      <w:r w:rsidRPr="0072039B">
        <w:rPr>
          <w:rFonts w:eastAsiaTheme="minorHAnsi"/>
        </w:rPr>
        <w:t>/</w:t>
      </w:r>
      <w:proofErr w:type="spellStart"/>
      <w:r w:rsidRPr="0072039B">
        <w:rPr>
          <w:rFonts w:eastAsiaTheme="minorHAnsi"/>
        </w:rPr>
        <w:t>mmbtu</w:t>
      </w:r>
      <w:proofErr w:type="spellEnd"/>
      <w:r w:rsidRPr="0072039B">
        <w:rPr>
          <w:rFonts w:eastAsiaTheme="minorHAnsi"/>
        </w:rPr>
        <w:t xml:space="preserve"> (and up to 90% control)</w:t>
      </w:r>
      <w:r>
        <w:rPr>
          <w:rFonts w:eastAsiaTheme="minorHAnsi"/>
        </w:rPr>
        <w:t xml:space="preserve">. NPS analyses </w:t>
      </w:r>
      <w:r w:rsidRPr="0072039B">
        <w:rPr>
          <w:rFonts w:eastAsiaTheme="minorHAnsi"/>
        </w:rPr>
        <w:t xml:space="preserve">used 0.05 </w:t>
      </w:r>
      <w:proofErr w:type="spellStart"/>
      <w:r w:rsidRPr="0072039B">
        <w:rPr>
          <w:rFonts w:eastAsiaTheme="minorHAnsi"/>
        </w:rPr>
        <w:t>lb</w:t>
      </w:r>
      <w:proofErr w:type="spellEnd"/>
      <w:r w:rsidRPr="0072039B">
        <w:rPr>
          <w:rFonts w:eastAsiaTheme="minorHAnsi"/>
        </w:rPr>
        <w:t>/</w:t>
      </w:r>
      <w:proofErr w:type="spellStart"/>
      <w:r w:rsidRPr="0072039B">
        <w:rPr>
          <w:rFonts w:eastAsiaTheme="minorHAnsi"/>
        </w:rPr>
        <w:t>mmbtu</w:t>
      </w:r>
      <w:proofErr w:type="spellEnd"/>
      <w:r w:rsidRPr="0072039B">
        <w:rPr>
          <w:rFonts w:eastAsiaTheme="minorHAnsi"/>
        </w:rPr>
        <w:t xml:space="preserve"> (83% control) to be conservative.</w:t>
      </w:r>
    </w:p>
    <w:p w14:paraId="5650E0CF" w14:textId="6AD77A25" w:rsidR="00867FDB" w:rsidRDefault="00867FDB" w:rsidP="00B1738B">
      <w:pPr>
        <w:spacing w:line="240" w:lineRule="auto"/>
        <w:contextualSpacing/>
      </w:pPr>
      <w:r>
        <w:t>The NPS</w:t>
      </w:r>
      <w:r w:rsidRPr="0072039B">
        <w:t xml:space="preserve"> estimate</w:t>
      </w:r>
      <w:r>
        <w:t>s</w:t>
      </w:r>
      <w:r w:rsidRPr="0072039B">
        <w:t xml:space="preserve"> that addition of SNCR could reduce annual </w:t>
      </w:r>
      <w:r w:rsidRPr="00A9462F">
        <w:t>NO</w:t>
      </w:r>
      <w:r>
        <w:rPr>
          <w:vertAlign w:val="subscript"/>
        </w:rPr>
        <w:t>x</w:t>
      </w:r>
      <w:r w:rsidRPr="0072039B">
        <w:t xml:space="preserve"> by over 70 tons at an annual cost of about $0.6 million resulting in a cost-effective strategy </w:t>
      </w:r>
      <w:r>
        <w:t>of</w:t>
      </w:r>
      <w:r w:rsidRPr="0072039B">
        <w:t xml:space="preserve"> about $</w:t>
      </w:r>
      <w:r>
        <w:t>8</w:t>
      </w:r>
      <w:r w:rsidRPr="0072039B">
        <w:t>,</w:t>
      </w:r>
      <w:r w:rsidR="003B6242">
        <w:t>1</w:t>
      </w:r>
      <w:r w:rsidRPr="0072039B">
        <w:t xml:space="preserve">00/ton of </w:t>
      </w:r>
      <w:r w:rsidRPr="00A9462F">
        <w:t>NO</w:t>
      </w:r>
      <w:r>
        <w:rPr>
          <w:vertAlign w:val="subscript"/>
        </w:rPr>
        <w:t>x</w:t>
      </w:r>
      <w:r w:rsidRPr="0072039B">
        <w:t xml:space="preserve"> removed.</w:t>
      </w:r>
    </w:p>
    <w:p w14:paraId="6746C847" w14:textId="77777777" w:rsidR="003F6A6F" w:rsidRPr="0072039B" w:rsidRDefault="003F6A6F" w:rsidP="00B1738B">
      <w:pPr>
        <w:spacing w:line="240" w:lineRule="auto"/>
        <w:contextualSpacing/>
      </w:pPr>
    </w:p>
    <w:p w14:paraId="26FDACD7" w14:textId="2CE101D9" w:rsidR="00867FDB" w:rsidRPr="0072039B" w:rsidRDefault="005202A6" w:rsidP="00B1738B">
      <w:pPr>
        <w:spacing w:line="240" w:lineRule="auto"/>
        <w:contextualSpacing/>
      </w:pPr>
      <w:r>
        <w:t>NPS</w:t>
      </w:r>
      <w:r w:rsidR="00867FDB" w:rsidRPr="0072039B">
        <w:t xml:space="preserve"> estimate</w:t>
      </w:r>
      <w:r>
        <w:t>s</w:t>
      </w:r>
      <w:r w:rsidR="00867FDB" w:rsidRPr="0072039B">
        <w:t xml:space="preserve"> that addition of SCR could reduce annual </w:t>
      </w:r>
      <w:r w:rsidR="00867FDB" w:rsidRPr="00A9462F">
        <w:t>NO</w:t>
      </w:r>
      <w:r w:rsidR="00867FDB">
        <w:rPr>
          <w:vertAlign w:val="subscript"/>
        </w:rPr>
        <w:t>x</w:t>
      </w:r>
      <w:r w:rsidR="00867FDB" w:rsidRPr="0072039B">
        <w:t xml:space="preserve"> by </w:t>
      </w:r>
      <w:r w:rsidR="00867FDB">
        <w:t xml:space="preserve">almost </w:t>
      </w:r>
      <w:r w:rsidR="00867FDB" w:rsidRPr="0072039B">
        <w:t xml:space="preserve">300 tons at an annual cost of about $2 million resulting in a cost-effective strategy </w:t>
      </w:r>
      <w:r w:rsidR="00867FDB">
        <w:t>of</w:t>
      </w:r>
      <w:r w:rsidR="00867FDB" w:rsidRPr="0072039B">
        <w:t xml:space="preserve"> about $</w:t>
      </w:r>
      <w:r w:rsidR="003B6242">
        <w:t>6,5</w:t>
      </w:r>
      <w:r w:rsidR="00867FDB" w:rsidRPr="0072039B">
        <w:t xml:space="preserve">00/ton of </w:t>
      </w:r>
      <w:r w:rsidR="00867FDB" w:rsidRPr="00A9462F">
        <w:t>NO</w:t>
      </w:r>
      <w:r w:rsidR="00867FDB">
        <w:rPr>
          <w:vertAlign w:val="subscript"/>
        </w:rPr>
        <w:t>x</w:t>
      </w:r>
      <w:r w:rsidR="00867FDB" w:rsidRPr="0072039B">
        <w:t xml:space="preserve"> removed</w:t>
      </w:r>
      <w:r w:rsidR="00C04337">
        <w:t>; this is below the MPCA’s $7,600/ton acceptance threshold</w:t>
      </w:r>
      <w:r w:rsidR="00867FDB" w:rsidRPr="0072039B">
        <w:t>.</w:t>
      </w:r>
    </w:p>
    <w:p w14:paraId="7DC125A2" w14:textId="6499AD40" w:rsidR="00867FDB" w:rsidRDefault="00867FDB" w:rsidP="00B1738B">
      <w:pPr>
        <w:pStyle w:val="Heading4"/>
        <w:spacing w:line="240" w:lineRule="auto"/>
        <w:contextualSpacing/>
      </w:pPr>
      <w:r>
        <w:t>Statutory Factor 2: Time Necessary for Compliance</w:t>
      </w:r>
    </w:p>
    <w:p w14:paraId="3725A03E" w14:textId="0829558C" w:rsidR="00867FDB" w:rsidRPr="00CF1412" w:rsidRDefault="00867FDB" w:rsidP="00B1738B">
      <w:pPr>
        <w:spacing w:line="240" w:lineRule="auto"/>
        <w:contextualSpacing/>
        <w:rPr>
          <w:bCs/>
        </w:rPr>
      </w:pPr>
      <w:r w:rsidRPr="00CF1412">
        <w:rPr>
          <w:bCs/>
        </w:rPr>
        <w:t xml:space="preserve">SCR operation typically </w:t>
      </w:r>
      <w:r>
        <w:rPr>
          <w:bCs/>
        </w:rPr>
        <w:t xml:space="preserve">requires </w:t>
      </w:r>
      <w:r w:rsidRPr="00CF1412">
        <w:rPr>
          <w:bCs/>
        </w:rPr>
        <w:t xml:space="preserve">four to five years after SIP approval, while SNCR </w:t>
      </w:r>
      <w:r>
        <w:rPr>
          <w:bCs/>
        </w:rPr>
        <w:t>may take</w:t>
      </w:r>
      <w:r w:rsidRPr="00CF1412">
        <w:rPr>
          <w:bCs/>
        </w:rPr>
        <w:t xml:space="preserve"> up to two years.</w:t>
      </w:r>
    </w:p>
    <w:p w14:paraId="75CDC623" w14:textId="77777777" w:rsidR="00867FDB" w:rsidRDefault="00867FDB" w:rsidP="00B1738B">
      <w:pPr>
        <w:pStyle w:val="Heading4"/>
        <w:spacing w:line="240" w:lineRule="auto"/>
        <w:contextualSpacing/>
      </w:pPr>
      <w:r>
        <w:t>Statutory Factor 3: Energy and Non-Air Quality Environmental Impacts</w:t>
      </w:r>
    </w:p>
    <w:p w14:paraId="05CCCFCE" w14:textId="2C74DAEB" w:rsidR="00867FDB" w:rsidRPr="00536CA8" w:rsidRDefault="00867FDB" w:rsidP="00B1738B">
      <w:pPr>
        <w:tabs>
          <w:tab w:val="left" w:pos="500"/>
        </w:tabs>
        <w:spacing w:line="240" w:lineRule="auto"/>
        <w:contextualSpacing/>
      </w:pPr>
      <w:r w:rsidRPr="00536CA8">
        <w:t>Energy usage is most appropriately accounted for in the Cost of Compliance analysis</w:t>
      </w:r>
      <w:r>
        <w:t xml:space="preserve">. </w:t>
      </w:r>
      <w:r w:rsidRPr="00536CA8">
        <w:t>The other non-air quality environmental impacts cited are not unique to this site.</w:t>
      </w:r>
    </w:p>
    <w:p w14:paraId="72372A84" w14:textId="2D4793F2" w:rsidR="00867FDB" w:rsidRDefault="00867FDB" w:rsidP="00B1738B">
      <w:pPr>
        <w:pStyle w:val="Heading4"/>
        <w:numPr>
          <w:ilvl w:val="0"/>
          <w:numId w:val="0"/>
        </w:numPr>
        <w:spacing w:line="240" w:lineRule="auto"/>
        <w:contextualSpacing/>
      </w:pPr>
      <w:r w:rsidRPr="00294DA7">
        <w:t>Stat</w:t>
      </w:r>
      <w:r>
        <w:t>utory</w:t>
      </w:r>
      <w:r w:rsidRPr="00294DA7">
        <w:t xml:space="preserve"> Factor 4: Remaining Useful Life</w:t>
      </w:r>
    </w:p>
    <w:p w14:paraId="0F5E85C8" w14:textId="594E224B" w:rsidR="001C3812" w:rsidRDefault="00867FDB" w:rsidP="00B1738B">
      <w:pPr>
        <w:spacing w:line="240" w:lineRule="auto"/>
        <w:contextualSpacing/>
      </w:pPr>
      <w:r w:rsidRPr="008838C5">
        <w:t>The CCM recommends 20</w:t>
      </w:r>
      <w:r>
        <w:t>–</w:t>
      </w:r>
      <w:r w:rsidRPr="008838C5">
        <w:t>25-year life for SCR and 20 years for SNCR on industrial boilers unless limited by a federally-enforceable condition.</w:t>
      </w:r>
      <w:r w:rsidR="00C04337">
        <w:t xml:space="preserve"> </w:t>
      </w:r>
      <w:r w:rsidR="005202A6">
        <w:t>NPS</w:t>
      </w:r>
      <w:r w:rsidR="00C04337">
        <w:t xml:space="preserve"> agree</w:t>
      </w:r>
      <w:r w:rsidR="005202A6">
        <w:t>s</w:t>
      </w:r>
      <w:r w:rsidR="00C04337">
        <w:t xml:space="preserve"> with MPCA’s estimates of 20 years for SNCR and 25 years for SCR.</w:t>
      </w:r>
    </w:p>
    <w:p w14:paraId="25867475" w14:textId="322E84D8" w:rsidR="008E13BD" w:rsidRDefault="008E13BD" w:rsidP="00B1738B">
      <w:pPr>
        <w:spacing w:line="240" w:lineRule="auto"/>
        <w:contextualSpacing/>
      </w:pPr>
    </w:p>
    <w:p w14:paraId="3DAB323A" w14:textId="317C12A8" w:rsidR="008E13BD" w:rsidRPr="00245F4F" w:rsidRDefault="008E13BD" w:rsidP="00B1738B">
      <w:pPr>
        <w:spacing w:line="240" w:lineRule="auto"/>
        <w:contextualSpacing/>
        <w:rPr>
          <w:szCs w:val="24"/>
        </w:rPr>
      </w:pPr>
      <w:r w:rsidRPr="008E13BD">
        <w:rPr>
          <w:szCs w:val="24"/>
        </w:rPr>
        <w:t>MPCA Con</w:t>
      </w:r>
      <w:r w:rsidRPr="00245F4F">
        <w:rPr>
          <w:szCs w:val="24"/>
        </w:rPr>
        <w:t>clusions</w:t>
      </w:r>
    </w:p>
    <w:p w14:paraId="7FE48148" w14:textId="7C40A794" w:rsidR="008E13BD" w:rsidRPr="008E13BD" w:rsidRDefault="008E13BD" w:rsidP="00B1738B">
      <w:pPr>
        <w:spacing w:line="240" w:lineRule="auto"/>
        <w:contextualSpacing/>
        <w:rPr>
          <w:rFonts w:asciiTheme="majorHAnsi" w:eastAsiaTheme="majorEastAsia" w:hAnsiTheme="majorHAnsi" w:cstheme="majorBidi"/>
          <w:color w:val="1F3763" w:themeColor="accent1" w:themeShade="7F"/>
          <w:szCs w:val="24"/>
        </w:rPr>
      </w:pPr>
      <w:r w:rsidRPr="00B448C7">
        <w:rPr>
          <w:szCs w:val="24"/>
        </w:rPr>
        <w:t>Based on the additional information provided by the facility, NOX controls no longer appear cost effective for the facility in this regional haze implementation period.</w:t>
      </w:r>
    </w:p>
    <w:p w14:paraId="50A6F9A4" w14:textId="3D1951A9" w:rsidR="00867FDB" w:rsidRDefault="00867FDB" w:rsidP="00B1738B">
      <w:pPr>
        <w:pStyle w:val="Heading3"/>
        <w:spacing w:line="240" w:lineRule="auto"/>
        <w:contextualSpacing/>
      </w:pPr>
      <w:r>
        <w:t xml:space="preserve">NPS Conclusions and Recommendations </w:t>
      </w:r>
      <w:r w:rsidRPr="00FE0E80">
        <w:t>Sappi Cloquet LLC</w:t>
      </w:r>
    </w:p>
    <w:p w14:paraId="24E42DD0" w14:textId="77777777" w:rsidR="00867FDB" w:rsidRDefault="00867FDB" w:rsidP="00B1738B">
      <w:pPr>
        <w:spacing w:line="240" w:lineRule="auto"/>
        <w:contextualSpacing/>
      </w:pPr>
      <w:r>
        <w:t>NPS supports MPCA findings that:</w:t>
      </w:r>
    </w:p>
    <w:p w14:paraId="012D131F" w14:textId="2851FB1F" w:rsidR="00867FDB" w:rsidRDefault="00867FDB" w:rsidP="00B1738B">
      <w:pPr>
        <w:pStyle w:val="ListParagraph"/>
        <w:numPr>
          <w:ilvl w:val="0"/>
          <w:numId w:val="26"/>
        </w:numPr>
      </w:pPr>
      <w:r>
        <w:t xml:space="preserve">Recovery Boiler #10 is effectively controlled and can be screened from four-factor evaluation. </w:t>
      </w:r>
    </w:p>
    <w:p w14:paraId="3D09DD73" w14:textId="1F7E400E" w:rsidR="00867FDB" w:rsidRDefault="00867FDB" w:rsidP="00B1738B">
      <w:pPr>
        <w:pStyle w:val="ListParagraph"/>
        <w:numPr>
          <w:ilvl w:val="0"/>
          <w:numId w:val="26"/>
        </w:numPr>
      </w:pPr>
      <w:r>
        <w:t xml:space="preserve">Projected 2028 emissions of </w:t>
      </w:r>
      <w:r w:rsidRPr="00A9462F">
        <w:t>SO</w:t>
      </w:r>
      <w:r w:rsidRPr="00A9462F">
        <w:rPr>
          <w:vertAlign w:val="subscript"/>
        </w:rPr>
        <w:t>2</w:t>
      </w:r>
      <w:r>
        <w:t xml:space="preserve"> from Power Boiler #9 are too low to warrant four-factor evaluation of DSI or SDA emission controls from that unit.</w:t>
      </w:r>
    </w:p>
    <w:p w14:paraId="74922690" w14:textId="7709CACC" w:rsidR="00867FDB" w:rsidRPr="004047D6" w:rsidRDefault="00867FDB" w:rsidP="00B1738B">
      <w:pPr>
        <w:spacing w:line="240" w:lineRule="auto"/>
        <w:contextualSpacing/>
      </w:pPr>
      <w:r>
        <w:t xml:space="preserve">For </w:t>
      </w:r>
      <w:r w:rsidRPr="00A9462F">
        <w:t>NO</w:t>
      </w:r>
      <w:r>
        <w:rPr>
          <w:vertAlign w:val="subscript"/>
        </w:rPr>
        <w:t>x</w:t>
      </w:r>
      <w:r>
        <w:t xml:space="preserve"> evaluation on Power Boiler #9, NPS review finds that</w:t>
      </w:r>
      <w:r w:rsidRPr="004047D6">
        <w:t>:</w:t>
      </w:r>
    </w:p>
    <w:p w14:paraId="25DE6849" w14:textId="6B6B00B8" w:rsidR="00867FDB" w:rsidRPr="004047D6" w:rsidRDefault="00867FDB" w:rsidP="00B1738B">
      <w:pPr>
        <w:pStyle w:val="ListParagraph"/>
        <w:rPr>
          <w:rFonts w:eastAsiaTheme="minorHAnsi"/>
        </w:rPr>
      </w:pPr>
      <w:r w:rsidRPr="004047D6">
        <w:rPr>
          <w:rFonts w:eastAsiaTheme="minorHAnsi"/>
        </w:rPr>
        <w:t>Addition of SNCR is cost-effective</w:t>
      </w:r>
      <w:r>
        <w:t>, and</w:t>
      </w:r>
    </w:p>
    <w:p w14:paraId="605389AA" w14:textId="77777777" w:rsidR="00867FDB" w:rsidRPr="004047D6" w:rsidRDefault="00867FDB" w:rsidP="00B1738B">
      <w:pPr>
        <w:pStyle w:val="ListParagraph"/>
        <w:rPr>
          <w:rFonts w:eastAsiaTheme="minorHAnsi"/>
        </w:rPr>
      </w:pPr>
      <w:r w:rsidRPr="004047D6">
        <w:rPr>
          <w:rFonts w:eastAsiaTheme="minorHAnsi"/>
        </w:rPr>
        <w:t>Addition of SCR is also cost-effective and represents greater emission control.</w:t>
      </w:r>
    </w:p>
    <w:p w14:paraId="1825D3E6" w14:textId="3D67F65F" w:rsidR="00867FDB" w:rsidRDefault="00867FDB" w:rsidP="00496744">
      <w:r w:rsidRPr="002E5D91">
        <w:t xml:space="preserve">The NPS recommends that MPCA evaluate statutory factor two, the </w:t>
      </w:r>
      <w:r w:rsidRPr="008216E4">
        <w:rPr>
          <w:i/>
          <w:iCs/>
        </w:rPr>
        <w:t>Time Necessary for Compliance</w:t>
      </w:r>
      <w:r w:rsidRPr="002E5D91">
        <w:t xml:space="preserve">, </w:t>
      </w:r>
      <w:r w:rsidRPr="00523D9A">
        <w:t xml:space="preserve">for addition of SNCR and SCR for </w:t>
      </w:r>
      <w:r>
        <w:t>Power Boiler #</w:t>
      </w:r>
      <w:r w:rsidRPr="00523D9A">
        <w:t>9</w:t>
      </w:r>
      <w:r>
        <w:t xml:space="preserve">. </w:t>
      </w:r>
      <w:r w:rsidRPr="002E5D91">
        <w:t xml:space="preserve">Review of statutory factors three and four finds no unusual </w:t>
      </w:r>
      <w:r w:rsidRPr="008216E4">
        <w:rPr>
          <w:i/>
          <w:iCs/>
        </w:rPr>
        <w:t>Energy and Non-Air Quality Environmental Impacts</w:t>
      </w:r>
      <w:r w:rsidRPr="002E5D91">
        <w:t xml:space="preserve"> related to </w:t>
      </w:r>
      <w:r>
        <w:t>SNCR</w:t>
      </w:r>
      <w:r w:rsidRPr="002E5D91">
        <w:t xml:space="preserve"> or SCR and </w:t>
      </w:r>
      <w:r w:rsidRPr="008216E4">
        <w:rPr>
          <w:i/>
          <w:iCs/>
        </w:rPr>
        <w:t>Remaining Useful Life</w:t>
      </w:r>
      <w:r w:rsidRPr="002E5D91">
        <w:t xml:space="preserve"> is not an issue.</w:t>
      </w:r>
    </w:p>
    <w:p w14:paraId="7C501C7C" w14:textId="4217363C" w:rsidR="00F50FEB" w:rsidRPr="007352F5" w:rsidRDefault="37F793B7" w:rsidP="3328C818">
      <w:pPr>
        <w:rPr>
          <w:rFonts w:cs="Times New Roman"/>
        </w:rPr>
      </w:pPr>
      <w:r>
        <w:t>The NPS recommends that MPCA require the addition of cost-effective control strategies that provide the greatest emission reductions. NPS estimates indicate that addition of SCR to Boiler 9 could reduce annual NO</w:t>
      </w:r>
      <w:r w:rsidRPr="3328C818">
        <w:rPr>
          <w:vertAlign w:val="subscript"/>
        </w:rPr>
        <w:t>x</w:t>
      </w:r>
      <w:r>
        <w:t xml:space="preserve"> by </w:t>
      </w:r>
      <w:r w:rsidR="5963CDF2">
        <w:t xml:space="preserve">almost </w:t>
      </w:r>
      <w:r>
        <w:t>300 tons/year at an annual cost of about $2 million resulting in a cost-effective strategy of about $6,500/ton of NO</w:t>
      </w:r>
      <w:r w:rsidRPr="3328C818">
        <w:rPr>
          <w:vertAlign w:val="subscript"/>
        </w:rPr>
        <w:t>x</w:t>
      </w:r>
      <w:r>
        <w:t xml:space="preserve"> removed. By requiring implementation of identified controls</w:t>
      </w:r>
      <w:r w:rsidR="0BBD14B8">
        <w:t>,</w:t>
      </w:r>
      <w:r>
        <w:t xml:space="preserve"> MPCA will be reducing haze</w:t>
      </w:r>
      <w:r w:rsidR="0C48014B">
        <w:t>-</w:t>
      </w:r>
      <w:r>
        <w:t>causing emissions and advancing incremental improvement of visibility at Voyageurs and Isle Royale National Parks as well as other Class I areas in the region.</w:t>
      </w:r>
    </w:p>
    <w:p w14:paraId="2861C8D2" w14:textId="77777777" w:rsidR="00F50FEB" w:rsidRDefault="00F50FEB">
      <w:pPr>
        <w:pStyle w:val="Heading2"/>
      </w:pPr>
      <w:bookmarkStart w:id="40" w:name="_Toc115775433"/>
      <w:r w:rsidRPr="002D3687">
        <w:t>Boise White Paper</w:t>
      </w:r>
      <w:bookmarkEnd w:id="40"/>
    </w:p>
    <w:p w14:paraId="4A61D8DC" w14:textId="77777777" w:rsidR="00F50FEB" w:rsidRDefault="00F50FEB" w:rsidP="00F50FEB">
      <w:pPr>
        <w:pStyle w:val="Heading3"/>
        <w:spacing w:line="240" w:lineRule="auto"/>
        <w:contextualSpacing/>
      </w:pPr>
      <w:r>
        <w:t>Summary of NPS Recommendations for Boise White Paper</w:t>
      </w:r>
    </w:p>
    <w:p w14:paraId="26C94F15" w14:textId="148CBAB1" w:rsidR="00F50FEB" w:rsidRDefault="00F50FEB" w:rsidP="00496744">
      <w:r>
        <w:t xml:space="preserve">NPS review of the four-factor analysis conducted for </w:t>
      </w:r>
      <w:r w:rsidRPr="00EE778B">
        <w:t xml:space="preserve">Boise White Paper (Boise) </w:t>
      </w:r>
      <w:r>
        <w:t>finds that, a</w:t>
      </w:r>
      <w:r w:rsidRPr="000340F5">
        <w:t>s a result of screening Boiler 2 and the Recovery Furnace</w:t>
      </w:r>
      <w:r>
        <w:t>,</w:t>
      </w:r>
      <w:r w:rsidRPr="000340F5">
        <w:t xml:space="preserve"> almost </w:t>
      </w:r>
      <w:r w:rsidR="00845E52">
        <w:t>688</w:t>
      </w:r>
      <w:r w:rsidRPr="000340F5">
        <w:t xml:space="preserve"> annual tons of </w:t>
      </w:r>
      <w:r w:rsidRPr="00A9462F">
        <w:t>NO</w:t>
      </w:r>
      <w:r>
        <w:rPr>
          <w:vertAlign w:val="subscript"/>
        </w:rPr>
        <w:t>x</w:t>
      </w:r>
      <w:r w:rsidRPr="000340F5">
        <w:t xml:space="preserve"> were not evaluated at this facility.</w:t>
      </w:r>
      <w:r>
        <w:t xml:space="preserve"> The </w:t>
      </w:r>
      <w:r w:rsidRPr="00151F5A">
        <w:t xml:space="preserve">NPS recommends that MPCA require a four-factor evaluation of </w:t>
      </w:r>
      <w:r w:rsidR="00845E52" w:rsidRPr="00A625C3">
        <w:rPr>
          <w:rFonts w:cs="Times New Roman"/>
          <w:szCs w:val="24"/>
        </w:rPr>
        <w:t>NO</w:t>
      </w:r>
      <w:r w:rsidR="00845E52" w:rsidRPr="00A625C3">
        <w:rPr>
          <w:rFonts w:cs="Times New Roman"/>
          <w:szCs w:val="24"/>
          <w:vertAlign w:val="subscript"/>
        </w:rPr>
        <w:t>X</w:t>
      </w:r>
      <w:r w:rsidR="00845E52">
        <w:t xml:space="preserve"> </w:t>
      </w:r>
      <w:r w:rsidRPr="00151F5A">
        <w:t>emission control opportunities</w:t>
      </w:r>
      <w:r>
        <w:t xml:space="preserve"> for </w:t>
      </w:r>
      <w:r w:rsidRPr="000340F5">
        <w:t>Boiler 2 and the Recovery Furnace</w:t>
      </w:r>
    </w:p>
    <w:p w14:paraId="5A0D3F34" w14:textId="77777777" w:rsidR="005A7482" w:rsidRDefault="00F50FEB" w:rsidP="00496744">
      <w:r>
        <w:t xml:space="preserve">For Boiler 1, the NPS recommends that MPCA </w:t>
      </w:r>
      <w:r w:rsidRPr="007C521D">
        <w:t xml:space="preserve">adjust the permitted </w:t>
      </w:r>
      <w:r w:rsidRPr="00A9462F">
        <w:t>NO</w:t>
      </w:r>
      <w:r>
        <w:rPr>
          <w:vertAlign w:val="subscript"/>
        </w:rPr>
        <w:t>x</w:t>
      </w:r>
      <w:r w:rsidRPr="007C521D">
        <w:t xml:space="preserve"> emissions rate to </w:t>
      </w:r>
      <w:r>
        <w:t xml:space="preserve">more closely </w:t>
      </w:r>
      <w:r w:rsidRPr="007C521D">
        <w:t>reflect the emission rate evaluated</w:t>
      </w:r>
      <w:r>
        <w:t>. I</w:t>
      </w:r>
      <w:r w:rsidRPr="008D06F5">
        <w:t>f the currently permitted limit is considered, SCR may be cost effective</w:t>
      </w:r>
      <w:r>
        <w:t xml:space="preserve">. </w:t>
      </w:r>
    </w:p>
    <w:p w14:paraId="5258CC37" w14:textId="3E1BB87B" w:rsidR="00F50FEB" w:rsidRPr="00A21D9E" w:rsidRDefault="005A7482" w:rsidP="00496744">
      <w:r>
        <w:t>For Boiler 2, the NPS</w:t>
      </w:r>
      <w:r w:rsidR="00F528C2">
        <w:t xml:space="preserve"> estimate</w:t>
      </w:r>
      <w:r>
        <w:t>s</w:t>
      </w:r>
      <w:r w:rsidR="00F528C2">
        <w:t xml:space="preserve"> that addition of SCR may be very cost-effective</w:t>
      </w:r>
      <w:r>
        <w:t xml:space="preserve"> and</w:t>
      </w:r>
      <w:r w:rsidR="00F528C2">
        <w:t xml:space="preserve"> recommends that MPCA require a four-factor analysis for this emission unit.</w:t>
      </w:r>
    </w:p>
    <w:p w14:paraId="339F42CE" w14:textId="77777777" w:rsidR="00F50FEB" w:rsidRDefault="00F50FEB" w:rsidP="00F50FEB">
      <w:pPr>
        <w:pStyle w:val="Heading3"/>
        <w:spacing w:line="240" w:lineRule="auto"/>
        <w:contextualSpacing/>
      </w:pPr>
      <w:r>
        <w:t xml:space="preserve">Facility Characteristics </w:t>
      </w:r>
    </w:p>
    <w:p w14:paraId="7FD2B718" w14:textId="77777777" w:rsidR="00F50FEB" w:rsidRDefault="00F50FEB" w:rsidP="00F50FEB">
      <w:pPr>
        <w:spacing w:line="240" w:lineRule="auto"/>
        <w:contextualSpacing/>
      </w:pPr>
      <w:r w:rsidRPr="00EE778B">
        <w:t>Boise White Paper (Boise) is wholly owned by Packaging Corporation of America (PCA) and is located in International Falls, 17 km west of Voyageurs National Park, a Class I area administered by the National Park Service</w:t>
      </w:r>
      <w:r>
        <w:t xml:space="preserve">. </w:t>
      </w:r>
      <w:r w:rsidRPr="00EE778B">
        <w:t xml:space="preserve">The facility is an integrated </w:t>
      </w:r>
      <w:r>
        <w:t>K</w:t>
      </w:r>
      <w:r w:rsidRPr="00EE778B">
        <w:t>raft pulp and paper mill that produces commodity and specialty paper. The three emission units included in MPCA’s request for information are:</w:t>
      </w:r>
    </w:p>
    <w:p w14:paraId="51C700E3" w14:textId="13D4D9BB" w:rsidR="00F50FEB" w:rsidRDefault="00F50FEB" w:rsidP="00F50FEB">
      <w:pPr>
        <w:pStyle w:val="ListParagraph"/>
        <w:numPr>
          <w:ilvl w:val="0"/>
          <w:numId w:val="24"/>
        </w:numPr>
      </w:pPr>
      <w:r>
        <w:t>Boiler 1</w:t>
      </w:r>
      <w:r w:rsidR="007E04F6">
        <w:t xml:space="preserve"> </w:t>
      </w:r>
      <w:r w:rsidR="007E04F6">
        <w:rPr>
          <w:rFonts w:eastAsiaTheme="minorEastAsia"/>
        </w:rPr>
        <w:t xml:space="preserve">(2016 </w:t>
      </w:r>
      <w:r w:rsidR="007E04F6" w:rsidRPr="00767669">
        <w:rPr>
          <w:rFonts w:eastAsiaTheme="minorEastAsia"/>
        </w:rPr>
        <w:t>NO</w:t>
      </w:r>
      <w:r w:rsidR="007E04F6" w:rsidRPr="00767669">
        <w:rPr>
          <w:rFonts w:eastAsiaTheme="minorEastAsia"/>
          <w:vertAlign w:val="subscript"/>
        </w:rPr>
        <w:t>X</w:t>
      </w:r>
      <w:r w:rsidR="007E04F6">
        <w:rPr>
          <w:rFonts w:eastAsiaTheme="minorEastAsia"/>
        </w:rPr>
        <w:t xml:space="preserve"> emissions = </w:t>
      </w:r>
      <w:r w:rsidR="00845E52">
        <w:rPr>
          <w:rFonts w:eastAsiaTheme="minorEastAsia"/>
        </w:rPr>
        <w:t>73</w:t>
      </w:r>
      <w:r w:rsidR="007E04F6">
        <w:rPr>
          <w:rFonts w:eastAsiaTheme="minorEastAsia"/>
        </w:rPr>
        <w:t xml:space="preserve"> ton/yr.)</w:t>
      </w:r>
    </w:p>
    <w:p w14:paraId="5A79F754" w14:textId="6F46DFB4" w:rsidR="00F50FEB" w:rsidRDefault="00F50FEB" w:rsidP="00F50FEB">
      <w:pPr>
        <w:pStyle w:val="ListParagraph"/>
        <w:numPr>
          <w:ilvl w:val="0"/>
          <w:numId w:val="24"/>
        </w:numPr>
      </w:pPr>
      <w:r>
        <w:t>Boiler 2</w:t>
      </w:r>
      <w:r w:rsidR="007E04F6">
        <w:t xml:space="preserve"> </w:t>
      </w:r>
      <w:r w:rsidR="007E04F6">
        <w:rPr>
          <w:rFonts w:eastAsiaTheme="minorEastAsia"/>
        </w:rPr>
        <w:t xml:space="preserve">(2016 </w:t>
      </w:r>
      <w:r w:rsidR="007E04F6" w:rsidRPr="00767669">
        <w:rPr>
          <w:rFonts w:eastAsiaTheme="minorEastAsia"/>
        </w:rPr>
        <w:t>NO</w:t>
      </w:r>
      <w:r w:rsidR="007E04F6" w:rsidRPr="00767669">
        <w:rPr>
          <w:rFonts w:eastAsiaTheme="minorEastAsia"/>
          <w:vertAlign w:val="subscript"/>
        </w:rPr>
        <w:t>X</w:t>
      </w:r>
      <w:r w:rsidR="007E04F6">
        <w:rPr>
          <w:rFonts w:eastAsiaTheme="minorEastAsia"/>
        </w:rPr>
        <w:t xml:space="preserve"> emissions = </w:t>
      </w:r>
      <w:r w:rsidR="00845E52">
        <w:rPr>
          <w:rFonts w:eastAsiaTheme="minorEastAsia"/>
        </w:rPr>
        <w:t>366</w:t>
      </w:r>
      <w:r w:rsidR="007E04F6">
        <w:rPr>
          <w:rFonts w:eastAsiaTheme="minorEastAsia"/>
        </w:rPr>
        <w:t xml:space="preserve"> ton/yr.)</w:t>
      </w:r>
    </w:p>
    <w:p w14:paraId="14123CD1" w14:textId="658247D2" w:rsidR="00F50FEB" w:rsidRPr="00845E52" w:rsidRDefault="00F50FEB" w:rsidP="00F50FEB">
      <w:pPr>
        <w:pStyle w:val="ListParagraph"/>
        <w:numPr>
          <w:ilvl w:val="0"/>
          <w:numId w:val="24"/>
        </w:numPr>
      </w:pPr>
      <w:r>
        <w:t>Recovery Furnace</w:t>
      </w:r>
      <w:r w:rsidR="007E04F6">
        <w:t xml:space="preserve"> </w:t>
      </w:r>
      <w:r w:rsidR="007E04F6">
        <w:rPr>
          <w:rFonts w:eastAsiaTheme="minorEastAsia"/>
        </w:rPr>
        <w:t xml:space="preserve">(2016 </w:t>
      </w:r>
      <w:r w:rsidR="007E04F6" w:rsidRPr="00767669">
        <w:rPr>
          <w:rFonts w:eastAsiaTheme="minorEastAsia"/>
        </w:rPr>
        <w:t>NO</w:t>
      </w:r>
      <w:r w:rsidR="007E04F6" w:rsidRPr="00767669">
        <w:rPr>
          <w:rFonts w:eastAsiaTheme="minorEastAsia"/>
          <w:vertAlign w:val="subscript"/>
        </w:rPr>
        <w:t>X</w:t>
      </w:r>
      <w:r w:rsidR="007E04F6">
        <w:rPr>
          <w:rFonts w:eastAsiaTheme="minorEastAsia"/>
        </w:rPr>
        <w:t xml:space="preserve"> emissions = </w:t>
      </w:r>
      <w:r w:rsidR="00845E52">
        <w:rPr>
          <w:rFonts w:eastAsiaTheme="minorEastAsia"/>
        </w:rPr>
        <w:t>322</w:t>
      </w:r>
      <w:r w:rsidR="007E04F6">
        <w:rPr>
          <w:rFonts w:eastAsiaTheme="minorEastAsia"/>
        </w:rPr>
        <w:t xml:space="preserve"> ton/yr.)</w:t>
      </w:r>
    </w:p>
    <w:p w14:paraId="78C62284" w14:textId="48EFED1A" w:rsidR="00845E52" w:rsidRDefault="00845E52" w:rsidP="00845E52">
      <w:pPr>
        <w:tabs>
          <w:tab w:val="left" w:pos="4130"/>
        </w:tabs>
      </w:pPr>
      <w:r>
        <w:t xml:space="preserve">It appears that these three emission units account for about 95% of mill </w:t>
      </w:r>
      <w:r w:rsidRPr="00A625C3">
        <w:rPr>
          <w:rFonts w:cs="Times New Roman"/>
          <w:szCs w:val="24"/>
        </w:rPr>
        <w:t>NO</w:t>
      </w:r>
      <w:r w:rsidRPr="00A625C3">
        <w:rPr>
          <w:rFonts w:cs="Times New Roman"/>
          <w:szCs w:val="24"/>
          <w:vertAlign w:val="subscript"/>
        </w:rPr>
        <w:t>X</w:t>
      </w:r>
      <w:r>
        <w:t xml:space="preserve"> emissions.</w:t>
      </w:r>
      <w:r w:rsidR="001F5E20" w:rsidRPr="001F5E20">
        <w:rPr>
          <w:bCs/>
        </w:rPr>
        <w:t xml:space="preserve"> </w:t>
      </w:r>
      <w:r w:rsidR="001F5E20">
        <w:rPr>
          <w:bCs/>
        </w:rPr>
        <w:t>In total, a</w:t>
      </w:r>
      <w:r w:rsidR="001F5E20" w:rsidRPr="00EE5698">
        <w:t>s a result of screening Boiler 2 and the Recovery Furnace</w:t>
      </w:r>
      <w:r w:rsidR="001F5E20">
        <w:t>,</w:t>
      </w:r>
      <w:r w:rsidR="001F5E20" w:rsidRPr="00EE5698">
        <w:t xml:space="preserve"> </w:t>
      </w:r>
      <w:r w:rsidR="001F5E20">
        <w:t>about 688</w:t>
      </w:r>
      <w:r w:rsidR="001F5E20" w:rsidRPr="00EE5698">
        <w:t xml:space="preserve"> annual tons of </w:t>
      </w:r>
      <w:r w:rsidR="001F5E20" w:rsidRPr="00A9462F">
        <w:t>NO</w:t>
      </w:r>
      <w:r w:rsidR="001F5E20">
        <w:rPr>
          <w:vertAlign w:val="subscript"/>
        </w:rPr>
        <w:t>x</w:t>
      </w:r>
      <w:r w:rsidR="001F5E20" w:rsidRPr="00EE5698">
        <w:t xml:space="preserve"> were not evaluated at this facility.</w:t>
      </w:r>
    </w:p>
    <w:p w14:paraId="3F3FD91A" w14:textId="3758ECF0" w:rsidR="0037437C" w:rsidRDefault="0037437C" w:rsidP="00845E52">
      <w:pPr>
        <w:tabs>
          <w:tab w:val="left" w:pos="4130"/>
        </w:tabs>
      </w:pPr>
      <w:r>
        <w:t xml:space="preserve">Facility-wide </w:t>
      </w:r>
      <w:r w:rsidRPr="008E2822">
        <w:rPr>
          <w:rFonts w:cs="Times New Roman"/>
          <w:szCs w:val="24"/>
        </w:rPr>
        <w:t>SO</w:t>
      </w:r>
      <w:r w:rsidRPr="008E2822">
        <w:rPr>
          <w:rFonts w:cs="Times New Roman"/>
          <w:szCs w:val="24"/>
          <w:vertAlign w:val="subscript"/>
        </w:rPr>
        <w:t>2</w:t>
      </w:r>
      <w:r>
        <w:t xml:space="preserve"> emissions were 33 tons.</w:t>
      </w:r>
    </w:p>
    <w:p w14:paraId="504A1FA0" w14:textId="7C6AA9C9" w:rsidR="0027743D" w:rsidRPr="0027743D" w:rsidRDefault="0027743D" w:rsidP="00B448C7">
      <w:pPr>
        <w:tabs>
          <w:tab w:val="left" w:pos="4130"/>
        </w:tabs>
        <w:spacing w:line="240" w:lineRule="auto"/>
        <w:contextualSpacing/>
        <w:rPr>
          <w:rFonts w:cs="Times New Roman"/>
          <w:szCs w:val="24"/>
        </w:rPr>
      </w:pPr>
      <w:r w:rsidRPr="005E3B0D">
        <w:rPr>
          <w:rStyle w:val="Heading5Char"/>
        </w:rPr>
        <w:t>Boise Boiler #1</w:t>
      </w:r>
      <w:r w:rsidRPr="00B448C7">
        <w:rPr>
          <w:rFonts w:cs="Times New Roman"/>
          <w:color w:val="000000"/>
          <w:szCs w:val="24"/>
        </w:rPr>
        <w:t xml:space="preserve"> was originally commissioned as a coal-fired boiler and has been converted to only burn natural gas. The boiler produces steam to generate electricity and provide heat for other processes at the plant. Exhaust from the sludge dryer may also vent to Boiler #1. The boiler is also a backup combustion source for non-condensable gases (NCG) which are the exhaust gases from the pulp digestion and black liquor solids (BLS) evaporation processes. The amount of NCG burned in Boiler #1 is limited by the facility air permit. Good combustion practices are utilized for Boiler #1 through a combination of several efforts, including control strategy, boiler monitoring, and training.</w:t>
      </w:r>
    </w:p>
    <w:p w14:paraId="3DBEB4EC" w14:textId="77777777" w:rsidR="00F50FEB" w:rsidRDefault="00F50FEB" w:rsidP="00F50FEB">
      <w:pPr>
        <w:pStyle w:val="Heading3"/>
        <w:spacing w:line="240" w:lineRule="auto"/>
        <w:contextualSpacing/>
      </w:pPr>
      <w:r>
        <w:t xml:space="preserve">Boiler #1 </w:t>
      </w:r>
      <w:r w:rsidRPr="00A9462F">
        <w:t>NO</w:t>
      </w:r>
      <w:r>
        <w:rPr>
          <w:vertAlign w:val="subscript"/>
        </w:rPr>
        <w:t>x</w:t>
      </w:r>
      <w:r>
        <w:t xml:space="preserve"> Four-factor Analysis</w:t>
      </w:r>
    </w:p>
    <w:p w14:paraId="582F88D7" w14:textId="77777777" w:rsidR="00F50FEB" w:rsidRDefault="00F50FEB" w:rsidP="00F50FEB">
      <w:pPr>
        <w:pStyle w:val="Heading4"/>
        <w:spacing w:line="240" w:lineRule="auto"/>
        <w:contextualSpacing/>
      </w:pPr>
      <w:r>
        <w:t xml:space="preserve">Control Selection </w:t>
      </w:r>
    </w:p>
    <w:p w14:paraId="32A18868" w14:textId="77777777" w:rsidR="00F50FEB" w:rsidRDefault="00F50FEB" w:rsidP="00F50FEB">
      <w:pPr>
        <w:spacing w:line="240" w:lineRule="auto"/>
        <w:contextualSpacing/>
      </w:pPr>
      <w:r>
        <w:t xml:space="preserve">Three types of </w:t>
      </w:r>
      <w:r w:rsidRPr="00A9462F">
        <w:t>NO</w:t>
      </w:r>
      <w:r>
        <w:rPr>
          <w:vertAlign w:val="subscript"/>
        </w:rPr>
        <w:t>x</w:t>
      </w:r>
      <w:r>
        <w:t xml:space="preserve"> emission controls were evaluated for Boise Boiler 1:</w:t>
      </w:r>
    </w:p>
    <w:p w14:paraId="79FAD19F" w14:textId="77777777" w:rsidR="00F50FEB" w:rsidRDefault="00F50FEB" w:rsidP="00F50FEB">
      <w:pPr>
        <w:pStyle w:val="ListParagraph"/>
      </w:pPr>
      <w:r>
        <w:t>LNB/OFA + FGR</w:t>
      </w:r>
    </w:p>
    <w:p w14:paraId="2648CAC8" w14:textId="77777777" w:rsidR="00F50FEB" w:rsidRDefault="00F50FEB" w:rsidP="00F50FEB">
      <w:pPr>
        <w:pStyle w:val="ListParagraph"/>
      </w:pPr>
      <w:r>
        <w:t>SNCR</w:t>
      </w:r>
    </w:p>
    <w:p w14:paraId="5198249C" w14:textId="77777777" w:rsidR="00F50FEB" w:rsidRDefault="00F50FEB" w:rsidP="00F50FEB">
      <w:pPr>
        <w:pStyle w:val="ListParagraph"/>
      </w:pPr>
      <w:r>
        <w:t>SCR</w:t>
      </w:r>
    </w:p>
    <w:p w14:paraId="54C1593A" w14:textId="77777777" w:rsidR="00F50FEB" w:rsidRPr="000D60EF" w:rsidRDefault="00F50FEB" w:rsidP="00F50FEB">
      <w:pPr>
        <w:spacing w:line="240" w:lineRule="auto"/>
        <w:contextualSpacing/>
      </w:pPr>
      <w:r>
        <w:t>The SNCR analysis is not included in MPCA SIP Table 44 but was included in NPS review.</w:t>
      </w:r>
    </w:p>
    <w:p w14:paraId="1888D6C5" w14:textId="77777777" w:rsidR="00F50FEB" w:rsidRDefault="00F50FEB" w:rsidP="00F50FEB">
      <w:pPr>
        <w:pStyle w:val="Heading4"/>
        <w:spacing w:line="240" w:lineRule="auto"/>
        <w:contextualSpacing/>
      </w:pPr>
      <w:bookmarkStart w:id="41" w:name="_Hlk113645269"/>
      <w:r>
        <w:t>Statutory Factor 1: Cost of Compliance</w:t>
      </w:r>
    </w:p>
    <w:p w14:paraId="54A40F18" w14:textId="434E1304" w:rsidR="00F50FEB" w:rsidRPr="00D561F0" w:rsidRDefault="00F50FEB" w:rsidP="00F50FEB">
      <w:pPr>
        <w:spacing w:line="240" w:lineRule="auto"/>
        <w:contextualSpacing/>
      </w:pPr>
      <w:r w:rsidRPr="00D561F0">
        <w:t xml:space="preserve">MPCA presented the analyses shown in its Table </w:t>
      </w:r>
      <w:r w:rsidR="00F95A38">
        <w:t>51</w:t>
      </w:r>
      <w:r w:rsidRPr="00D561F0">
        <w:t xml:space="preserve"> below.</w:t>
      </w:r>
    </w:p>
    <w:p w14:paraId="34E3E928" w14:textId="25A49515" w:rsidR="00F50FEB" w:rsidRPr="00D561F0" w:rsidRDefault="00324681" w:rsidP="00324681">
      <w:pPr>
        <w:pStyle w:val="Caption"/>
        <w:rPr>
          <w:b/>
        </w:rPr>
      </w:pPr>
      <w:bookmarkStart w:id="42" w:name="_Ref102999784"/>
      <w:bookmarkStart w:id="43" w:name="_Toc103164698"/>
      <w:r>
        <w:t xml:space="preserve">Table </w:t>
      </w:r>
      <w:r>
        <w:fldChar w:fldCharType="begin"/>
      </w:r>
      <w:r>
        <w:instrText>SEQ Table \* ARABIC</w:instrText>
      </w:r>
      <w:r>
        <w:fldChar w:fldCharType="separate"/>
      </w:r>
      <w:r>
        <w:rPr>
          <w:noProof/>
        </w:rPr>
        <w:t>14</w:t>
      </w:r>
      <w:r>
        <w:fldChar w:fldCharType="end"/>
      </w:r>
      <w:r>
        <w:t xml:space="preserve">. </w:t>
      </w:r>
      <w:r w:rsidR="00F50FEB" w:rsidRPr="00056B52">
        <w:t>Minnesota</w:t>
      </w:r>
      <w:r w:rsidR="00F50FEB">
        <w:t xml:space="preserve"> draft SIP </w:t>
      </w:r>
      <w:r w:rsidR="00F50FEB" w:rsidRPr="00D561F0">
        <w:rPr>
          <w:bCs w:val="0"/>
        </w:rPr>
        <w:t>Table</w:t>
      </w:r>
      <w:bookmarkEnd w:id="42"/>
      <w:r w:rsidR="00F50FEB">
        <w:rPr>
          <w:bCs w:val="0"/>
        </w:rPr>
        <w:t xml:space="preserve"> 5</w:t>
      </w:r>
      <w:r w:rsidR="00066B58">
        <w:rPr>
          <w:bCs w:val="0"/>
        </w:rPr>
        <w:t>1</w:t>
      </w:r>
      <w:r w:rsidR="00F50FEB" w:rsidRPr="00D561F0">
        <w:rPr>
          <w:bCs w:val="0"/>
        </w:rPr>
        <w:t xml:space="preserve">. </w:t>
      </w:r>
      <w:r w:rsidR="00F50FEB" w:rsidRPr="00A9462F">
        <w:t>NO</w:t>
      </w:r>
      <w:r w:rsidR="00F50FEB">
        <w:rPr>
          <w:vertAlign w:val="subscript"/>
        </w:rPr>
        <w:t>x</w:t>
      </w:r>
      <w:r w:rsidR="00F50FEB" w:rsidRPr="00D561F0">
        <w:rPr>
          <w:bCs w:val="0"/>
        </w:rPr>
        <w:t xml:space="preserve"> control information (MPCA revision)</w:t>
      </w:r>
      <w:bookmarkEnd w:id="43"/>
      <w:r w:rsidR="00F50FEB" w:rsidRPr="00681B3E">
        <w:rPr>
          <w:bCs w:val="0"/>
        </w:rPr>
        <w:tab/>
      </w:r>
    </w:p>
    <w:tbl>
      <w:tblPr>
        <w:tblStyle w:val="TableGrid"/>
        <w:tblW w:w="5038" w:type="pct"/>
        <w:tblLayout w:type="fixed"/>
        <w:tblLook w:val="04A0" w:firstRow="1" w:lastRow="0" w:firstColumn="1" w:lastColumn="0" w:noHBand="0" w:noVBand="1"/>
      </w:tblPr>
      <w:tblGrid>
        <w:gridCol w:w="1653"/>
        <w:gridCol w:w="1151"/>
        <w:gridCol w:w="1524"/>
        <w:gridCol w:w="1065"/>
        <w:gridCol w:w="1295"/>
        <w:gridCol w:w="1295"/>
        <w:gridCol w:w="1438"/>
      </w:tblGrid>
      <w:tr w:rsidR="00F50FEB" w:rsidRPr="00D561F0" w14:paraId="2F7D31DC" w14:textId="77777777" w:rsidTr="00EA0940">
        <w:trPr>
          <w:cantSplit/>
          <w:tblHeader/>
        </w:trPr>
        <w:tc>
          <w:tcPr>
            <w:tcW w:w="1655" w:type="dxa"/>
            <w:vAlign w:val="center"/>
          </w:tcPr>
          <w:p w14:paraId="26746A6A" w14:textId="77777777" w:rsidR="00F50FEB" w:rsidRPr="00086420" w:rsidRDefault="00F50FEB" w:rsidP="00EA0940">
            <w:pPr>
              <w:pStyle w:val="Table-Text"/>
              <w:contextualSpacing/>
              <w:rPr>
                <w:b/>
                <w:bCs/>
              </w:rPr>
            </w:pPr>
            <w:r w:rsidRPr="00086420">
              <w:rPr>
                <w:b/>
                <w:bCs/>
              </w:rPr>
              <w:t>Facility</w:t>
            </w:r>
          </w:p>
        </w:tc>
        <w:tc>
          <w:tcPr>
            <w:tcW w:w="1152" w:type="dxa"/>
            <w:vAlign w:val="center"/>
          </w:tcPr>
          <w:p w14:paraId="5B2337E7" w14:textId="77777777" w:rsidR="00F50FEB" w:rsidRPr="00086420" w:rsidRDefault="00F50FEB" w:rsidP="00EA0940">
            <w:pPr>
              <w:pStyle w:val="Table-Text"/>
              <w:contextualSpacing/>
              <w:rPr>
                <w:b/>
                <w:bCs/>
              </w:rPr>
            </w:pPr>
            <w:r w:rsidRPr="00086420">
              <w:rPr>
                <w:b/>
                <w:bCs/>
              </w:rPr>
              <w:t>Emission Unit</w:t>
            </w:r>
          </w:p>
        </w:tc>
        <w:tc>
          <w:tcPr>
            <w:tcW w:w="1526" w:type="dxa"/>
            <w:vAlign w:val="center"/>
          </w:tcPr>
          <w:p w14:paraId="71247920" w14:textId="77777777" w:rsidR="00F50FEB" w:rsidRPr="00086420" w:rsidRDefault="00F50FEB" w:rsidP="00EA0940">
            <w:pPr>
              <w:pStyle w:val="Table-Text"/>
              <w:contextualSpacing/>
              <w:rPr>
                <w:b/>
                <w:bCs/>
              </w:rPr>
            </w:pPr>
            <w:r w:rsidRPr="00086420">
              <w:rPr>
                <w:b/>
                <w:bCs/>
              </w:rPr>
              <w:t>Control Measure</w:t>
            </w:r>
          </w:p>
        </w:tc>
        <w:tc>
          <w:tcPr>
            <w:tcW w:w="1066" w:type="dxa"/>
            <w:vAlign w:val="center"/>
          </w:tcPr>
          <w:p w14:paraId="1F47A328" w14:textId="77777777" w:rsidR="00F50FEB" w:rsidRPr="00086420" w:rsidRDefault="00F50FEB" w:rsidP="00EA0940">
            <w:pPr>
              <w:pStyle w:val="Table-Text"/>
              <w:contextualSpacing/>
              <w:rPr>
                <w:b/>
                <w:bCs/>
              </w:rPr>
            </w:pPr>
            <w:r w:rsidRPr="00086420">
              <w:rPr>
                <w:b/>
                <w:bCs/>
              </w:rPr>
              <w:t>Emission Reduction (</w:t>
            </w:r>
            <w:proofErr w:type="spellStart"/>
            <w:r w:rsidRPr="00086420">
              <w:rPr>
                <w:b/>
                <w:bCs/>
              </w:rPr>
              <w:t>tpy</w:t>
            </w:r>
            <w:proofErr w:type="spellEnd"/>
            <w:r w:rsidRPr="00086420">
              <w:rPr>
                <w:b/>
                <w:bCs/>
              </w:rPr>
              <w:t>)</w:t>
            </w:r>
          </w:p>
        </w:tc>
        <w:tc>
          <w:tcPr>
            <w:tcW w:w="1296" w:type="dxa"/>
            <w:vAlign w:val="center"/>
          </w:tcPr>
          <w:p w14:paraId="1A4B09FA" w14:textId="77777777" w:rsidR="00F50FEB" w:rsidRPr="00086420" w:rsidRDefault="00F50FEB" w:rsidP="00EA0940">
            <w:pPr>
              <w:pStyle w:val="Table-Text"/>
              <w:contextualSpacing/>
              <w:rPr>
                <w:b/>
                <w:bCs/>
              </w:rPr>
            </w:pPr>
            <w:r w:rsidRPr="00086420">
              <w:rPr>
                <w:b/>
                <w:bCs/>
              </w:rPr>
              <w:t>Capital Costs ($)</w:t>
            </w:r>
          </w:p>
        </w:tc>
        <w:tc>
          <w:tcPr>
            <w:tcW w:w="1296" w:type="dxa"/>
            <w:vAlign w:val="center"/>
          </w:tcPr>
          <w:p w14:paraId="4BCA8A7F" w14:textId="77777777" w:rsidR="00F50FEB" w:rsidRPr="00086420" w:rsidRDefault="00F50FEB" w:rsidP="00EA0940">
            <w:pPr>
              <w:pStyle w:val="Table-Text"/>
              <w:contextualSpacing/>
              <w:rPr>
                <w:b/>
                <w:bCs/>
              </w:rPr>
            </w:pPr>
            <w:r w:rsidRPr="00086420">
              <w:rPr>
                <w:b/>
                <w:bCs/>
              </w:rPr>
              <w:t>Annual Costs ($)</w:t>
            </w:r>
          </w:p>
        </w:tc>
        <w:tc>
          <w:tcPr>
            <w:tcW w:w="1440" w:type="dxa"/>
            <w:vAlign w:val="center"/>
          </w:tcPr>
          <w:p w14:paraId="342FF956" w14:textId="77777777" w:rsidR="00F50FEB" w:rsidRPr="00086420" w:rsidRDefault="00F50FEB" w:rsidP="00EA0940">
            <w:pPr>
              <w:pStyle w:val="Table-Text"/>
              <w:contextualSpacing/>
              <w:rPr>
                <w:b/>
                <w:bCs/>
              </w:rPr>
            </w:pPr>
            <w:r w:rsidRPr="00086420">
              <w:rPr>
                <w:b/>
                <w:bCs/>
              </w:rPr>
              <w:t>Cost Effectiveness ($/ton)</w:t>
            </w:r>
          </w:p>
        </w:tc>
      </w:tr>
      <w:tr w:rsidR="00F50FEB" w:rsidRPr="00D561F0" w14:paraId="185239F2" w14:textId="77777777" w:rsidTr="00EA0940">
        <w:trPr>
          <w:cantSplit/>
        </w:trPr>
        <w:tc>
          <w:tcPr>
            <w:tcW w:w="1655" w:type="dxa"/>
            <w:vMerge w:val="restart"/>
            <w:vAlign w:val="center"/>
          </w:tcPr>
          <w:p w14:paraId="70EE81B0" w14:textId="77777777" w:rsidR="00F50FEB" w:rsidRPr="00D561F0" w:rsidRDefault="00F50FEB" w:rsidP="00EA0940">
            <w:pPr>
              <w:pStyle w:val="Table-Text"/>
              <w:contextualSpacing/>
            </w:pPr>
            <w:r w:rsidRPr="00D561F0">
              <w:t>Boise White Paper</w:t>
            </w:r>
          </w:p>
        </w:tc>
        <w:tc>
          <w:tcPr>
            <w:tcW w:w="1152" w:type="dxa"/>
            <w:vMerge w:val="restart"/>
            <w:vAlign w:val="center"/>
          </w:tcPr>
          <w:p w14:paraId="08F222B2" w14:textId="77777777" w:rsidR="00F50FEB" w:rsidRPr="00D561F0" w:rsidRDefault="00F50FEB" w:rsidP="00EA0940">
            <w:pPr>
              <w:pStyle w:val="Table-Text"/>
              <w:contextualSpacing/>
              <w:jc w:val="center"/>
            </w:pPr>
            <w:r w:rsidRPr="00D561F0">
              <w:t>Boiler 1</w:t>
            </w:r>
          </w:p>
        </w:tc>
        <w:tc>
          <w:tcPr>
            <w:tcW w:w="1526" w:type="dxa"/>
            <w:vAlign w:val="center"/>
          </w:tcPr>
          <w:p w14:paraId="4C29AD8D" w14:textId="77777777" w:rsidR="00F50FEB" w:rsidRPr="00D561F0" w:rsidRDefault="00F50FEB" w:rsidP="00EA0940">
            <w:pPr>
              <w:pStyle w:val="Table-Text"/>
              <w:contextualSpacing/>
              <w:jc w:val="center"/>
            </w:pPr>
            <w:r w:rsidRPr="00D561F0">
              <w:t>LNB/OFA + FGR</w:t>
            </w:r>
          </w:p>
        </w:tc>
        <w:tc>
          <w:tcPr>
            <w:tcW w:w="1066" w:type="dxa"/>
            <w:vAlign w:val="center"/>
          </w:tcPr>
          <w:p w14:paraId="75F3DE79" w14:textId="77777777" w:rsidR="00F50FEB" w:rsidRPr="00D561F0" w:rsidRDefault="00F50FEB" w:rsidP="00EA0940">
            <w:pPr>
              <w:pStyle w:val="Table-Text"/>
              <w:contextualSpacing/>
              <w:jc w:val="center"/>
            </w:pPr>
            <w:r w:rsidRPr="00D561F0">
              <w:t>58</w:t>
            </w:r>
          </w:p>
        </w:tc>
        <w:tc>
          <w:tcPr>
            <w:tcW w:w="1296" w:type="dxa"/>
            <w:vAlign w:val="center"/>
          </w:tcPr>
          <w:p w14:paraId="27AAC983" w14:textId="77777777" w:rsidR="00F50FEB" w:rsidRPr="00D561F0" w:rsidRDefault="00F50FEB" w:rsidP="00EA0940">
            <w:pPr>
              <w:pStyle w:val="Table-Text"/>
              <w:contextualSpacing/>
              <w:jc w:val="center"/>
            </w:pPr>
            <w:r w:rsidRPr="00D561F0">
              <w:t>$11,144,531</w:t>
            </w:r>
          </w:p>
        </w:tc>
        <w:tc>
          <w:tcPr>
            <w:tcW w:w="1296" w:type="dxa"/>
            <w:vAlign w:val="center"/>
          </w:tcPr>
          <w:p w14:paraId="5E015C50" w14:textId="77777777" w:rsidR="00F50FEB" w:rsidRPr="00D561F0" w:rsidRDefault="00F50FEB" w:rsidP="00EA0940">
            <w:pPr>
              <w:pStyle w:val="Table-Text"/>
              <w:contextualSpacing/>
              <w:jc w:val="center"/>
            </w:pPr>
            <w:r w:rsidRPr="00D561F0">
              <w:t>$1,557,544</w:t>
            </w:r>
          </w:p>
        </w:tc>
        <w:tc>
          <w:tcPr>
            <w:tcW w:w="1440" w:type="dxa"/>
            <w:vAlign w:val="center"/>
          </w:tcPr>
          <w:p w14:paraId="753F4BF7" w14:textId="77777777" w:rsidR="00F50FEB" w:rsidRPr="00D561F0" w:rsidRDefault="00F50FEB" w:rsidP="00EA0940">
            <w:pPr>
              <w:pStyle w:val="Table-Text"/>
              <w:contextualSpacing/>
              <w:jc w:val="center"/>
            </w:pPr>
            <w:r w:rsidRPr="00D561F0">
              <w:t>$26,649</w:t>
            </w:r>
          </w:p>
        </w:tc>
      </w:tr>
      <w:tr w:rsidR="00F50FEB" w:rsidRPr="00D561F0" w14:paraId="37DB79EB" w14:textId="77777777" w:rsidTr="00EA0940">
        <w:trPr>
          <w:cantSplit/>
        </w:trPr>
        <w:tc>
          <w:tcPr>
            <w:tcW w:w="1655" w:type="dxa"/>
            <w:vMerge/>
            <w:vAlign w:val="center"/>
          </w:tcPr>
          <w:p w14:paraId="2585AC18" w14:textId="77777777" w:rsidR="00F50FEB" w:rsidRPr="00D561F0" w:rsidRDefault="00F50FEB" w:rsidP="00EA0940">
            <w:pPr>
              <w:pStyle w:val="Table-Text"/>
              <w:contextualSpacing/>
            </w:pPr>
          </w:p>
        </w:tc>
        <w:tc>
          <w:tcPr>
            <w:tcW w:w="1152" w:type="dxa"/>
            <w:vMerge/>
            <w:vAlign w:val="center"/>
          </w:tcPr>
          <w:p w14:paraId="1427CA85" w14:textId="77777777" w:rsidR="00F50FEB" w:rsidRPr="00D561F0" w:rsidRDefault="00F50FEB" w:rsidP="00EA0940">
            <w:pPr>
              <w:pStyle w:val="Table-Text"/>
              <w:contextualSpacing/>
              <w:jc w:val="center"/>
            </w:pPr>
          </w:p>
        </w:tc>
        <w:tc>
          <w:tcPr>
            <w:tcW w:w="1526" w:type="dxa"/>
            <w:vAlign w:val="center"/>
          </w:tcPr>
          <w:p w14:paraId="559113D3" w14:textId="77777777" w:rsidR="00F50FEB" w:rsidRPr="00D561F0" w:rsidRDefault="00F50FEB" w:rsidP="00EA0940">
            <w:pPr>
              <w:pStyle w:val="Table-Text"/>
              <w:contextualSpacing/>
              <w:jc w:val="center"/>
            </w:pPr>
            <w:r w:rsidRPr="00D561F0">
              <w:t>SCR</w:t>
            </w:r>
          </w:p>
        </w:tc>
        <w:tc>
          <w:tcPr>
            <w:tcW w:w="1066" w:type="dxa"/>
            <w:vAlign w:val="center"/>
          </w:tcPr>
          <w:p w14:paraId="39B278BE" w14:textId="77777777" w:rsidR="00F50FEB" w:rsidRPr="00D561F0" w:rsidRDefault="00F50FEB" w:rsidP="00EA0940">
            <w:pPr>
              <w:pStyle w:val="Table-Text"/>
              <w:contextualSpacing/>
              <w:jc w:val="center"/>
            </w:pPr>
            <w:r w:rsidRPr="00D561F0">
              <w:t>66</w:t>
            </w:r>
          </w:p>
        </w:tc>
        <w:tc>
          <w:tcPr>
            <w:tcW w:w="1296" w:type="dxa"/>
            <w:vAlign w:val="center"/>
          </w:tcPr>
          <w:p w14:paraId="0ECEEADE" w14:textId="77777777" w:rsidR="00F50FEB" w:rsidRPr="00D561F0" w:rsidRDefault="00F50FEB" w:rsidP="00EA0940">
            <w:pPr>
              <w:pStyle w:val="Table-Text"/>
              <w:contextualSpacing/>
              <w:jc w:val="center"/>
            </w:pPr>
            <w:r w:rsidRPr="00D561F0">
              <w:t>$8,031,851</w:t>
            </w:r>
          </w:p>
        </w:tc>
        <w:tc>
          <w:tcPr>
            <w:tcW w:w="1296" w:type="dxa"/>
            <w:vAlign w:val="center"/>
          </w:tcPr>
          <w:p w14:paraId="3314F1F5" w14:textId="77777777" w:rsidR="00F50FEB" w:rsidRPr="00D561F0" w:rsidRDefault="00F50FEB" w:rsidP="00EA0940">
            <w:pPr>
              <w:pStyle w:val="Table-Text"/>
              <w:contextualSpacing/>
              <w:jc w:val="center"/>
            </w:pPr>
            <w:r w:rsidRPr="00D561F0">
              <w:t>$905,022</w:t>
            </w:r>
          </w:p>
        </w:tc>
        <w:tc>
          <w:tcPr>
            <w:tcW w:w="1440" w:type="dxa"/>
            <w:vAlign w:val="center"/>
          </w:tcPr>
          <w:p w14:paraId="45931D65" w14:textId="77777777" w:rsidR="00F50FEB" w:rsidRPr="00D561F0" w:rsidRDefault="00F50FEB" w:rsidP="00EA0940">
            <w:pPr>
              <w:pStyle w:val="Table-Text"/>
              <w:contextualSpacing/>
              <w:jc w:val="center"/>
            </w:pPr>
            <w:r w:rsidRPr="00D561F0">
              <w:t>$13,783</w:t>
            </w:r>
          </w:p>
        </w:tc>
      </w:tr>
    </w:tbl>
    <w:p w14:paraId="43D8E40C" w14:textId="77777777" w:rsidR="00F50FEB" w:rsidRPr="00D561F0" w:rsidRDefault="00F50FEB" w:rsidP="00891CA8"/>
    <w:p w14:paraId="469BAF9A" w14:textId="60129487" w:rsidR="00F50FEB" w:rsidRDefault="00F50FEB" w:rsidP="00891CA8">
      <w:r w:rsidRPr="006549BB">
        <w:t>In addition</w:t>
      </w:r>
      <w:r w:rsidRPr="00D561F0">
        <w:t xml:space="preserve">, </w:t>
      </w:r>
      <w:bookmarkStart w:id="44" w:name="_Hlk114122084"/>
      <w:r w:rsidRPr="00D561F0">
        <w:t xml:space="preserve">MPCA provided an analysis of SNCR using methods developed by EPA in its Control Cost Manual (CCM) and determined that SNCR could reduce </w:t>
      </w:r>
      <w:r w:rsidRPr="00A9462F">
        <w:t>NO</w:t>
      </w:r>
      <w:r>
        <w:rPr>
          <w:vertAlign w:val="subscript"/>
        </w:rPr>
        <w:t>x</w:t>
      </w:r>
      <w:r w:rsidRPr="00D561F0">
        <w:t xml:space="preserve"> emissions by 38 tons/</w:t>
      </w:r>
      <w:proofErr w:type="spellStart"/>
      <w:r w:rsidRPr="00D561F0">
        <w:t>yr</w:t>
      </w:r>
      <w:proofErr w:type="spellEnd"/>
      <w:r w:rsidRPr="00D561F0">
        <w:t xml:space="preserve"> at an annual cost of about $250,000 for a cost-effectiveness value of just over $6,600/ton of </w:t>
      </w:r>
      <w:r w:rsidRPr="00A9462F">
        <w:t>NO</w:t>
      </w:r>
      <w:r>
        <w:rPr>
          <w:vertAlign w:val="subscript"/>
        </w:rPr>
        <w:t>x</w:t>
      </w:r>
      <w:r w:rsidRPr="00D561F0">
        <w:t xml:space="preserve"> removed</w:t>
      </w:r>
      <w:r>
        <w:t xml:space="preserve">, which is below the MPCA </w:t>
      </w:r>
      <w:r w:rsidR="0037437C">
        <w:t xml:space="preserve">$7,600/ton </w:t>
      </w:r>
      <w:r>
        <w:t>co</w:t>
      </w:r>
      <w:r w:rsidR="0037437C">
        <w:t>s</w:t>
      </w:r>
      <w:r>
        <w:t>t-effectiveness threshold</w:t>
      </w:r>
      <w:r w:rsidRPr="00D561F0">
        <w:t xml:space="preserve">. </w:t>
      </w:r>
    </w:p>
    <w:p w14:paraId="62BD0DD0" w14:textId="25833BC5" w:rsidR="00245F4F" w:rsidDel="0027743D" w:rsidRDefault="007C0135" w:rsidP="00891CA8">
      <w:r>
        <w:t xml:space="preserve">The </w:t>
      </w:r>
      <w:r w:rsidR="00375033">
        <w:t>NPS applied the CCM SNCR and SCR workbooks with the parameters shown below</w:t>
      </w:r>
      <w:r>
        <w:t>, including</w:t>
      </w:r>
      <w:r w:rsidR="00375033">
        <w:t xml:space="preserve"> application of the relationship provided in CCM SNCR Figure 1.1c to estimate SNCR control efficiency. </w:t>
      </w:r>
      <w:r>
        <w:t>NPS analyses</w:t>
      </w:r>
      <w:r w:rsidR="00375033">
        <w:t xml:space="preserve"> assumed that SCR on this natural gas-fired boiler would have a 25-year equipment life and a 24,000-hour catalyst </w:t>
      </w:r>
      <w:r>
        <w:t>life and</w:t>
      </w:r>
      <w:r w:rsidR="00375033">
        <w:t xml:space="preserve"> could achieve </w:t>
      </w:r>
      <w:r w:rsidR="0027743D">
        <w:t>85</w:t>
      </w:r>
      <w:r w:rsidR="00375033">
        <w:t>% control.</w:t>
      </w:r>
    </w:p>
    <w:bookmarkEnd w:id="44"/>
    <w:p w14:paraId="6EF8E14B" w14:textId="77777777" w:rsidR="004C1CA2" w:rsidRDefault="004C1CA2">
      <w:pPr>
        <w:rPr>
          <w:bCs/>
          <w:i/>
          <w:iCs/>
          <w:color w:val="44546A" w:themeColor="text2"/>
          <w:sz w:val="22"/>
          <w:szCs w:val="18"/>
        </w:rPr>
      </w:pPr>
      <w:r>
        <w:br w:type="page"/>
      </w:r>
    </w:p>
    <w:p w14:paraId="6EEFD09D" w14:textId="240BAD02" w:rsidR="00B448C7" w:rsidRDefault="00324681" w:rsidP="00324681">
      <w:pPr>
        <w:pStyle w:val="Caption"/>
      </w:pPr>
      <w:r>
        <w:t xml:space="preserve">Table </w:t>
      </w:r>
      <w:r>
        <w:fldChar w:fldCharType="begin"/>
      </w:r>
      <w:r>
        <w:instrText>SEQ Table \* ARABIC</w:instrText>
      </w:r>
      <w:r>
        <w:fldChar w:fldCharType="separate"/>
      </w:r>
      <w:r>
        <w:rPr>
          <w:noProof/>
        </w:rPr>
        <w:t>15</w:t>
      </w:r>
      <w:r>
        <w:fldChar w:fldCharType="end"/>
      </w:r>
      <w:r>
        <w:t xml:space="preserve">. </w:t>
      </w:r>
      <w:r w:rsidR="009848BF">
        <w:t>Comparison</w:t>
      </w:r>
      <w:r w:rsidR="00601AFF">
        <w:t xml:space="preserve"> of</w:t>
      </w:r>
      <w:r w:rsidR="009848BF">
        <w:t xml:space="preserve"> NPS and MPCA Cost Calculations</w:t>
      </w:r>
      <w:r w:rsidR="00DB6B0C">
        <w:t xml:space="preserve"> for Boise Boiler #1</w:t>
      </w:r>
    </w:p>
    <w:tbl>
      <w:tblPr>
        <w:tblW w:w="5000" w:type="pct"/>
        <w:tblLook w:val="04A0" w:firstRow="1" w:lastRow="0" w:firstColumn="1" w:lastColumn="0" w:noHBand="0" w:noVBand="1"/>
      </w:tblPr>
      <w:tblGrid>
        <w:gridCol w:w="4320"/>
        <w:gridCol w:w="1201"/>
        <w:gridCol w:w="1203"/>
        <w:gridCol w:w="1308"/>
        <w:gridCol w:w="1308"/>
      </w:tblGrid>
      <w:tr w:rsidR="0027743D" w:rsidRPr="0027743D" w14:paraId="6B6D2964" w14:textId="77777777" w:rsidTr="3328C818">
        <w:trPr>
          <w:trHeight w:val="290"/>
        </w:trPr>
        <w:tc>
          <w:tcPr>
            <w:tcW w:w="2313" w:type="pct"/>
            <w:tcBorders>
              <w:top w:val="single" w:sz="8" w:space="0" w:color="auto"/>
              <w:left w:val="single" w:sz="8" w:space="0" w:color="auto"/>
              <w:bottom w:val="single" w:sz="4" w:space="0" w:color="auto"/>
              <w:right w:val="nil"/>
            </w:tcBorders>
            <w:shd w:val="clear" w:color="auto" w:fill="auto"/>
            <w:noWrap/>
            <w:vAlign w:val="bottom"/>
            <w:hideMark/>
          </w:tcPr>
          <w:p w14:paraId="2D996177" w14:textId="77777777" w:rsidR="0027743D" w:rsidRPr="006A4480" w:rsidRDefault="0027743D" w:rsidP="00324681">
            <w:pPr>
              <w:pStyle w:val="Table-Text"/>
              <w:rPr>
                <w:b/>
              </w:rPr>
            </w:pPr>
            <w:r w:rsidRPr="006A4480">
              <w:rPr>
                <w:b/>
              </w:rPr>
              <w:t>Emission Unit</w:t>
            </w:r>
          </w:p>
        </w:tc>
        <w:tc>
          <w:tcPr>
            <w:tcW w:w="2687" w:type="pct"/>
            <w:gridSpan w:val="4"/>
            <w:tcBorders>
              <w:top w:val="single" w:sz="8" w:space="0" w:color="auto"/>
              <w:left w:val="single" w:sz="8" w:space="0" w:color="auto"/>
              <w:bottom w:val="single" w:sz="4" w:space="0" w:color="auto"/>
              <w:right w:val="single" w:sz="8" w:space="0" w:color="000000" w:themeColor="text1"/>
            </w:tcBorders>
            <w:shd w:val="clear" w:color="auto" w:fill="auto"/>
            <w:noWrap/>
            <w:vAlign w:val="center"/>
            <w:hideMark/>
          </w:tcPr>
          <w:p w14:paraId="703CE6BF" w14:textId="77777777" w:rsidR="0027743D" w:rsidRPr="006A4480" w:rsidRDefault="0027743D" w:rsidP="00324681">
            <w:pPr>
              <w:pStyle w:val="Table-Text"/>
              <w:rPr>
                <w:b/>
              </w:rPr>
            </w:pPr>
            <w:r w:rsidRPr="006A4480">
              <w:rPr>
                <w:b/>
              </w:rPr>
              <w:t>Boiler #1</w:t>
            </w:r>
          </w:p>
        </w:tc>
      </w:tr>
      <w:tr w:rsidR="0027743D" w:rsidRPr="0027743D" w14:paraId="44773D9E" w14:textId="77777777" w:rsidTr="3328C818">
        <w:trPr>
          <w:trHeight w:val="290"/>
        </w:trPr>
        <w:tc>
          <w:tcPr>
            <w:tcW w:w="2313" w:type="pct"/>
            <w:tcBorders>
              <w:top w:val="nil"/>
              <w:left w:val="single" w:sz="8" w:space="0" w:color="auto"/>
              <w:bottom w:val="single" w:sz="4" w:space="0" w:color="auto"/>
              <w:right w:val="nil"/>
            </w:tcBorders>
            <w:shd w:val="clear" w:color="auto" w:fill="auto"/>
            <w:noWrap/>
            <w:vAlign w:val="bottom"/>
            <w:hideMark/>
          </w:tcPr>
          <w:p w14:paraId="55D9D2D8" w14:textId="77777777" w:rsidR="0027743D" w:rsidRPr="006A4480" w:rsidRDefault="0027743D" w:rsidP="00324681">
            <w:pPr>
              <w:pStyle w:val="Table-Text"/>
              <w:rPr>
                <w:b/>
              </w:rPr>
            </w:pPr>
            <w:r w:rsidRPr="006A4480">
              <w:rPr>
                <w:b/>
              </w:rPr>
              <w:t> </w:t>
            </w:r>
          </w:p>
        </w:tc>
        <w:tc>
          <w:tcPr>
            <w:tcW w:w="643" w:type="pct"/>
            <w:tcBorders>
              <w:top w:val="nil"/>
              <w:left w:val="single" w:sz="8" w:space="0" w:color="auto"/>
              <w:bottom w:val="single" w:sz="4" w:space="0" w:color="auto"/>
              <w:right w:val="single" w:sz="4" w:space="0" w:color="auto"/>
            </w:tcBorders>
            <w:shd w:val="clear" w:color="auto" w:fill="auto"/>
            <w:noWrap/>
            <w:vAlign w:val="center"/>
            <w:hideMark/>
          </w:tcPr>
          <w:p w14:paraId="207A8981" w14:textId="77777777" w:rsidR="0027743D" w:rsidRPr="006A4480" w:rsidRDefault="4843E10E" w:rsidP="3328C818">
            <w:pPr>
              <w:pStyle w:val="Table-Text"/>
              <w:jc w:val="center"/>
              <w:rPr>
                <w:b/>
                <w:bCs/>
              </w:rPr>
            </w:pPr>
            <w:r w:rsidRPr="3328C818">
              <w:rPr>
                <w:b/>
                <w:bCs/>
              </w:rPr>
              <w:t>NPS</w:t>
            </w:r>
          </w:p>
        </w:tc>
        <w:tc>
          <w:tcPr>
            <w:tcW w:w="643" w:type="pct"/>
            <w:tcBorders>
              <w:top w:val="nil"/>
              <w:left w:val="nil"/>
              <w:bottom w:val="single" w:sz="4" w:space="0" w:color="auto"/>
              <w:right w:val="single" w:sz="4" w:space="0" w:color="auto"/>
            </w:tcBorders>
            <w:shd w:val="clear" w:color="auto" w:fill="auto"/>
            <w:noWrap/>
            <w:vAlign w:val="center"/>
            <w:hideMark/>
          </w:tcPr>
          <w:p w14:paraId="17F9D5F5" w14:textId="77777777" w:rsidR="0027743D" w:rsidRPr="006A4480" w:rsidRDefault="4843E10E" w:rsidP="3328C818">
            <w:pPr>
              <w:pStyle w:val="Table-Text"/>
              <w:jc w:val="center"/>
              <w:rPr>
                <w:b/>
                <w:bCs/>
              </w:rPr>
            </w:pPr>
            <w:r w:rsidRPr="3328C818">
              <w:rPr>
                <w:b/>
                <w:bCs/>
              </w:rPr>
              <w:t>MPCA</w:t>
            </w:r>
          </w:p>
        </w:tc>
        <w:tc>
          <w:tcPr>
            <w:tcW w:w="700" w:type="pct"/>
            <w:tcBorders>
              <w:top w:val="nil"/>
              <w:left w:val="nil"/>
              <w:bottom w:val="single" w:sz="4" w:space="0" w:color="auto"/>
              <w:right w:val="single" w:sz="4" w:space="0" w:color="auto"/>
            </w:tcBorders>
            <w:shd w:val="clear" w:color="auto" w:fill="auto"/>
            <w:noWrap/>
            <w:vAlign w:val="center"/>
            <w:hideMark/>
          </w:tcPr>
          <w:p w14:paraId="6691E567" w14:textId="77777777" w:rsidR="0027743D" w:rsidRPr="006A4480" w:rsidRDefault="4843E10E" w:rsidP="3328C818">
            <w:pPr>
              <w:pStyle w:val="Table-Text"/>
              <w:jc w:val="center"/>
              <w:rPr>
                <w:b/>
                <w:bCs/>
              </w:rPr>
            </w:pPr>
            <w:r w:rsidRPr="3328C818">
              <w:rPr>
                <w:b/>
                <w:bCs/>
              </w:rPr>
              <w:t>NPS</w:t>
            </w:r>
          </w:p>
        </w:tc>
        <w:tc>
          <w:tcPr>
            <w:tcW w:w="700" w:type="pct"/>
            <w:tcBorders>
              <w:top w:val="nil"/>
              <w:left w:val="nil"/>
              <w:bottom w:val="single" w:sz="4" w:space="0" w:color="auto"/>
              <w:right w:val="single" w:sz="8" w:space="0" w:color="auto"/>
            </w:tcBorders>
            <w:shd w:val="clear" w:color="auto" w:fill="auto"/>
            <w:noWrap/>
            <w:vAlign w:val="center"/>
            <w:hideMark/>
          </w:tcPr>
          <w:p w14:paraId="061A929D" w14:textId="77777777" w:rsidR="0027743D" w:rsidRPr="006A4480" w:rsidRDefault="4843E10E" w:rsidP="3328C818">
            <w:pPr>
              <w:pStyle w:val="Table-Text"/>
              <w:jc w:val="center"/>
              <w:rPr>
                <w:b/>
                <w:bCs/>
              </w:rPr>
            </w:pPr>
            <w:r w:rsidRPr="3328C818">
              <w:rPr>
                <w:b/>
                <w:bCs/>
              </w:rPr>
              <w:t>MPCA</w:t>
            </w:r>
          </w:p>
        </w:tc>
      </w:tr>
      <w:tr w:rsidR="0027743D" w:rsidRPr="0027743D" w14:paraId="3A568CB3" w14:textId="77777777" w:rsidTr="3328C818">
        <w:trPr>
          <w:trHeight w:val="290"/>
        </w:trPr>
        <w:tc>
          <w:tcPr>
            <w:tcW w:w="2313" w:type="pct"/>
            <w:tcBorders>
              <w:top w:val="nil"/>
              <w:left w:val="single" w:sz="8" w:space="0" w:color="auto"/>
              <w:bottom w:val="single" w:sz="4" w:space="0" w:color="auto"/>
              <w:right w:val="nil"/>
            </w:tcBorders>
            <w:shd w:val="clear" w:color="auto" w:fill="auto"/>
            <w:noWrap/>
            <w:vAlign w:val="center"/>
            <w:hideMark/>
          </w:tcPr>
          <w:p w14:paraId="2D83B329" w14:textId="77777777" w:rsidR="0027743D" w:rsidRPr="006A4480" w:rsidRDefault="0027743D" w:rsidP="00324681">
            <w:pPr>
              <w:pStyle w:val="Table-Text"/>
              <w:rPr>
                <w:b/>
              </w:rPr>
            </w:pPr>
            <w:r w:rsidRPr="006A4480">
              <w:rPr>
                <w:b/>
              </w:rPr>
              <w:t>Control Technology</w:t>
            </w:r>
          </w:p>
        </w:tc>
        <w:tc>
          <w:tcPr>
            <w:tcW w:w="1287" w:type="pct"/>
            <w:gridSpan w:val="2"/>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307D00CA" w14:textId="77777777" w:rsidR="0027743D" w:rsidRPr="006A4480" w:rsidRDefault="4843E10E" w:rsidP="3328C818">
            <w:pPr>
              <w:pStyle w:val="Table-Text"/>
              <w:jc w:val="center"/>
              <w:rPr>
                <w:b/>
                <w:bCs/>
              </w:rPr>
            </w:pPr>
            <w:r w:rsidRPr="3328C818">
              <w:rPr>
                <w:b/>
                <w:bCs/>
              </w:rPr>
              <w:t>SNCR</w:t>
            </w:r>
          </w:p>
        </w:tc>
        <w:tc>
          <w:tcPr>
            <w:tcW w:w="1400" w:type="pct"/>
            <w:gridSpan w:val="2"/>
            <w:tcBorders>
              <w:top w:val="single" w:sz="4" w:space="0" w:color="auto"/>
              <w:left w:val="nil"/>
              <w:bottom w:val="single" w:sz="4" w:space="0" w:color="auto"/>
              <w:right w:val="single" w:sz="8" w:space="0" w:color="000000" w:themeColor="text1"/>
            </w:tcBorders>
            <w:shd w:val="clear" w:color="auto" w:fill="auto"/>
            <w:noWrap/>
            <w:vAlign w:val="center"/>
            <w:hideMark/>
          </w:tcPr>
          <w:p w14:paraId="46941781" w14:textId="77777777" w:rsidR="0027743D" w:rsidRPr="006A4480" w:rsidRDefault="4843E10E" w:rsidP="3328C818">
            <w:pPr>
              <w:pStyle w:val="Table-Text"/>
              <w:jc w:val="center"/>
              <w:rPr>
                <w:b/>
                <w:bCs/>
              </w:rPr>
            </w:pPr>
            <w:r w:rsidRPr="3328C818">
              <w:rPr>
                <w:b/>
                <w:bCs/>
              </w:rPr>
              <w:t>SCR</w:t>
            </w:r>
          </w:p>
        </w:tc>
      </w:tr>
      <w:tr w:rsidR="0027743D" w:rsidRPr="0027743D" w14:paraId="63EAC100" w14:textId="77777777" w:rsidTr="3328C818">
        <w:trPr>
          <w:trHeight w:hRule="exact" w:val="288"/>
        </w:trPr>
        <w:tc>
          <w:tcPr>
            <w:tcW w:w="2313" w:type="pct"/>
            <w:tcBorders>
              <w:top w:val="nil"/>
              <w:left w:val="single" w:sz="8" w:space="0" w:color="auto"/>
              <w:bottom w:val="single" w:sz="4" w:space="0" w:color="auto"/>
              <w:right w:val="nil"/>
            </w:tcBorders>
            <w:shd w:val="clear" w:color="auto" w:fill="auto"/>
            <w:noWrap/>
            <w:vAlign w:val="center"/>
            <w:hideMark/>
          </w:tcPr>
          <w:p w14:paraId="25608AE4" w14:textId="77777777" w:rsidR="0027743D" w:rsidRPr="00B448C7" w:rsidRDefault="0027743D" w:rsidP="00324681">
            <w:pPr>
              <w:pStyle w:val="Table-Text"/>
            </w:pPr>
            <w:r w:rsidRPr="00B448C7">
              <w:t>Capacity (</w:t>
            </w:r>
            <w:proofErr w:type="spellStart"/>
            <w:r w:rsidRPr="00B448C7">
              <w:t>mmBtu</w:t>
            </w:r>
            <w:proofErr w:type="spellEnd"/>
            <w:r w:rsidRPr="00B448C7">
              <w:t>/</w:t>
            </w:r>
            <w:proofErr w:type="spellStart"/>
            <w:r w:rsidRPr="00B448C7">
              <w:t>hr</w:t>
            </w:r>
            <w:proofErr w:type="spellEnd"/>
            <w:r w:rsidRPr="00B448C7">
              <w:t>)</w:t>
            </w:r>
          </w:p>
        </w:tc>
        <w:tc>
          <w:tcPr>
            <w:tcW w:w="643" w:type="pct"/>
            <w:tcBorders>
              <w:top w:val="nil"/>
              <w:left w:val="single" w:sz="8" w:space="0" w:color="auto"/>
              <w:bottom w:val="single" w:sz="4" w:space="0" w:color="auto"/>
              <w:right w:val="single" w:sz="4" w:space="0" w:color="auto"/>
            </w:tcBorders>
            <w:shd w:val="clear" w:color="auto" w:fill="auto"/>
            <w:noWrap/>
            <w:vAlign w:val="center"/>
            <w:hideMark/>
          </w:tcPr>
          <w:p w14:paraId="03BD1AD5" w14:textId="77777777" w:rsidR="0027743D" w:rsidRPr="00B448C7" w:rsidRDefault="4843E10E" w:rsidP="3328C818">
            <w:pPr>
              <w:pStyle w:val="Table-Text"/>
              <w:jc w:val="center"/>
            </w:pPr>
            <w:r>
              <w:t>398</w:t>
            </w:r>
          </w:p>
        </w:tc>
        <w:tc>
          <w:tcPr>
            <w:tcW w:w="643" w:type="pct"/>
            <w:tcBorders>
              <w:top w:val="nil"/>
              <w:left w:val="nil"/>
              <w:bottom w:val="single" w:sz="4" w:space="0" w:color="auto"/>
              <w:right w:val="single" w:sz="4" w:space="0" w:color="auto"/>
            </w:tcBorders>
            <w:shd w:val="clear" w:color="auto" w:fill="auto"/>
            <w:noWrap/>
            <w:vAlign w:val="center"/>
            <w:hideMark/>
          </w:tcPr>
          <w:p w14:paraId="08BB143B" w14:textId="77777777" w:rsidR="0027743D" w:rsidRPr="00B448C7" w:rsidRDefault="4843E10E" w:rsidP="3328C818">
            <w:pPr>
              <w:pStyle w:val="Table-Text"/>
              <w:jc w:val="center"/>
            </w:pPr>
            <w:r>
              <w:t>398</w:t>
            </w:r>
          </w:p>
        </w:tc>
        <w:tc>
          <w:tcPr>
            <w:tcW w:w="700" w:type="pct"/>
            <w:tcBorders>
              <w:top w:val="nil"/>
              <w:left w:val="nil"/>
              <w:bottom w:val="single" w:sz="4" w:space="0" w:color="auto"/>
              <w:right w:val="single" w:sz="4" w:space="0" w:color="auto"/>
            </w:tcBorders>
            <w:shd w:val="clear" w:color="auto" w:fill="auto"/>
            <w:noWrap/>
            <w:vAlign w:val="center"/>
            <w:hideMark/>
          </w:tcPr>
          <w:p w14:paraId="0C03CD6A" w14:textId="77777777" w:rsidR="0027743D" w:rsidRPr="00B448C7" w:rsidRDefault="4843E10E" w:rsidP="3328C818">
            <w:pPr>
              <w:pStyle w:val="Table-Text"/>
              <w:jc w:val="center"/>
            </w:pPr>
            <w:r>
              <w:t>398</w:t>
            </w:r>
          </w:p>
        </w:tc>
        <w:tc>
          <w:tcPr>
            <w:tcW w:w="700" w:type="pct"/>
            <w:tcBorders>
              <w:top w:val="nil"/>
              <w:left w:val="nil"/>
              <w:bottom w:val="single" w:sz="4" w:space="0" w:color="auto"/>
              <w:right w:val="single" w:sz="8" w:space="0" w:color="auto"/>
            </w:tcBorders>
            <w:shd w:val="clear" w:color="auto" w:fill="auto"/>
            <w:noWrap/>
            <w:vAlign w:val="center"/>
            <w:hideMark/>
          </w:tcPr>
          <w:p w14:paraId="08EC14E8" w14:textId="77777777" w:rsidR="0027743D" w:rsidRPr="00B448C7" w:rsidRDefault="4843E10E" w:rsidP="3328C818">
            <w:pPr>
              <w:pStyle w:val="Table-Text"/>
              <w:jc w:val="center"/>
            </w:pPr>
            <w:r>
              <w:t>398</w:t>
            </w:r>
          </w:p>
        </w:tc>
      </w:tr>
      <w:tr w:rsidR="0027743D" w:rsidRPr="0027743D" w14:paraId="71C668F2" w14:textId="77777777" w:rsidTr="3328C818">
        <w:trPr>
          <w:trHeight w:hRule="exact" w:val="288"/>
        </w:trPr>
        <w:tc>
          <w:tcPr>
            <w:tcW w:w="2313" w:type="pct"/>
            <w:tcBorders>
              <w:top w:val="nil"/>
              <w:left w:val="single" w:sz="8" w:space="0" w:color="auto"/>
              <w:bottom w:val="single" w:sz="4" w:space="0" w:color="auto"/>
              <w:right w:val="nil"/>
            </w:tcBorders>
            <w:shd w:val="clear" w:color="auto" w:fill="auto"/>
            <w:noWrap/>
            <w:vAlign w:val="center"/>
            <w:hideMark/>
          </w:tcPr>
          <w:p w14:paraId="3FFB0A19" w14:textId="77777777" w:rsidR="0027743D" w:rsidRPr="00B448C7" w:rsidRDefault="0027743D" w:rsidP="00324681">
            <w:pPr>
              <w:pStyle w:val="Table-Text"/>
            </w:pPr>
            <w:r w:rsidRPr="00B448C7">
              <w:t>Retrofit factor</w:t>
            </w:r>
          </w:p>
        </w:tc>
        <w:tc>
          <w:tcPr>
            <w:tcW w:w="643" w:type="pct"/>
            <w:tcBorders>
              <w:top w:val="nil"/>
              <w:left w:val="single" w:sz="8" w:space="0" w:color="auto"/>
              <w:bottom w:val="single" w:sz="4" w:space="0" w:color="auto"/>
              <w:right w:val="single" w:sz="4" w:space="0" w:color="auto"/>
            </w:tcBorders>
            <w:shd w:val="clear" w:color="auto" w:fill="auto"/>
            <w:noWrap/>
            <w:vAlign w:val="center"/>
            <w:hideMark/>
          </w:tcPr>
          <w:p w14:paraId="1CBF268B" w14:textId="77777777" w:rsidR="0027743D" w:rsidRPr="00B448C7" w:rsidRDefault="4843E10E" w:rsidP="3328C818">
            <w:pPr>
              <w:pStyle w:val="Table-Text"/>
              <w:jc w:val="center"/>
            </w:pPr>
            <w:r>
              <w:t>1</w:t>
            </w:r>
          </w:p>
        </w:tc>
        <w:tc>
          <w:tcPr>
            <w:tcW w:w="643" w:type="pct"/>
            <w:tcBorders>
              <w:top w:val="nil"/>
              <w:left w:val="nil"/>
              <w:bottom w:val="single" w:sz="4" w:space="0" w:color="auto"/>
              <w:right w:val="single" w:sz="4" w:space="0" w:color="auto"/>
            </w:tcBorders>
            <w:shd w:val="clear" w:color="auto" w:fill="auto"/>
            <w:noWrap/>
            <w:vAlign w:val="center"/>
            <w:hideMark/>
          </w:tcPr>
          <w:p w14:paraId="6C366495" w14:textId="77777777" w:rsidR="0027743D" w:rsidRPr="00B448C7" w:rsidRDefault="4843E10E" w:rsidP="3328C818">
            <w:pPr>
              <w:pStyle w:val="Table-Text"/>
              <w:jc w:val="center"/>
            </w:pPr>
            <w:r>
              <w:t>1</w:t>
            </w:r>
          </w:p>
        </w:tc>
        <w:tc>
          <w:tcPr>
            <w:tcW w:w="700" w:type="pct"/>
            <w:tcBorders>
              <w:top w:val="nil"/>
              <w:left w:val="nil"/>
              <w:bottom w:val="single" w:sz="4" w:space="0" w:color="auto"/>
              <w:right w:val="single" w:sz="4" w:space="0" w:color="auto"/>
            </w:tcBorders>
            <w:shd w:val="clear" w:color="auto" w:fill="auto"/>
            <w:noWrap/>
            <w:vAlign w:val="center"/>
            <w:hideMark/>
          </w:tcPr>
          <w:p w14:paraId="7DBD89E8" w14:textId="77777777" w:rsidR="0027743D" w:rsidRPr="00B448C7" w:rsidRDefault="4843E10E" w:rsidP="3328C818">
            <w:pPr>
              <w:pStyle w:val="Table-Text"/>
              <w:jc w:val="center"/>
            </w:pPr>
            <w:r>
              <w:t>1</w:t>
            </w:r>
          </w:p>
        </w:tc>
        <w:tc>
          <w:tcPr>
            <w:tcW w:w="700" w:type="pct"/>
            <w:tcBorders>
              <w:top w:val="nil"/>
              <w:left w:val="nil"/>
              <w:bottom w:val="single" w:sz="4" w:space="0" w:color="auto"/>
              <w:right w:val="single" w:sz="8" w:space="0" w:color="auto"/>
            </w:tcBorders>
            <w:shd w:val="clear" w:color="auto" w:fill="auto"/>
            <w:noWrap/>
            <w:vAlign w:val="center"/>
            <w:hideMark/>
          </w:tcPr>
          <w:p w14:paraId="6B608B21" w14:textId="77777777" w:rsidR="0027743D" w:rsidRPr="00B448C7" w:rsidRDefault="4843E10E" w:rsidP="3328C818">
            <w:pPr>
              <w:pStyle w:val="Table-Text"/>
              <w:jc w:val="center"/>
            </w:pPr>
            <w:r>
              <w:t>1</w:t>
            </w:r>
          </w:p>
        </w:tc>
      </w:tr>
      <w:tr w:rsidR="0027743D" w:rsidRPr="0027743D" w14:paraId="4ABD6F51" w14:textId="77777777" w:rsidTr="3328C818">
        <w:trPr>
          <w:trHeight w:hRule="exact" w:val="288"/>
        </w:trPr>
        <w:tc>
          <w:tcPr>
            <w:tcW w:w="2313" w:type="pct"/>
            <w:tcBorders>
              <w:top w:val="nil"/>
              <w:left w:val="single" w:sz="8" w:space="0" w:color="auto"/>
              <w:bottom w:val="single" w:sz="4" w:space="0" w:color="auto"/>
              <w:right w:val="nil"/>
            </w:tcBorders>
            <w:shd w:val="clear" w:color="auto" w:fill="auto"/>
            <w:noWrap/>
            <w:vAlign w:val="center"/>
            <w:hideMark/>
          </w:tcPr>
          <w:p w14:paraId="63B504C6" w14:textId="77777777" w:rsidR="0027743D" w:rsidRPr="00B448C7" w:rsidRDefault="0027743D" w:rsidP="00324681">
            <w:pPr>
              <w:pStyle w:val="Table-Text"/>
            </w:pPr>
            <w:r w:rsidRPr="00B448C7">
              <w:t>CEPCI</w:t>
            </w:r>
          </w:p>
        </w:tc>
        <w:tc>
          <w:tcPr>
            <w:tcW w:w="643" w:type="pct"/>
            <w:tcBorders>
              <w:top w:val="nil"/>
              <w:left w:val="single" w:sz="8" w:space="0" w:color="auto"/>
              <w:bottom w:val="single" w:sz="4" w:space="0" w:color="auto"/>
              <w:right w:val="single" w:sz="4" w:space="0" w:color="auto"/>
            </w:tcBorders>
            <w:shd w:val="clear" w:color="auto" w:fill="auto"/>
            <w:noWrap/>
            <w:vAlign w:val="center"/>
            <w:hideMark/>
          </w:tcPr>
          <w:p w14:paraId="3284F952" w14:textId="77777777" w:rsidR="0027743D" w:rsidRPr="00B448C7" w:rsidRDefault="4843E10E" w:rsidP="3328C818">
            <w:pPr>
              <w:pStyle w:val="Table-Text"/>
              <w:jc w:val="center"/>
            </w:pPr>
            <w:r>
              <w:t>607.5</w:t>
            </w:r>
          </w:p>
        </w:tc>
        <w:tc>
          <w:tcPr>
            <w:tcW w:w="643" w:type="pct"/>
            <w:tcBorders>
              <w:top w:val="nil"/>
              <w:left w:val="nil"/>
              <w:bottom w:val="single" w:sz="4" w:space="0" w:color="auto"/>
              <w:right w:val="single" w:sz="4" w:space="0" w:color="auto"/>
            </w:tcBorders>
            <w:shd w:val="clear" w:color="auto" w:fill="auto"/>
            <w:noWrap/>
            <w:vAlign w:val="center"/>
            <w:hideMark/>
          </w:tcPr>
          <w:p w14:paraId="325D8D04" w14:textId="77777777" w:rsidR="0027743D" w:rsidRPr="00B448C7" w:rsidRDefault="4843E10E" w:rsidP="3328C818">
            <w:pPr>
              <w:pStyle w:val="Table-Text"/>
              <w:jc w:val="center"/>
            </w:pPr>
            <w:r>
              <w:t>607.5</w:t>
            </w:r>
          </w:p>
        </w:tc>
        <w:tc>
          <w:tcPr>
            <w:tcW w:w="700" w:type="pct"/>
            <w:tcBorders>
              <w:top w:val="nil"/>
              <w:left w:val="nil"/>
              <w:bottom w:val="single" w:sz="4" w:space="0" w:color="auto"/>
              <w:right w:val="single" w:sz="4" w:space="0" w:color="auto"/>
            </w:tcBorders>
            <w:shd w:val="clear" w:color="auto" w:fill="auto"/>
            <w:noWrap/>
            <w:vAlign w:val="center"/>
            <w:hideMark/>
          </w:tcPr>
          <w:p w14:paraId="49F79E35" w14:textId="77777777" w:rsidR="0027743D" w:rsidRPr="00B448C7" w:rsidRDefault="4843E10E" w:rsidP="3328C818">
            <w:pPr>
              <w:pStyle w:val="Table-Text"/>
              <w:jc w:val="center"/>
            </w:pPr>
            <w:r>
              <w:t>607.5</w:t>
            </w:r>
          </w:p>
        </w:tc>
        <w:tc>
          <w:tcPr>
            <w:tcW w:w="700" w:type="pct"/>
            <w:tcBorders>
              <w:top w:val="nil"/>
              <w:left w:val="nil"/>
              <w:bottom w:val="single" w:sz="4" w:space="0" w:color="auto"/>
              <w:right w:val="single" w:sz="8" w:space="0" w:color="auto"/>
            </w:tcBorders>
            <w:shd w:val="clear" w:color="auto" w:fill="auto"/>
            <w:noWrap/>
            <w:vAlign w:val="center"/>
            <w:hideMark/>
          </w:tcPr>
          <w:p w14:paraId="3B7D233B" w14:textId="77777777" w:rsidR="0027743D" w:rsidRPr="00B448C7" w:rsidRDefault="4843E10E" w:rsidP="3328C818">
            <w:pPr>
              <w:pStyle w:val="Table-Text"/>
              <w:jc w:val="center"/>
            </w:pPr>
            <w:r>
              <w:t>607.5</w:t>
            </w:r>
          </w:p>
        </w:tc>
      </w:tr>
      <w:tr w:rsidR="0027743D" w:rsidRPr="0027743D" w14:paraId="067A1DE7" w14:textId="77777777" w:rsidTr="3328C818">
        <w:trPr>
          <w:trHeight w:hRule="exact" w:val="288"/>
        </w:trPr>
        <w:tc>
          <w:tcPr>
            <w:tcW w:w="2313" w:type="pct"/>
            <w:tcBorders>
              <w:top w:val="nil"/>
              <w:left w:val="single" w:sz="8" w:space="0" w:color="auto"/>
              <w:bottom w:val="single" w:sz="4" w:space="0" w:color="auto"/>
              <w:right w:val="nil"/>
            </w:tcBorders>
            <w:shd w:val="clear" w:color="auto" w:fill="auto"/>
            <w:noWrap/>
            <w:vAlign w:val="bottom"/>
            <w:hideMark/>
          </w:tcPr>
          <w:p w14:paraId="60644AF1" w14:textId="77777777" w:rsidR="0027743D" w:rsidRPr="00B448C7" w:rsidRDefault="0027743D" w:rsidP="00324681">
            <w:pPr>
              <w:pStyle w:val="Table-Text"/>
            </w:pPr>
            <w:r w:rsidRPr="00B448C7">
              <w:t xml:space="preserve">Capital Cost </w:t>
            </w:r>
          </w:p>
        </w:tc>
        <w:tc>
          <w:tcPr>
            <w:tcW w:w="643" w:type="pct"/>
            <w:tcBorders>
              <w:top w:val="nil"/>
              <w:left w:val="single" w:sz="8" w:space="0" w:color="auto"/>
              <w:bottom w:val="single" w:sz="4" w:space="0" w:color="auto"/>
              <w:right w:val="single" w:sz="4" w:space="0" w:color="auto"/>
            </w:tcBorders>
            <w:shd w:val="clear" w:color="auto" w:fill="auto"/>
            <w:noWrap/>
            <w:vAlign w:val="center"/>
            <w:hideMark/>
          </w:tcPr>
          <w:p w14:paraId="029BFB90" w14:textId="77777777" w:rsidR="0027743D" w:rsidRPr="00B448C7" w:rsidRDefault="4843E10E" w:rsidP="3328C818">
            <w:pPr>
              <w:pStyle w:val="Table-Text"/>
              <w:jc w:val="center"/>
            </w:pPr>
            <w:r>
              <w:t xml:space="preserve"> $ 2,522,567 </w:t>
            </w:r>
          </w:p>
        </w:tc>
        <w:tc>
          <w:tcPr>
            <w:tcW w:w="643" w:type="pct"/>
            <w:tcBorders>
              <w:top w:val="nil"/>
              <w:left w:val="nil"/>
              <w:bottom w:val="single" w:sz="4" w:space="0" w:color="auto"/>
              <w:right w:val="single" w:sz="4" w:space="0" w:color="auto"/>
            </w:tcBorders>
            <w:shd w:val="clear" w:color="auto" w:fill="auto"/>
            <w:noWrap/>
            <w:vAlign w:val="center"/>
            <w:hideMark/>
          </w:tcPr>
          <w:p w14:paraId="350E6807" w14:textId="77777777" w:rsidR="0027743D" w:rsidRPr="00B448C7" w:rsidRDefault="4843E10E" w:rsidP="3328C818">
            <w:pPr>
              <w:pStyle w:val="Table-Text"/>
              <w:jc w:val="center"/>
            </w:pPr>
            <w:r>
              <w:t xml:space="preserve"> $ 2,658,260 </w:t>
            </w:r>
          </w:p>
        </w:tc>
        <w:tc>
          <w:tcPr>
            <w:tcW w:w="700" w:type="pct"/>
            <w:tcBorders>
              <w:top w:val="nil"/>
              <w:left w:val="nil"/>
              <w:bottom w:val="single" w:sz="4" w:space="0" w:color="auto"/>
              <w:right w:val="single" w:sz="4" w:space="0" w:color="auto"/>
            </w:tcBorders>
            <w:shd w:val="clear" w:color="auto" w:fill="auto"/>
            <w:noWrap/>
            <w:vAlign w:val="center"/>
            <w:hideMark/>
          </w:tcPr>
          <w:p w14:paraId="04B9AE8A" w14:textId="77777777" w:rsidR="0027743D" w:rsidRPr="00B448C7" w:rsidRDefault="4843E10E" w:rsidP="3328C818">
            <w:pPr>
              <w:pStyle w:val="Table-Text"/>
              <w:jc w:val="center"/>
            </w:pPr>
            <w:r>
              <w:t xml:space="preserve"> $   8,031,851 </w:t>
            </w:r>
          </w:p>
        </w:tc>
        <w:tc>
          <w:tcPr>
            <w:tcW w:w="700" w:type="pct"/>
            <w:tcBorders>
              <w:top w:val="nil"/>
              <w:left w:val="nil"/>
              <w:bottom w:val="single" w:sz="4" w:space="0" w:color="auto"/>
              <w:right w:val="single" w:sz="8" w:space="0" w:color="auto"/>
            </w:tcBorders>
            <w:shd w:val="clear" w:color="auto" w:fill="auto"/>
            <w:noWrap/>
            <w:vAlign w:val="center"/>
            <w:hideMark/>
          </w:tcPr>
          <w:p w14:paraId="62698E04" w14:textId="77777777" w:rsidR="0027743D" w:rsidRPr="00B448C7" w:rsidRDefault="4843E10E" w:rsidP="3328C818">
            <w:pPr>
              <w:pStyle w:val="Table-Text"/>
              <w:jc w:val="center"/>
            </w:pPr>
            <w:r>
              <w:t xml:space="preserve"> $   8,031,851 </w:t>
            </w:r>
          </w:p>
        </w:tc>
      </w:tr>
      <w:tr w:rsidR="0027743D" w:rsidRPr="0027743D" w14:paraId="448C4B1F" w14:textId="77777777" w:rsidTr="3328C818">
        <w:trPr>
          <w:trHeight w:hRule="exact" w:val="288"/>
        </w:trPr>
        <w:tc>
          <w:tcPr>
            <w:tcW w:w="2313" w:type="pct"/>
            <w:tcBorders>
              <w:top w:val="nil"/>
              <w:left w:val="single" w:sz="8" w:space="0" w:color="auto"/>
              <w:bottom w:val="single" w:sz="4" w:space="0" w:color="auto"/>
              <w:right w:val="nil"/>
            </w:tcBorders>
            <w:shd w:val="clear" w:color="auto" w:fill="auto"/>
            <w:noWrap/>
            <w:vAlign w:val="bottom"/>
            <w:hideMark/>
          </w:tcPr>
          <w:p w14:paraId="15D9D05B" w14:textId="77777777" w:rsidR="0027743D" w:rsidRPr="00B448C7" w:rsidRDefault="0027743D" w:rsidP="00324681">
            <w:pPr>
              <w:pStyle w:val="Table-Text"/>
            </w:pPr>
            <w:r w:rsidRPr="00B448C7">
              <w:t>Interest rate (%)</w:t>
            </w:r>
          </w:p>
        </w:tc>
        <w:tc>
          <w:tcPr>
            <w:tcW w:w="643" w:type="pct"/>
            <w:tcBorders>
              <w:top w:val="nil"/>
              <w:left w:val="single" w:sz="8" w:space="0" w:color="auto"/>
              <w:bottom w:val="single" w:sz="4" w:space="0" w:color="auto"/>
              <w:right w:val="single" w:sz="4" w:space="0" w:color="auto"/>
            </w:tcBorders>
            <w:shd w:val="clear" w:color="auto" w:fill="auto"/>
            <w:noWrap/>
            <w:vAlign w:val="center"/>
            <w:hideMark/>
          </w:tcPr>
          <w:p w14:paraId="601AF7B1" w14:textId="77777777" w:rsidR="0027743D" w:rsidRPr="00B448C7" w:rsidRDefault="4843E10E" w:rsidP="3328C818">
            <w:pPr>
              <w:pStyle w:val="Table-Text"/>
              <w:jc w:val="center"/>
            </w:pPr>
            <w:r>
              <w:t>3.50</w:t>
            </w:r>
          </w:p>
        </w:tc>
        <w:tc>
          <w:tcPr>
            <w:tcW w:w="643" w:type="pct"/>
            <w:tcBorders>
              <w:top w:val="nil"/>
              <w:left w:val="nil"/>
              <w:bottom w:val="single" w:sz="4" w:space="0" w:color="auto"/>
              <w:right w:val="single" w:sz="4" w:space="0" w:color="auto"/>
            </w:tcBorders>
            <w:shd w:val="clear" w:color="auto" w:fill="auto"/>
            <w:noWrap/>
            <w:vAlign w:val="center"/>
            <w:hideMark/>
          </w:tcPr>
          <w:p w14:paraId="059D29D4" w14:textId="77777777" w:rsidR="0027743D" w:rsidRPr="00B448C7" w:rsidRDefault="4843E10E" w:rsidP="3328C818">
            <w:pPr>
              <w:pStyle w:val="Table-Text"/>
              <w:jc w:val="center"/>
            </w:pPr>
            <w:r>
              <w:t>3.50</w:t>
            </w:r>
          </w:p>
        </w:tc>
        <w:tc>
          <w:tcPr>
            <w:tcW w:w="700" w:type="pct"/>
            <w:tcBorders>
              <w:top w:val="nil"/>
              <w:left w:val="nil"/>
              <w:bottom w:val="single" w:sz="4" w:space="0" w:color="auto"/>
              <w:right w:val="single" w:sz="4" w:space="0" w:color="auto"/>
            </w:tcBorders>
            <w:shd w:val="clear" w:color="auto" w:fill="auto"/>
            <w:noWrap/>
            <w:vAlign w:val="center"/>
            <w:hideMark/>
          </w:tcPr>
          <w:p w14:paraId="795A6C66" w14:textId="77777777" w:rsidR="0027743D" w:rsidRPr="00B448C7" w:rsidRDefault="4843E10E" w:rsidP="3328C818">
            <w:pPr>
              <w:pStyle w:val="Table-Text"/>
              <w:jc w:val="center"/>
            </w:pPr>
            <w:r>
              <w:t>3.50</w:t>
            </w:r>
          </w:p>
        </w:tc>
        <w:tc>
          <w:tcPr>
            <w:tcW w:w="700" w:type="pct"/>
            <w:tcBorders>
              <w:top w:val="nil"/>
              <w:left w:val="nil"/>
              <w:bottom w:val="single" w:sz="4" w:space="0" w:color="auto"/>
              <w:right w:val="single" w:sz="8" w:space="0" w:color="auto"/>
            </w:tcBorders>
            <w:shd w:val="clear" w:color="auto" w:fill="auto"/>
            <w:noWrap/>
            <w:vAlign w:val="center"/>
            <w:hideMark/>
          </w:tcPr>
          <w:p w14:paraId="1CFD82B6" w14:textId="77777777" w:rsidR="0027743D" w:rsidRPr="00B448C7" w:rsidRDefault="4843E10E" w:rsidP="3328C818">
            <w:pPr>
              <w:pStyle w:val="Table-Text"/>
              <w:jc w:val="center"/>
            </w:pPr>
            <w:r>
              <w:t>3.50</w:t>
            </w:r>
          </w:p>
        </w:tc>
      </w:tr>
      <w:tr w:rsidR="0027743D" w:rsidRPr="0027743D" w14:paraId="2CDB4297" w14:textId="77777777" w:rsidTr="3328C818">
        <w:trPr>
          <w:trHeight w:hRule="exact" w:val="288"/>
        </w:trPr>
        <w:tc>
          <w:tcPr>
            <w:tcW w:w="2313" w:type="pct"/>
            <w:tcBorders>
              <w:top w:val="nil"/>
              <w:left w:val="single" w:sz="8" w:space="0" w:color="auto"/>
              <w:bottom w:val="single" w:sz="4" w:space="0" w:color="auto"/>
              <w:right w:val="nil"/>
            </w:tcBorders>
            <w:shd w:val="clear" w:color="auto" w:fill="auto"/>
            <w:noWrap/>
            <w:vAlign w:val="bottom"/>
            <w:hideMark/>
          </w:tcPr>
          <w:p w14:paraId="552AB748" w14:textId="77777777" w:rsidR="0027743D" w:rsidRPr="00B448C7" w:rsidRDefault="0027743D" w:rsidP="00324681">
            <w:pPr>
              <w:pStyle w:val="Table-Text"/>
            </w:pPr>
            <w:r w:rsidRPr="00B448C7">
              <w:t>Control Equipment Life (</w:t>
            </w:r>
            <w:proofErr w:type="spellStart"/>
            <w:r w:rsidRPr="00B448C7">
              <w:t>yr</w:t>
            </w:r>
            <w:proofErr w:type="spellEnd"/>
            <w:r w:rsidRPr="00B448C7">
              <w:t>)</w:t>
            </w:r>
          </w:p>
        </w:tc>
        <w:tc>
          <w:tcPr>
            <w:tcW w:w="643" w:type="pct"/>
            <w:tcBorders>
              <w:top w:val="nil"/>
              <w:left w:val="single" w:sz="8" w:space="0" w:color="auto"/>
              <w:bottom w:val="single" w:sz="4" w:space="0" w:color="auto"/>
              <w:right w:val="single" w:sz="4" w:space="0" w:color="auto"/>
            </w:tcBorders>
            <w:shd w:val="clear" w:color="auto" w:fill="auto"/>
            <w:noWrap/>
            <w:vAlign w:val="center"/>
            <w:hideMark/>
          </w:tcPr>
          <w:p w14:paraId="62C628E2" w14:textId="77777777" w:rsidR="0027743D" w:rsidRPr="00B448C7" w:rsidRDefault="4843E10E" w:rsidP="3328C818">
            <w:pPr>
              <w:pStyle w:val="Table-Text"/>
              <w:jc w:val="center"/>
            </w:pPr>
            <w:r>
              <w:t>20</w:t>
            </w:r>
          </w:p>
        </w:tc>
        <w:tc>
          <w:tcPr>
            <w:tcW w:w="643" w:type="pct"/>
            <w:tcBorders>
              <w:top w:val="nil"/>
              <w:left w:val="nil"/>
              <w:bottom w:val="single" w:sz="4" w:space="0" w:color="auto"/>
              <w:right w:val="single" w:sz="4" w:space="0" w:color="auto"/>
            </w:tcBorders>
            <w:shd w:val="clear" w:color="auto" w:fill="auto"/>
            <w:noWrap/>
            <w:vAlign w:val="center"/>
            <w:hideMark/>
          </w:tcPr>
          <w:p w14:paraId="671B5D3C" w14:textId="77777777" w:rsidR="0027743D" w:rsidRPr="00B448C7" w:rsidRDefault="4843E10E" w:rsidP="3328C818">
            <w:pPr>
              <w:pStyle w:val="Table-Text"/>
              <w:jc w:val="center"/>
            </w:pPr>
            <w:r>
              <w:t>20</w:t>
            </w:r>
          </w:p>
        </w:tc>
        <w:tc>
          <w:tcPr>
            <w:tcW w:w="700" w:type="pct"/>
            <w:tcBorders>
              <w:top w:val="nil"/>
              <w:left w:val="nil"/>
              <w:bottom w:val="single" w:sz="4" w:space="0" w:color="auto"/>
              <w:right w:val="single" w:sz="4" w:space="0" w:color="auto"/>
            </w:tcBorders>
            <w:shd w:val="clear" w:color="auto" w:fill="auto"/>
            <w:noWrap/>
            <w:vAlign w:val="center"/>
            <w:hideMark/>
          </w:tcPr>
          <w:p w14:paraId="1FD4BFA9" w14:textId="77777777" w:rsidR="0027743D" w:rsidRPr="00B448C7" w:rsidRDefault="4843E10E" w:rsidP="3328C818">
            <w:pPr>
              <w:pStyle w:val="Table-Text"/>
              <w:jc w:val="center"/>
              <w:rPr>
                <w:highlight w:val="yellow"/>
              </w:rPr>
            </w:pPr>
            <w:r w:rsidRPr="3328C818">
              <w:rPr>
                <w:highlight w:val="yellow"/>
              </w:rPr>
              <w:t>25</w:t>
            </w:r>
          </w:p>
        </w:tc>
        <w:tc>
          <w:tcPr>
            <w:tcW w:w="700" w:type="pct"/>
            <w:tcBorders>
              <w:top w:val="nil"/>
              <w:left w:val="nil"/>
              <w:bottom w:val="single" w:sz="4" w:space="0" w:color="auto"/>
              <w:right w:val="single" w:sz="8" w:space="0" w:color="auto"/>
            </w:tcBorders>
            <w:shd w:val="clear" w:color="auto" w:fill="auto"/>
            <w:noWrap/>
            <w:vAlign w:val="center"/>
            <w:hideMark/>
          </w:tcPr>
          <w:p w14:paraId="3FC96959" w14:textId="77777777" w:rsidR="0027743D" w:rsidRPr="00B448C7" w:rsidRDefault="4843E10E" w:rsidP="3328C818">
            <w:pPr>
              <w:pStyle w:val="Table-Text"/>
              <w:jc w:val="center"/>
              <w:rPr>
                <w:highlight w:val="yellow"/>
              </w:rPr>
            </w:pPr>
            <w:r w:rsidRPr="3328C818">
              <w:rPr>
                <w:highlight w:val="yellow"/>
              </w:rPr>
              <w:t>20</w:t>
            </w:r>
          </w:p>
        </w:tc>
      </w:tr>
      <w:tr w:rsidR="0027743D" w:rsidRPr="0027743D" w14:paraId="59804383" w14:textId="77777777" w:rsidTr="3328C818">
        <w:trPr>
          <w:trHeight w:hRule="exact" w:val="288"/>
        </w:trPr>
        <w:tc>
          <w:tcPr>
            <w:tcW w:w="2313" w:type="pct"/>
            <w:tcBorders>
              <w:top w:val="nil"/>
              <w:left w:val="single" w:sz="8" w:space="0" w:color="auto"/>
              <w:bottom w:val="single" w:sz="4" w:space="0" w:color="auto"/>
              <w:right w:val="nil"/>
            </w:tcBorders>
            <w:shd w:val="clear" w:color="auto" w:fill="auto"/>
            <w:noWrap/>
            <w:vAlign w:val="bottom"/>
            <w:hideMark/>
          </w:tcPr>
          <w:p w14:paraId="72966ABA" w14:textId="77777777" w:rsidR="0027743D" w:rsidRPr="00B448C7" w:rsidRDefault="0027743D" w:rsidP="00324681">
            <w:pPr>
              <w:pStyle w:val="Table-Text"/>
            </w:pPr>
            <w:r w:rsidRPr="00B448C7">
              <w:t>Capital Recovery Cost</w:t>
            </w:r>
          </w:p>
        </w:tc>
        <w:tc>
          <w:tcPr>
            <w:tcW w:w="643" w:type="pct"/>
            <w:tcBorders>
              <w:top w:val="nil"/>
              <w:left w:val="single" w:sz="8" w:space="0" w:color="auto"/>
              <w:bottom w:val="single" w:sz="4" w:space="0" w:color="auto"/>
              <w:right w:val="single" w:sz="4" w:space="0" w:color="auto"/>
            </w:tcBorders>
            <w:shd w:val="clear" w:color="auto" w:fill="auto"/>
            <w:noWrap/>
            <w:vAlign w:val="center"/>
            <w:hideMark/>
          </w:tcPr>
          <w:p w14:paraId="0F89538A" w14:textId="77777777" w:rsidR="0027743D" w:rsidRPr="00B448C7" w:rsidRDefault="4843E10E" w:rsidP="3328C818">
            <w:pPr>
              <w:pStyle w:val="Table-Text"/>
              <w:jc w:val="center"/>
            </w:pPr>
            <w:r>
              <w:t xml:space="preserve"> $    177,589 </w:t>
            </w:r>
          </w:p>
        </w:tc>
        <w:tc>
          <w:tcPr>
            <w:tcW w:w="643" w:type="pct"/>
            <w:tcBorders>
              <w:top w:val="nil"/>
              <w:left w:val="nil"/>
              <w:bottom w:val="single" w:sz="4" w:space="0" w:color="auto"/>
              <w:right w:val="single" w:sz="4" w:space="0" w:color="auto"/>
            </w:tcBorders>
            <w:shd w:val="clear" w:color="auto" w:fill="auto"/>
            <w:noWrap/>
            <w:vAlign w:val="center"/>
            <w:hideMark/>
          </w:tcPr>
          <w:p w14:paraId="22569340" w14:textId="77777777" w:rsidR="0027743D" w:rsidRPr="00B448C7" w:rsidRDefault="4843E10E" w:rsidP="3328C818">
            <w:pPr>
              <w:pStyle w:val="Table-Text"/>
              <w:jc w:val="center"/>
            </w:pPr>
            <w:r>
              <w:t xml:space="preserve"> $    187,141 </w:t>
            </w:r>
          </w:p>
        </w:tc>
        <w:tc>
          <w:tcPr>
            <w:tcW w:w="700" w:type="pct"/>
            <w:tcBorders>
              <w:top w:val="nil"/>
              <w:left w:val="nil"/>
              <w:bottom w:val="single" w:sz="4" w:space="0" w:color="auto"/>
              <w:right w:val="single" w:sz="4" w:space="0" w:color="auto"/>
            </w:tcBorders>
            <w:shd w:val="clear" w:color="auto" w:fill="auto"/>
            <w:noWrap/>
            <w:vAlign w:val="center"/>
            <w:hideMark/>
          </w:tcPr>
          <w:p w14:paraId="6E5BC7FA" w14:textId="77777777" w:rsidR="0027743D" w:rsidRPr="00B448C7" w:rsidRDefault="4843E10E" w:rsidP="3328C818">
            <w:pPr>
              <w:pStyle w:val="Table-Text"/>
              <w:jc w:val="center"/>
            </w:pPr>
            <w:r>
              <w:t xml:space="preserve"> $      487,533 </w:t>
            </w:r>
          </w:p>
        </w:tc>
        <w:tc>
          <w:tcPr>
            <w:tcW w:w="700" w:type="pct"/>
            <w:tcBorders>
              <w:top w:val="nil"/>
              <w:left w:val="nil"/>
              <w:bottom w:val="single" w:sz="4" w:space="0" w:color="auto"/>
              <w:right w:val="single" w:sz="8" w:space="0" w:color="auto"/>
            </w:tcBorders>
            <w:shd w:val="clear" w:color="auto" w:fill="auto"/>
            <w:noWrap/>
            <w:vAlign w:val="center"/>
            <w:hideMark/>
          </w:tcPr>
          <w:p w14:paraId="5213B7D5" w14:textId="77777777" w:rsidR="0027743D" w:rsidRPr="00B448C7" w:rsidRDefault="4843E10E" w:rsidP="3328C818">
            <w:pPr>
              <w:pStyle w:val="Table-Text"/>
              <w:jc w:val="center"/>
            </w:pPr>
            <w:r>
              <w:t xml:space="preserve"> $      565,442 </w:t>
            </w:r>
          </w:p>
        </w:tc>
      </w:tr>
      <w:tr w:rsidR="0027743D" w:rsidRPr="0027743D" w14:paraId="422FD483" w14:textId="77777777" w:rsidTr="3328C818">
        <w:trPr>
          <w:trHeight w:hRule="exact" w:val="288"/>
        </w:trPr>
        <w:tc>
          <w:tcPr>
            <w:tcW w:w="2313" w:type="pct"/>
            <w:tcBorders>
              <w:top w:val="nil"/>
              <w:left w:val="single" w:sz="8" w:space="0" w:color="auto"/>
              <w:bottom w:val="single" w:sz="4" w:space="0" w:color="auto"/>
              <w:right w:val="nil"/>
            </w:tcBorders>
            <w:shd w:val="clear" w:color="auto" w:fill="auto"/>
            <w:noWrap/>
            <w:vAlign w:val="bottom"/>
            <w:hideMark/>
          </w:tcPr>
          <w:p w14:paraId="28AAF054" w14:textId="77777777" w:rsidR="0027743D" w:rsidRPr="00B448C7" w:rsidRDefault="0027743D" w:rsidP="00324681">
            <w:pPr>
              <w:pStyle w:val="Table-Text"/>
            </w:pPr>
            <w:r w:rsidRPr="00B448C7">
              <w:t>Indirect Cost/Fixed O&amp;M</w:t>
            </w:r>
          </w:p>
        </w:tc>
        <w:tc>
          <w:tcPr>
            <w:tcW w:w="643" w:type="pct"/>
            <w:tcBorders>
              <w:top w:val="nil"/>
              <w:left w:val="single" w:sz="8" w:space="0" w:color="auto"/>
              <w:bottom w:val="single" w:sz="4" w:space="0" w:color="auto"/>
              <w:right w:val="single" w:sz="4" w:space="0" w:color="auto"/>
            </w:tcBorders>
            <w:shd w:val="clear" w:color="auto" w:fill="auto"/>
            <w:noWrap/>
            <w:vAlign w:val="center"/>
            <w:hideMark/>
          </w:tcPr>
          <w:p w14:paraId="40D28408" w14:textId="77777777" w:rsidR="0027743D" w:rsidRPr="00B448C7" w:rsidRDefault="4843E10E" w:rsidP="3328C818">
            <w:pPr>
              <w:pStyle w:val="Table-Text"/>
              <w:jc w:val="center"/>
            </w:pPr>
            <w:r>
              <w:t xml:space="preserve"> $    178,724 </w:t>
            </w:r>
          </w:p>
        </w:tc>
        <w:tc>
          <w:tcPr>
            <w:tcW w:w="643" w:type="pct"/>
            <w:tcBorders>
              <w:top w:val="nil"/>
              <w:left w:val="nil"/>
              <w:bottom w:val="single" w:sz="4" w:space="0" w:color="auto"/>
              <w:right w:val="single" w:sz="4" w:space="0" w:color="auto"/>
            </w:tcBorders>
            <w:shd w:val="clear" w:color="auto" w:fill="auto"/>
            <w:noWrap/>
            <w:vAlign w:val="center"/>
            <w:hideMark/>
          </w:tcPr>
          <w:p w14:paraId="6720059D" w14:textId="77777777" w:rsidR="0027743D" w:rsidRPr="00B448C7" w:rsidRDefault="4843E10E" w:rsidP="3328C818">
            <w:pPr>
              <w:pStyle w:val="Table-Text"/>
              <w:jc w:val="center"/>
            </w:pPr>
            <w:r>
              <w:t xml:space="preserve"> $    188,338 </w:t>
            </w:r>
          </w:p>
        </w:tc>
        <w:tc>
          <w:tcPr>
            <w:tcW w:w="700" w:type="pct"/>
            <w:tcBorders>
              <w:top w:val="nil"/>
              <w:left w:val="nil"/>
              <w:bottom w:val="single" w:sz="4" w:space="0" w:color="auto"/>
              <w:right w:val="single" w:sz="4" w:space="0" w:color="auto"/>
            </w:tcBorders>
            <w:shd w:val="clear" w:color="auto" w:fill="auto"/>
            <w:noWrap/>
            <w:vAlign w:val="center"/>
            <w:hideMark/>
          </w:tcPr>
          <w:p w14:paraId="528448A7" w14:textId="77777777" w:rsidR="0027743D" w:rsidRPr="00B448C7" w:rsidRDefault="4843E10E" w:rsidP="3328C818">
            <w:pPr>
              <w:pStyle w:val="Table-Text"/>
              <w:jc w:val="center"/>
            </w:pPr>
            <w:r>
              <w:t xml:space="preserve"> $      490,542 </w:t>
            </w:r>
          </w:p>
        </w:tc>
        <w:tc>
          <w:tcPr>
            <w:tcW w:w="700" w:type="pct"/>
            <w:tcBorders>
              <w:top w:val="nil"/>
              <w:left w:val="nil"/>
              <w:bottom w:val="single" w:sz="4" w:space="0" w:color="auto"/>
              <w:right w:val="single" w:sz="8" w:space="0" w:color="auto"/>
            </w:tcBorders>
            <w:shd w:val="clear" w:color="auto" w:fill="auto"/>
            <w:noWrap/>
            <w:vAlign w:val="center"/>
            <w:hideMark/>
          </w:tcPr>
          <w:p w14:paraId="37E408BC" w14:textId="77777777" w:rsidR="0027743D" w:rsidRPr="00B448C7" w:rsidRDefault="4843E10E" w:rsidP="3328C818">
            <w:pPr>
              <w:pStyle w:val="Table-Text"/>
              <w:jc w:val="center"/>
            </w:pPr>
            <w:r>
              <w:t xml:space="preserve"> $      568,451 </w:t>
            </w:r>
          </w:p>
        </w:tc>
      </w:tr>
      <w:tr w:rsidR="0027743D" w:rsidRPr="0027743D" w14:paraId="427404D7" w14:textId="77777777" w:rsidTr="3328C818">
        <w:trPr>
          <w:trHeight w:hRule="exact" w:val="288"/>
        </w:trPr>
        <w:tc>
          <w:tcPr>
            <w:tcW w:w="2313" w:type="pct"/>
            <w:tcBorders>
              <w:top w:val="nil"/>
              <w:left w:val="single" w:sz="8" w:space="0" w:color="auto"/>
              <w:bottom w:val="single" w:sz="4" w:space="0" w:color="auto"/>
              <w:right w:val="nil"/>
            </w:tcBorders>
            <w:shd w:val="clear" w:color="auto" w:fill="auto"/>
            <w:noWrap/>
            <w:vAlign w:val="bottom"/>
            <w:hideMark/>
          </w:tcPr>
          <w:p w14:paraId="3FF8729E" w14:textId="77777777" w:rsidR="0027743D" w:rsidRPr="00B448C7" w:rsidRDefault="0027743D" w:rsidP="00324681">
            <w:pPr>
              <w:pStyle w:val="Table-Text"/>
            </w:pPr>
            <w:r w:rsidRPr="00B448C7">
              <w:t>Catalyst Life (hours)</w:t>
            </w:r>
          </w:p>
        </w:tc>
        <w:tc>
          <w:tcPr>
            <w:tcW w:w="643" w:type="pct"/>
            <w:tcBorders>
              <w:top w:val="nil"/>
              <w:left w:val="single" w:sz="8" w:space="0" w:color="auto"/>
              <w:bottom w:val="single" w:sz="4" w:space="0" w:color="auto"/>
              <w:right w:val="single" w:sz="4" w:space="0" w:color="auto"/>
            </w:tcBorders>
            <w:shd w:val="clear" w:color="auto" w:fill="auto"/>
            <w:noWrap/>
            <w:vAlign w:val="center"/>
            <w:hideMark/>
          </w:tcPr>
          <w:p w14:paraId="3951E6C0" w14:textId="77777777" w:rsidR="0027743D" w:rsidRPr="00B448C7" w:rsidRDefault="4843E10E" w:rsidP="3328C818">
            <w:pPr>
              <w:pStyle w:val="Table-Text"/>
              <w:jc w:val="center"/>
            </w:pPr>
            <w:r>
              <w:t> </w:t>
            </w:r>
          </w:p>
        </w:tc>
        <w:tc>
          <w:tcPr>
            <w:tcW w:w="643" w:type="pct"/>
            <w:tcBorders>
              <w:top w:val="nil"/>
              <w:left w:val="nil"/>
              <w:bottom w:val="single" w:sz="4" w:space="0" w:color="auto"/>
              <w:right w:val="single" w:sz="4" w:space="0" w:color="auto"/>
            </w:tcBorders>
            <w:shd w:val="clear" w:color="auto" w:fill="auto"/>
            <w:noWrap/>
            <w:vAlign w:val="center"/>
            <w:hideMark/>
          </w:tcPr>
          <w:p w14:paraId="160E14F1" w14:textId="77777777" w:rsidR="0027743D" w:rsidRPr="00B448C7" w:rsidRDefault="4843E10E" w:rsidP="3328C818">
            <w:pPr>
              <w:pStyle w:val="Table-Text"/>
              <w:jc w:val="center"/>
            </w:pPr>
            <w:r>
              <w:t> </w:t>
            </w:r>
          </w:p>
        </w:tc>
        <w:tc>
          <w:tcPr>
            <w:tcW w:w="700" w:type="pct"/>
            <w:tcBorders>
              <w:top w:val="nil"/>
              <w:left w:val="nil"/>
              <w:bottom w:val="single" w:sz="4" w:space="0" w:color="auto"/>
              <w:right w:val="single" w:sz="4" w:space="0" w:color="auto"/>
            </w:tcBorders>
            <w:shd w:val="clear" w:color="auto" w:fill="auto"/>
            <w:noWrap/>
            <w:vAlign w:val="center"/>
            <w:hideMark/>
          </w:tcPr>
          <w:p w14:paraId="35461614" w14:textId="77777777" w:rsidR="0027743D" w:rsidRPr="00B448C7" w:rsidRDefault="4843E10E" w:rsidP="3328C818">
            <w:pPr>
              <w:pStyle w:val="Table-Text"/>
              <w:jc w:val="center"/>
            </w:pPr>
            <w:r>
              <w:t xml:space="preserve">24,000 </w:t>
            </w:r>
          </w:p>
        </w:tc>
        <w:tc>
          <w:tcPr>
            <w:tcW w:w="700" w:type="pct"/>
            <w:tcBorders>
              <w:top w:val="nil"/>
              <w:left w:val="nil"/>
              <w:bottom w:val="single" w:sz="4" w:space="0" w:color="auto"/>
              <w:right w:val="single" w:sz="8" w:space="0" w:color="auto"/>
            </w:tcBorders>
            <w:shd w:val="clear" w:color="auto" w:fill="auto"/>
            <w:noWrap/>
            <w:vAlign w:val="center"/>
            <w:hideMark/>
          </w:tcPr>
          <w:p w14:paraId="5CC9BD67" w14:textId="77777777" w:rsidR="0027743D" w:rsidRPr="00B448C7" w:rsidRDefault="4843E10E" w:rsidP="3328C818">
            <w:pPr>
              <w:pStyle w:val="Table-Text"/>
              <w:jc w:val="center"/>
            </w:pPr>
            <w:r>
              <w:t xml:space="preserve">20,000 </w:t>
            </w:r>
          </w:p>
        </w:tc>
      </w:tr>
      <w:tr w:rsidR="0027743D" w:rsidRPr="0027743D" w14:paraId="7FF23116" w14:textId="77777777" w:rsidTr="3328C818">
        <w:trPr>
          <w:trHeight w:hRule="exact" w:val="288"/>
        </w:trPr>
        <w:tc>
          <w:tcPr>
            <w:tcW w:w="2313" w:type="pct"/>
            <w:tcBorders>
              <w:top w:val="nil"/>
              <w:left w:val="single" w:sz="8" w:space="0" w:color="auto"/>
              <w:bottom w:val="single" w:sz="4" w:space="0" w:color="auto"/>
              <w:right w:val="nil"/>
            </w:tcBorders>
            <w:shd w:val="clear" w:color="auto" w:fill="auto"/>
            <w:noWrap/>
            <w:vAlign w:val="bottom"/>
            <w:hideMark/>
          </w:tcPr>
          <w:p w14:paraId="77EA7F93" w14:textId="77777777" w:rsidR="0027743D" w:rsidRPr="00B448C7" w:rsidRDefault="0027743D" w:rsidP="00324681">
            <w:pPr>
              <w:pStyle w:val="Table-Text"/>
            </w:pPr>
            <w:r w:rsidRPr="00B448C7">
              <w:t>Direct Cost/Variable O&amp;M</w:t>
            </w:r>
          </w:p>
        </w:tc>
        <w:tc>
          <w:tcPr>
            <w:tcW w:w="643" w:type="pct"/>
            <w:tcBorders>
              <w:top w:val="nil"/>
              <w:left w:val="single" w:sz="8" w:space="0" w:color="auto"/>
              <w:bottom w:val="single" w:sz="4" w:space="0" w:color="auto"/>
              <w:right w:val="single" w:sz="4" w:space="0" w:color="auto"/>
            </w:tcBorders>
            <w:shd w:val="clear" w:color="auto" w:fill="auto"/>
            <w:noWrap/>
            <w:vAlign w:val="center"/>
            <w:hideMark/>
          </w:tcPr>
          <w:p w14:paraId="7A2D1193" w14:textId="77777777" w:rsidR="0027743D" w:rsidRPr="00B448C7" w:rsidRDefault="4843E10E" w:rsidP="3328C818">
            <w:pPr>
              <w:pStyle w:val="Table-Text"/>
              <w:jc w:val="center"/>
            </w:pPr>
            <w:r>
              <w:t xml:space="preserve"> $      59,483 </w:t>
            </w:r>
          </w:p>
        </w:tc>
        <w:tc>
          <w:tcPr>
            <w:tcW w:w="643" w:type="pct"/>
            <w:tcBorders>
              <w:top w:val="nil"/>
              <w:left w:val="nil"/>
              <w:bottom w:val="single" w:sz="4" w:space="0" w:color="auto"/>
              <w:right w:val="single" w:sz="4" w:space="0" w:color="auto"/>
            </w:tcBorders>
            <w:shd w:val="clear" w:color="auto" w:fill="auto"/>
            <w:noWrap/>
            <w:vAlign w:val="center"/>
            <w:hideMark/>
          </w:tcPr>
          <w:p w14:paraId="2E083940" w14:textId="77777777" w:rsidR="0027743D" w:rsidRPr="00B448C7" w:rsidRDefault="4843E10E" w:rsidP="3328C818">
            <w:pPr>
              <w:pStyle w:val="Table-Text"/>
              <w:jc w:val="center"/>
            </w:pPr>
            <w:r>
              <w:t xml:space="preserve"> $      61,518 </w:t>
            </w:r>
          </w:p>
        </w:tc>
        <w:tc>
          <w:tcPr>
            <w:tcW w:w="700" w:type="pct"/>
            <w:tcBorders>
              <w:top w:val="nil"/>
              <w:left w:val="nil"/>
              <w:bottom w:val="single" w:sz="4" w:space="0" w:color="auto"/>
              <w:right w:val="single" w:sz="4" w:space="0" w:color="auto"/>
            </w:tcBorders>
            <w:shd w:val="clear" w:color="auto" w:fill="auto"/>
            <w:noWrap/>
            <w:vAlign w:val="center"/>
            <w:hideMark/>
          </w:tcPr>
          <w:p w14:paraId="0C89280A" w14:textId="77777777" w:rsidR="0027743D" w:rsidRPr="00B448C7" w:rsidRDefault="4843E10E" w:rsidP="3328C818">
            <w:pPr>
              <w:pStyle w:val="Table-Text"/>
              <w:jc w:val="center"/>
            </w:pPr>
            <w:r>
              <w:t xml:space="preserve"> $      285,762 </w:t>
            </w:r>
          </w:p>
        </w:tc>
        <w:tc>
          <w:tcPr>
            <w:tcW w:w="700" w:type="pct"/>
            <w:tcBorders>
              <w:top w:val="nil"/>
              <w:left w:val="nil"/>
              <w:bottom w:val="single" w:sz="4" w:space="0" w:color="auto"/>
              <w:right w:val="single" w:sz="8" w:space="0" w:color="auto"/>
            </w:tcBorders>
            <w:shd w:val="clear" w:color="auto" w:fill="auto"/>
            <w:noWrap/>
            <w:vAlign w:val="center"/>
            <w:hideMark/>
          </w:tcPr>
          <w:p w14:paraId="04D1CEAB" w14:textId="77777777" w:rsidR="0027743D" w:rsidRPr="00B448C7" w:rsidRDefault="4843E10E" w:rsidP="3328C818">
            <w:pPr>
              <w:pStyle w:val="Table-Text"/>
              <w:jc w:val="center"/>
            </w:pPr>
            <w:r>
              <w:t xml:space="preserve"> $      336,571 </w:t>
            </w:r>
          </w:p>
        </w:tc>
      </w:tr>
      <w:tr w:rsidR="0027743D" w:rsidRPr="0027743D" w14:paraId="161F2660" w14:textId="77777777" w:rsidTr="3328C818">
        <w:trPr>
          <w:trHeight w:hRule="exact" w:val="288"/>
        </w:trPr>
        <w:tc>
          <w:tcPr>
            <w:tcW w:w="2313" w:type="pct"/>
            <w:tcBorders>
              <w:top w:val="nil"/>
              <w:left w:val="single" w:sz="8" w:space="0" w:color="auto"/>
              <w:bottom w:val="single" w:sz="4" w:space="0" w:color="auto"/>
              <w:right w:val="nil"/>
            </w:tcBorders>
            <w:shd w:val="clear" w:color="auto" w:fill="auto"/>
            <w:noWrap/>
            <w:vAlign w:val="bottom"/>
            <w:hideMark/>
          </w:tcPr>
          <w:p w14:paraId="09521753" w14:textId="77777777" w:rsidR="0027743D" w:rsidRPr="00B448C7" w:rsidRDefault="0027743D" w:rsidP="00324681">
            <w:pPr>
              <w:pStyle w:val="Table-Text"/>
            </w:pPr>
            <w:r w:rsidRPr="00B448C7">
              <w:t xml:space="preserve">Total Annual Cost </w:t>
            </w:r>
          </w:p>
        </w:tc>
        <w:tc>
          <w:tcPr>
            <w:tcW w:w="643" w:type="pct"/>
            <w:tcBorders>
              <w:top w:val="nil"/>
              <w:left w:val="single" w:sz="8" w:space="0" w:color="auto"/>
              <w:bottom w:val="single" w:sz="4" w:space="0" w:color="auto"/>
              <w:right w:val="single" w:sz="4" w:space="0" w:color="auto"/>
            </w:tcBorders>
            <w:shd w:val="clear" w:color="auto" w:fill="auto"/>
            <w:noWrap/>
            <w:vAlign w:val="center"/>
            <w:hideMark/>
          </w:tcPr>
          <w:p w14:paraId="2D558838" w14:textId="77777777" w:rsidR="0027743D" w:rsidRPr="00B448C7" w:rsidRDefault="4843E10E" w:rsidP="3328C818">
            <w:pPr>
              <w:pStyle w:val="Table-Text"/>
              <w:jc w:val="center"/>
            </w:pPr>
            <w:r>
              <w:t xml:space="preserve"> $    238,207 </w:t>
            </w:r>
          </w:p>
        </w:tc>
        <w:tc>
          <w:tcPr>
            <w:tcW w:w="643" w:type="pct"/>
            <w:tcBorders>
              <w:top w:val="nil"/>
              <w:left w:val="nil"/>
              <w:bottom w:val="single" w:sz="4" w:space="0" w:color="auto"/>
              <w:right w:val="single" w:sz="4" w:space="0" w:color="auto"/>
            </w:tcBorders>
            <w:shd w:val="clear" w:color="auto" w:fill="auto"/>
            <w:noWrap/>
            <w:vAlign w:val="center"/>
            <w:hideMark/>
          </w:tcPr>
          <w:p w14:paraId="4557A79B" w14:textId="77777777" w:rsidR="0027743D" w:rsidRPr="00B448C7" w:rsidRDefault="4843E10E" w:rsidP="3328C818">
            <w:pPr>
              <w:pStyle w:val="Table-Text"/>
              <w:jc w:val="center"/>
            </w:pPr>
            <w:r>
              <w:t xml:space="preserve"> $    249,856 </w:t>
            </w:r>
          </w:p>
        </w:tc>
        <w:tc>
          <w:tcPr>
            <w:tcW w:w="700" w:type="pct"/>
            <w:tcBorders>
              <w:top w:val="nil"/>
              <w:left w:val="nil"/>
              <w:bottom w:val="single" w:sz="4" w:space="0" w:color="auto"/>
              <w:right w:val="single" w:sz="4" w:space="0" w:color="auto"/>
            </w:tcBorders>
            <w:shd w:val="clear" w:color="auto" w:fill="auto"/>
            <w:noWrap/>
            <w:vAlign w:val="center"/>
            <w:hideMark/>
          </w:tcPr>
          <w:p w14:paraId="4EC5C84A" w14:textId="77777777" w:rsidR="0027743D" w:rsidRPr="00B448C7" w:rsidRDefault="4843E10E" w:rsidP="3328C818">
            <w:pPr>
              <w:pStyle w:val="Table-Text"/>
              <w:jc w:val="center"/>
            </w:pPr>
            <w:r>
              <w:t xml:space="preserve"> $      776,305 </w:t>
            </w:r>
          </w:p>
        </w:tc>
        <w:tc>
          <w:tcPr>
            <w:tcW w:w="700" w:type="pct"/>
            <w:tcBorders>
              <w:top w:val="nil"/>
              <w:left w:val="nil"/>
              <w:bottom w:val="single" w:sz="4" w:space="0" w:color="auto"/>
              <w:right w:val="single" w:sz="8" w:space="0" w:color="auto"/>
            </w:tcBorders>
            <w:shd w:val="clear" w:color="auto" w:fill="auto"/>
            <w:noWrap/>
            <w:vAlign w:val="center"/>
            <w:hideMark/>
          </w:tcPr>
          <w:p w14:paraId="14A196B4" w14:textId="77777777" w:rsidR="0027743D" w:rsidRPr="00B448C7" w:rsidRDefault="4843E10E" w:rsidP="3328C818">
            <w:pPr>
              <w:pStyle w:val="Table-Text"/>
              <w:jc w:val="center"/>
            </w:pPr>
            <w:r>
              <w:t xml:space="preserve"> $      905,022 </w:t>
            </w:r>
          </w:p>
        </w:tc>
      </w:tr>
      <w:tr w:rsidR="0027743D" w:rsidRPr="0027743D" w14:paraId="7C2B8EA8" w14:textId="77777777" w:rsidTr="3328C818">
        <w:trPr>
          <w:trHeight w:hRule="exact" w:val="288"/>
        </w:trPr>
        <w:tc>
          <w:tcPr>
            <w:tcW w:w="2313" w:type="pct"/>
            <w:tcBorders>
              <w:top w:val="nil"/>
              <w:left w:val="single" w:sz="8" w:space="0" w:color="auto"/>
              <w:bottom w:val="single" w:sz="4" w:space="0" w:color="auto"/>
              <w:right w:val="nil"/>
            </w:tcBorders>
            <w:shd w:val="clear" w:color="auto" w:fill="auto"/>
            <w:noWrap/>
            <w:vAlign w:val="bottom"/>
            <w:hideMark/>
          </w:tcPr>
          <w:p w14:paraId="440FE014" w14:textId="77777777" w:rsidR="0027743D" w:rsidRPr="00B448C7" w:rsidRDefault="0027743D" w:rsidP="00324681">
            <w:pPr>
              <w:pStyle w:val="Table-Text"/>
            </w:pPr>
            <w:r w:rsidRPr="00B448C7">
              <w:t>Uncontrolled NOx Emission Rate (</w:t>
            </w:r>
            <w:proofErr w:type="spellStart"/>
            <w:r w:rsidRPr="00B448C7">
              <w:t>lb</w:t>
            </w:r>
            <w:proofErr w:type="spellEnd"/>
            <w:r w:rsidRPr="00B448C7">
              <w:t>/</w:t>
            </w:r>
            <w:proofErr w:type="spellStart"/>
            <w:r w:rsidRPr="00B448C7">
              <w:t>mmBtu</w:t>
            </w:r>
            <w:proofErr w:type="spellEnd"/>
            <w:r w:rsidRPr="00B448C7">
              <w:t>)</w:t>
            </w:r>
          </w:p>
        </w:tc>
        <w:tc>
          <w:tcPr>
            <w:tcW w:w="643" w:type="pct"/>
            <w:tcBorders>
              <w:top w:val="nil"/>
              <w:left w:val="single" w:sz="8" w:space="0" w:color="auto"/>
              <w:bottom w:val="single" w:sz="4" w:space="0" w:color="auto"/>
              <w:right w:val="single" w:sz="4" w:space="0" w:color="auto"/>
            </w:tcBorders>
            <w:shd w:val="clear" w:color="auto" w:fill="auto"/>
            <w:noWrap/>
            <w:vAlign w:val="center"/>
            <w:hideMark/>
          </w:tcPr>
          <w:p w14:paraId="301449BD" w14:textId="77777777" w:rsidR="0027743D" w:rsidRPr="00B448C7" w:rsidRDefault="4843E10E" w:rsidP="3328C818">
            <w:pPr>
              <w:pStyle w:val="Table-Text"/>
              <w:jc w:val="center"/>
            </w:pPr>
            <w:r>
              <w:t>0.13</w:t>
            </w:r>
          </w:p>
        </w:tc>
        <w:tc>
          <w:tcPr>
            <w:tcW w:w="643" w:type="pct"/>
            <w:tcBorders>
              <w:top w:val="nil"/>
              <w:left w:val="nil"/>
              <w:bottom w:val="single" w:sz="4" w:space="0" w:color="auto"/>
              <w:right w:val="single" w:sz="4" w:space="0" w:color="auto"/>
            </w:tcBorders>
            <w:shd w:val="clear" w:color="auto" w:fill="auto"/>
            <w:noWrap/>
            <w:vAlign w:val="center"/>
            <w:hideMark/>
          </w:tcPr>
          <w:p w14:paraId="155DB5C6" w14:textId="77777777" w:rsidR="0027743D" w:rsidRPr="00B448C7" w:rsidRDefault="4843E10E" w:rsidP="3328C818">
            <w:pPr>
              <w:pStyle w:val="Table-Text"/>
              <w:jc w:val="center"/>
            </w:pPr>
            <w:r>
              <w:t>0.13</w:t>
            </w:r>
          </w:p>
        </w:tc>
        <w:tc>
          <w:tcPr>
            <w:tcW w:w="700" w:type="pct"/>
            <w:tcBorders>
              <w:top w:val="nil"/>
              <w:left w:val="nil"/>
              <w:bottom w:val="single" w:sz="4" w:space="0" w:color="auto"/>
              <w:right w:val="single" w:sz="4" w:space="0" w:color="auto"/>
            </w:tcBorders>
            <w:shd w:val="clear" w:color="auto" w:fill="auto"/>
            <w:noWrap/>
            <w:vAlign w:val="center"/>
            <w:hideMark/>
          </w:tcPr>
          <w:p w14:paraId="471325CD" w14:textId="77777777" w:rsidR="0027743D" w:rsidRPr="00B448C7" w:rsidRDefault="4843E10E" w:rsidP="3328C818">
            <w:pPr>
              <w:pStyle w:val="Table-Text"/>
              <w:jc w:val="center"/>
            </w:pPr>
            <w:r>
              <w:t>0.13</w:t>
            </w:r>
          </w:p>
        </w:tc>
        <w:tc>
          <w:tcPr>
            <w:tcW w:w="700" w:type="pct"/>
            <w:tcBorders>
              <w:top w:val="nil"/>
              <w:left w:val="nil"/>
              <w:bottom w:val="single" w:sz="4" w:space="0" w:color="auto"/>
              <w:right w:val="single" w:sz="8" w:space="0" w:color="auto"/>
            </w:tcBorders>
            <w:shd w:val="clear" w:color="auto" w:fill="auto"/>
            <w:noWrap/>
            <w:vAlign w:val="center"/>
            <w:hideMark/>
          </w:tcPr>
          <w:p w14:paraId="449DFE24" w14:textId="77777777" w:rsidR="0027743D" w:rsidRPr="00B448C7" w:rsidRDefault="4843E10E" w:rsidP="3328C818">
            <w:pPr>
              <w:pStyle w:val="Table-Text"/>
              <w:jc w:val="center"/>
            </w:pPr>
            <w:r>
              <w:t>0.13</w:t>
            </w:r>
          </w:p>
        </w:tc>
      </w:tr>
      <w:tr w:rsidR="0027743D" w:rsidRPr="0027743D" w14:paraId="7AB292CF" w14:textId="77777777" w:rsidTr="3328C818">
        <w:trPr>
          <w:trHeight w:hRule="exact" w:val="288"/>
        </w:trPr>
        <w:tc>
          <w:tcPr>
            <w:tcW w:w="2313" w:type="pct"/>
            <w:tcBorders>
              <w:top w:val="nil"/>
              <w:left w:val="single" w:sz="8" w:space="0" w:color="auto"/>
              <w:bottom w:val="single" w:sz="4" w:space="0" w:color="auto"/>
              <w:right w:val="nil"/>
            </w:tcBorders>
            <w:shd w:val="clear" w:color="auto" w:fill="auto"/>
            <w:noWrap/>
            <w:vAlign w:val="center"/>
            <w:hideMark/>
          </w:tcPr>
          <w:p w14:paraId="2E0CAC3B" w14:textId="77777777" w:rsidR="0027743D" w:rsidRPr="00B448C7" w:rsidRDefault="0027743D" w:rsidP="00324681">
            <w:pPr>
              <w:pStyle w:val="Table-Text"/>
            </w:pPr>
            <w:r w:rsidRPr="00B448C7">
              <w:t>Uncontrolled Tons</w:t>
            </w:r>
          </w:p>
        </w:tc>
        <w:tc>
          <w:tcPr>
            <w:tcW w:w="643" w:type="pct"/>
            <w:tcBorders>
              <w:top w:val="nil"/>
              <w:left w:val="single" w:sz="8" w:space="0" w:color="auto"/>
              <w:bottom w:val="single" w:sz="4" w:space="0" w:color="auto"/>
              <w:right w:val="single" w:sz="4" w:space="0" w:color="auto"/>
            </w:tcBorders>
            <w:shd w:val="clear" w:color="auto" w:fill="auto"/>
            <w:noWrap/>
            <w:vAlign w:val="center"/>
            <w:hideMark/>
          </w:tcPr>
          <w:p w14:paraId="37382E2C" w14:textId="77777777" w:rsidR="0027743D" w:rsidRPr="00B448C7" w:rsidRDefault="4843E10E" w:rsidP="3328C818">
            <w:pPr>
              <w:pStyle w:val="Table-Text"/>
              <w:jc w:val="center"/>
            </w:pPr>
            <w:r>
              <w:t>95</w:t>
            </w:r>
          </w:p>
        </w:tc>
        <w:tc>
          <w:tcPr>
            <w:tcW w:w="643" w:type="pct"/>
            <w:tcBorders>
              <w:top w:val="nil"/>
              <w:left w:val="nil"/>
              <w:bottom w:val="single" w:sz="4" w:space="0" w:color="auto"/>
              <w:right w:val="single" w:sz="4" w:space="0" w:color="auto"/>
            </w:tcBorders>
            <w:shd w:val="clear" w:color="auto" w:fill="auto"/>
            <w:noWrap/>
            <w:vAlign w:val="center"/>
            <w:hideMark/>
          </w:tcPr>
          <w:p w14:paraId="0150268E" w14:textId="77777777" w:rsidR="0027743D" w:rsidRPr="00B448C7" w:rsidRDefault="4843E10E" w:rsidP="3328C818">
            <w:pPr>
              <w:pStyle w:val="Table-Text"/>
              <w:jc w:val="center"/>
            </w:pPr>
            <w:r>
              <w:t>95</w:t>
            </w:r>
          </w:p>
        </w:tc>
        <w:tc>
          <w:tcPr>
            <w:tcW w:w="700" w:type="pct"/>
            <w:tcBorders>
              <w:top w:val="nil"/>
              <w:left w:val="nil"/>
              <w:bottom w:val="single" w:sz="4" w:space="0" w:color="auto"/>
              <w:right w:val="single" w:sz="4" w:space="0" w:color="auto"/>
            </w:tcBorders>
            <w:shd w:val="clear" w:color="auto" w:fill="auto"/>
            <w:noWrap/>
            <w:vAlign w:val="center"/>
            <w:hideMark/>
          </w:tcPr>
          <w:p w14:paraId="7AE3BD85" w14:textId="77777777" w:rsidR="0027743D" w:rsidRPr="00B448C7" w:rsidRDefault="4843E10E" w:rsidP="3328C818">
            <w:pPr>
              <w:pStyle w:val="Table-Text"/>
              <w:jc w:val="center"/>
            </w:pPr>
            <w:r>
              <w:t>94</w:t>
            </w:r>
          </w:p>
        </w:tc>
        <w:tc>
          <w:tcPr>
            <w:tcW w:w="700" w:type="pct"/>
            <w:tcBorders>
              <w:top w:val="nil"/>
              <w:left w:val="nil"/>
              <w:bottom w:val="single" w:sz="4" w:space="0" w:color="auto"/>
              <w:right w:val="single" w:sz="8" w:space="0" w:color="auto"/>
            </w:tcBorders>
            <w:shd w:val="clear" w:color="auto" w:fill="auto"/>
            <w:noWrap/>
            <w:vAlign w:val="center"/>
            <w:hideMark/>
          </w:tcPr>
          <w:p w14:paraId="0DEA9068" w14:textId="77777777" w:rsidR="0027743D" w:rsidRPr="00B448C7" w:rsidRDefault="4843E10E" w:rsidP="3328C818">
            <w:pPr>
              <w:pStyle w:val="Table-Text"/>
              <w:jc w:val="center"/>
            </w:pPr>
            <w:r>
              <w:t>95</w:t>
            </w:r>
          </w:p>
        </w:tc>
      </w:tr>
      <w:tr w:rsidR="0027743D" w:rsidRPr="0027743D" w14:paraId="221B1269" w14:textId="77777777" w:rsidTr="3328C818">
        <w:trPr>
          <w:trHeight w:hRule="exact" w:val="288"/>
        </w:trPr>
        <w:tc>
          <w:tcPr>
            <w:tcW w:w="2313" w:type="pct"/>
            <w:tcBorders>
              <w:top w:val="nil"/>
              <w:left w:val="single" w:sz="8" w:space="0" w:color="auto"/>
              <w:bottom w:val="single" w:sz="4" w:space="0" w:color="auto"/>
              <w:right w:val="nil"/>
            </w:tcBorders>
            <w:shd w:val="clear" w:color="auto" w:fill="auto"/>
            <w:noWrap/>
            <w:vAlign w:val="bottom"/>
            <w:hideMark/>
          </w:tcPr>
          <w:p w14:paraId="2FB715C6" w14:textId="77777777" w:rsidR="0027743D" w:rsidRPr="00B448C7" w:rsidRDefault="0027743D" w:rsidP="00324681">
            <w:pPr>
              <w:pStyle w:val="Table-Text"/>
            </w:pPr>
            <w:r w:rsidRPr="00B448C7">
              <w:t>NOx Removal Efficiency (%)</w:t>
            </w:r>
          </w:p>
        </w:tc>
        <w:tc>
          <w:tcPr>
            <w:tcW w:w="643" w:type="pct"/>
            <w:tcBorders>
              <w:top w:val="nil"/>
              <w:left w:val="single" w:sz="8" w:space="0" w:color="auto"/>
              <w:bottom w:val="single" w:sz="4" w:space="0" w:color="auto"/>
              <w:right w:val="single" w:sz="4" w:space="0" w:color="auto"/>
            </w:tcBorders>
            <w:shd w:val="clear" w:color="auto" w:fill="auto"/>
            <w:noWrap/>
            <w:vAlign w:val="center"/>
            <w:hideMark/>
          </w:tcPr>
          <w:p w14:paraId="1DCB0919" w14:textId="77777777" w:rsidR="0027743D" w:rsidRPr="00B448C7" w:rsidRDefault="4843E10E" w:rsidP="3328C818">
            <w:pPr>
              <w:pStyle w:val="Table-Text"/>
              <w:jc w:val="center"/>
            </w:pPr>
            <w:r>
              <w:t>19</w:t>
            </w:r>
          </w:p>
        </w:tc>
        <w:tc>
          <w:tcPr>
            <w:tcW w:w="643" w:type="pct"/>
            <w:tcBorders>
              <w:top w:val="nil"/>
              <w:left w:val="nil"/>
              <w:bottom w:val="single" w:sz="4" w:space="0" w:color="auto"/>
              <w:right w:val="single" w:sz="4" w:space="0" w:color="auto"/>
            </w:tcBorders>
            <w:shd w:val="clear" w:color="auto" w:fill="auto"/>
            <w:noWrap/>
            <w:vAlign w:val="center"/>
            <w:hideMark/>
          </w:tcPr>
          <w:p w14:paraId="1128D874" w14:textId="77777777" w:rsidR="0027743D" w:rsidRPr="00B448C7" w:rsidRDefault="4843E10E" w:rsidP="3328C818">
            <w:pPr>
              <w:pStyle w:val="Table-Text"/>
              <w:jc w:val="center"/>
            </w:pPr>
            <w:r>
              <w:t>40</w:t>
            </w:r>
          </w:p>
        </w:tc>
        <w:tc>
          <w:tcPr>
            <w:tcW w:w="700" w:type="pct"/>
            <w:tcBorders>
              <w:top w:val="nil"/>
              <w:left w:val="nil"/>
              <w:bottom w:val="single" w:sz="4" w:space="0" w:color="auto"/>
              <w:right w:val="single" w:sz="4" w:space="0" w:color="auto"/>
            </w:tcBorders>
            <w:shd w:val="clear" w:color="auto" w:fill="auto"/>
            <w:noWrap/>
            <w:vAlign w:val="center"/>
            <w:hideMark/>
          </w:tcPr>
          <w:p w14:paraId="6704A1D8" w14:textId="77777777" w:rsidR="0027743D" w:rsidRPr="00B448C7" w:rsidRDefault="4843E10E" w:rsidP="3328C818">
            <w:pPr>
              <w:pStyle w:val="Table-Text"/>
              <w:jc w:val="center"/>
            </w:pPr>
            <w:r>
              <w:t>85</w:t>
            </w:r>
          </w:p>
        </w:tc>
        <w:tc>
          <w:tcPr>
            <w:tcW w:w="700" w:type="pct"/>
            <w:tcBorders>
              <w:top w:val="nil"/>
              <w:left w:val="nil"/>
              <w:bottom w:val="single" w:sz="4" w:space="0" w:color="auto"/>
              <w:right w:val="single" w:sz="8" w:space="0" w:color="auto"/>
            </w:tcBorders>
            <w:shd w:val="clear" w:color="auto" w:fill="auto"/>
            <w:noWrap/>
            <w:vAlign w:val="center"/>
            <w:hideMark/>
          </w:tcPr>
          <w:p w14:paraId="37C1D527" w14:textId="77777777" w:rsidR="0027743D" w:rsidRPr="00B448C7" w:rsidRDefault="4843E10E" w:rsidP="3328C818">
            <w:pPr>
              <w:pStyle w:val="Table-Text"/>
              <w:jc w:val="center"/>
            </w:pPr>
            <w:r>
              <w:t>70</w:t>
            </w:r>
          </w:p>
        </w:tc>
      </w:tr>
      <w:tr w:rsidR="0027743D" w:rsidRPr="0027743D" w14:paraId="1F4D8235" w14:textId="77777777" w:rsidTr="3328C818">
        <w:trPr>
          <w:trHeight w:hRule="exact" w:val="288"/>
        </w:trPr>
        <w:tc>
          <w:tcPr>
            <w:tcW w:w="2313" w:type="pct"/>
            <w:tcBorders>
              <w:top w:val="nil"/>
              <w:left w:val="single" w:sz="8" w:space="0" w:color="auto"/>
              <w:bottom w:val="single" w:sz="4" w:space="0" w:color="auto"/>
              <w:right w:val="nil"/>
            </w:tcBorders>
            <w:shd w:val="clear" w:color="auto" w:fill="auto"/>
            <w:noWrap/>
            <w:vAlign w:val="bottom"/>
            <w:hideMark/>
          </w:tcPr>
          <w:p w14:paraId="039E0670" w14:textId="77777777" w:rsidR="0027743D" w:rsidRPr="00B448C7" w:rsidRDefault="0027743D" w:rsidP="00324681">
            <w:pPr>
              <w:pStyle w:val="Table-Text"/>
            </w:pPr>
            <w:r w:rsidRPr="00B448C7">
              <w:t>Controlled NOx Emission Rate (</w:t>
            </w:r>
            <w:proofErr w:type="spellStart"/>
            <w:r w:rsidRPr="00B448C7">
              <w:t>lb</w:t>
            </w:r>
            <w:proofErr w:type="spellEnd"/>
            <w:r w:rsidRPr="00B448C7">
              <w:t>/</w:t>
            </w:r>
            <w:proofErr w:type="spellStart"/>
            <w:r w:rsidRPr="00B448C7">
              <w:t>mmbtu</w:t>
            </w:r>
            <w:proofErr w:type="spellEnd"/>
            <w:r w:rsidRPr="00B448C7">
              <w:t>)</w:t>
            </w:r>
          </w:p>
        </w:tc>
        <w:tc>
          <w:tcPr>
            <w:tcW w:w="643" w:type="pct"/>
            <w:tcBorders>
              <w:top w:val="nil"/>
              <w:left w:val="single" w:sz="8" w:space="0" w:color="auto"/>
              <w:bottom w:val="single" w:sz="4" w:space="0" w:color="auto"/>
              <w:right w:val="single" w:sz="4" w:space="0" w:color="auto"/>
            </w:tcBorders>
            <w:shd w:val="clear" w:color="auto" w:fill="auto"/>
            <w:noWrap/>
            <w:vAlign w:val="center"/>
            <w:hideMark/>
          </w:tcPr>
          <w:p w14:paraId="6069A451" w14:textId="77777777" w:rsidR="0027743D" w:rsidRPr="00B448C7" w:rsidRDefault="4843E10E" w:rsidP="3328C818">
            <w:pPr>
              <w:pStyle w:val="Table-Text"/>
              <w:jc w:val="center"/>
            </w:pPr>
            <w:r>
              <w:t>0.11</w:t>
            </w:r>
          </w:p>
        </w:tc>
        <w:tc>
          <w:tcPr>
            <w:tcW w:w="643" w:type="pct"/>
            <w:tcBorders>
              <w:top w:val="nil"/>
              <w:left w:val="nil"/>
              <w:bottom w:val="single" w:sz="4" w:space="0" w:color="auto"/>
              <w:right w:val="single" w:sz="4" w:space="0" w:color="auto"/>
            </w:tcBorders>
            <w:shd w:val="clear" w:color="auto" w:fill="auto"/>
            <w:noWrap/>
            <w:vAlign w:val="center"/>
            <w:hideMark/>
          </w:tcPr>
          <w:p w14:paraId="4FD1A904" w14:textId="77777777" w:rsidR="0027743D" w:rsidRPr="00B448C7" w:rsidRDefault="4843E10E" w:rsidP="3328C818">
            <w:pPr>
              <w:pStyle w:val="Table-Text"/>
              <w:jc w:val="center"/>
            </w:pPr>
            <w:r>
              <w:t>0.08</w:t>
            </w:r>
          </w:p>
        </w:tc>
        <w:tc>
          <w:tcPr>
            <w:tcW w:w="700" w:type="pct"/>
            <w:tcBorders>
              <w:top w:val="nil"/>
              <w:left w:val="nil"/>
              <w:bottom w:val="single" w:sz="4" w:space="0" w:color="auto"/>
              <w:right w:val="single" w:sz="4" w:space="0" w:color="auto"/>
            </w:tcBorders>
            <w:shd w:val="clear" w:color="auto" w:fill="auto"/>
            <w:noWrap/>
            <w:vAlign w:val="center"/>
            <w:hideMark/>
          </w:tcPr>
          <w:p w14:paraId="394DE661" w14:textId="77777777" w:rsidR="0027743D" w:rsidRPr="00B448C7" w:rsidRDefault="4843E10E" w:rsidP="3328C818">
            <w:pPr>
              <w:pStyle w:val="Table-Text"/>
              <w:jc w:val="center"/>
            </w:pPr>
            <w:r>
              <w:t>0.02</w:t>
            </w:r>
          </w:p>
        </w:tc>
        <w:tc>
          <w:tcPr>
            <w:tcW w:w="700" w:type="pct"/>
            <w:tcBorders>
              <w:top w:val="nil"/>
              <w:left w:val="nil"/>
              <w:bottom w:val="single" w:sz="4" w:space="0" w:color="auto"/>
              <w:right w:val="single" w:sz="8" w:space="0" w:color="auto"/>
            </w:tcBorders>
            <w:shd w:val="clear" w:color="auto" w:fill="auto"/>
            <w:noWrap/>
            <w:vAlign w:val="center"/>
            <w:hideMark/>
          </w:tcPr>
          <w:p w14:paraId="7C8BEE9A" w14:textId="77777777" w:rsidR="0027743D" w:rsidRPr="00B448C7" w:rsidRDefault="4843E10E" w:rsidP="3328C818">
            <w:pPr>
              <w:pStyle w:val="Table-Text"/>
              <w:jc w:val="center"/>
            </w:pPr>
            <w:r>
              <w:t>0.04</w:t>
            </w:r>
          </w:p>
        </w:tc>
      </w:tr>
      <w:tr w:rsidR="0027743D" w:rsidRPr="0027743D" w14:paraId="1A31187E" w14:textId="77777777" w:rsidTr="3328C818">
        <w:trPr>
          <w:trHeight w:hRule="exact" w:val="288"/>
        </w:trPr>
        <w:tc>
          <w:tcPr>
            <w:tcW w:w="2313" w:type="pct"/>
            <w:tcBorders>
              <w:top w:val="nil"/>
              <w:left w:val="single" w:sz="8" w:space="0" w:color="auto"/>
              <w:bottom w:val="single" w:sz="4" w:space="0" w:color="auto"/>
              <w:right w:val="nil"/>
            </w:tcBorders>
            <w:shd w:val="clear" w:color="auto" w:fill="auto"/>
            <w:noWrap/>
            <w:vAlign w:val="bottom"/>
            <w:hideMark/>
          </w:tcPr>
          <w:p w14:paraId="7B88F342" w14:textId="77777777" w:rsidR="0027743D" w:rsidRPr="00B448C7" w:rsidRDefault="0027743D" w:rsidP="00324681">
            <w:pPr>
              <w:pStyle w:val="Table-Text"/>
            </w:pPr>
            <w:r w:rsidRPr="00B448C7">
              <w:t>Tons Removed</w:t>
            </w:r>
          </w:p>
        </w:tc>
        <w:tc>
          <w:tcPr>
            <w:tcW w:w="643" w:type="pct"/>
            <w:tcBorders>
              <w:top w:val="nil"/>
              <w:left w:val="single" w:sz="8" w:space="0" w:color="auto"/>
              <w:bottom w:val="single" w:sz="4" w:space="0" w:color="auto"/>
              <w:right w:val="single" w:sz="4" w:space="0" w:color="auto"/>
            </w:tcBorders>
            <w:shd w:val="clear" w:color="auto" w:fill="auto"/>
            <w:noWrap/>
            <w:vAlign w:val="center"/>
            <w:hideMark/>
          </w:tcPr>
          <w:p w14:paraId="4FE91A2B" w14:textId="77777777" w:rsidR="0027743D" w:rsidRPr="00B448C7" w:rsidRDefault="4843E10E" w:rsidP="3328C818">
            <w:pPr>
              <w:pStyle w:val="Table-Text"/>
              <w:jc w:val="center"/>
            </w:pPr>
            <w:r>
              <w:t>18</w:t>
            </w:r>
          </w:p>
        </w:tc>
        <w:tc>
          <w:tcPr>
            <w:tcW w:w="643" w:type="pct"/>
            <w:tcBorders>
              <w:top w:val="nil"/>
              <w:left w:val="nil"/>
              <w:bottom w:val="single" w:sz="4" w:space="0" w:color="auto"/>
              <w:right w:val="single" w:sz="4" w:space="0" w:color="auto"/>
            </w:tcBorders>
            <w:shd w:val="clear" w:color="auto" w:fill="auto"/>
            <w:noWrap/>
            <w:vAlign w:val="center"/>
            <w:hideMark/>
          </w:tcPr>
          <w:p w14:paraId="3C9DD2BE" w14:textId="77777777" w:rsidR="0027743D" w:rsidRPr="00B448C7" w:rsidRDefault="4843E10E" w:rsidP="3328C818">
            <w:pPr>
              <w:pStyle w:val="Table-Text"/>
              <w:jc w:val="center"/>
            </w:pPr>
            <w:r>
              <w:t>38</w:t>
            </w:r>
          </w:p>
        </w:tc>
        <w:tc>
          <w:tcPr>
            <w:tcW w:w="700" w:type="pct"/>
            <w:tcBorders>
              <w:top w:val="nil"/>
              <w:left w:val="nil"/>
              <w:bottom w:val="single" w:sz="4" w:space="0" w:color="auto"/>
              <w:right w:val="single" w:sz="4" w:space="0" w:color="auto"/>
            </w:tcBorders>
            <w:shd w:val="clear" w:color="auto" w:fill="auto"/>
            <w:noWrap/>
            <w:vAlign w:val="center"/>
            <w:hideMark/>
          </w:tcPr>
          <w:p w14:paraId="0DAA84D0" w14:textId="77777777" w:rsidR="0027743D" w:rsidRPr="00B448C7" w:rsidRDefault="4843E10E" w:rsidP="3328C818">
            <w:pPr>
              <w:pStyle w:val="Table-Text"/>
              <w:jc w:val="center"/>
            </w:pPr>
            <w:r>
              <w:t>79</w:t>
            </w:r>
          </w:p>
        </w:tc>
        <w:tc>
          <w:tcPr>
            <w:tcW w:w="700" w:type="pct"/>
            <w:tcBorders>
              <w:top w:val="nil"/>
              <w:left w:val="nil"/>
              <w:bottom w:val="single" w:sz="4" w:space="0" w:color="auto"/>
              <w:right w:val="single" w:sz="8" w:space="0" w:color="auto"/>
            </w:tcBorders>
            <w:shd w:val="clear" w:color="auto" w:fill="auto"/>
            <w:noWrap/>
            <w:vAlign w:val="center"/>
            <w:hideMark/>
          </w:tcPr>
          <w:p w14:paraId="61B5E578" w14:textId="77777777" w:rsidR="0027743D" w:rsidRPr="00B448C7" w:rsidRDefault="4843E10E" w:rsidP="3328C818">
            <w:pPr>
              <w:pStyle w:val="Table-Text"/>
              <w:jc w:val="center"/>
            </w:pPr>
            <w:r>
              <w:t>66</w:t>
            </w:r>
          </w:p>
        </w:tc>
      </w:tr>
      <w:tr w:rsidR="0027743D" w:rsidRPr="0027743D" w14:paraId="3A0ABE4F" w14:textId="77777777" w:rsidTr="3328C818">
        <w:trPr>
          <w:trHeight w:hRule="exact" w:val="288"/>
        </w:trPr>
        <w:tc>
          <w:tcPr>
            <w:tcW w:w="2313" w:type="pct"/>
            <w:tcBorders>
              <w:top w:val="nil"/>
              <w:left w:val="single" w:sz="8" w:space="0" w:color="auto"/>
              <w:bottom w:val="single" w:sz="8" w:space="0" w:color="auto"/>
              <w:right w:val="nil"/>
            </w:tcBorders>
            <w:shd w:val="clear" w:color="auto" w:fill="auto"/>
            <w:noWrap/>
            <w:vAlign w:val="bottom"/>
            <w:hideMark/>
          </w:tcPr>
          <w:p w14:paraId="688562D4" w14:textId="77777777" w:rsidR="0027743D" w:rsidRPr="00B448C7" w:rsidRDefault="0027743D" w:rsidP="00324681">
            <w:pPr>
              <w:pStyle w:val="Table-Text"/>
            </w:pPr>
            <w:r w:rsidRPr="00B448C7">
              <w:t>Cost-Effectiveness</w:t>
            </w:r>
          </w:p>
        </w:tc>
        <w:tc>
          <w:tcPr>
            <w:tcW w:w="643" w:type="pct"/>
            <w:tcBorders>
              <w:top w:val="nil"/>
              <w:left w:val="single" w:sz="8" w:space="0" w:color="auto"/>
              <w:bottom w:val="single" w:sz="8" w:space="0" w:color="auto"/>
              <w:right w:val="single" w:sz="4" w:space="0" w:color="auto"/>
            </w:tcBorders>
            <w:shd w:val="clear" w:color="auto" w:fill="auto"/>
            <w:noWrap/>
            <w:vAlign w:val="center"/>
            <w:hideMark/>
          </w:tcPr>
          <w:p w14:paraId="602D3CAD" w14:textId="77777777" w:rsidR="0027743D" w:rsidRPr="00B448C7" w:rsidRDefault="4843E10E" w:rsidP="3328C818">
            <w:pPr>
              <w:pStyle w:val="Table-Text"/>
              <w:jc w:val="center"/>
            </w:pPr>
            <w:r>
              <w:t xml:space="preserve"> $      13,122 </w:t>
            </w:r>
          </w:p>
        </w:tc>
        <w:tc>
          <w:tcPr>
            <w:tcW w:w="643" w:type="pct"/>
            <w:tcBorders>
              <w:top w:val="nil"/>
              <w:left w:val="nil"/>
              <w:bottom w:val="single" w:sz="8" w:space="0" w:color="auto"/>
              <w:right w:val="single" w:sz="4" w:space="0" w:color="auto"/>
            </w:tcBorders>
            <w:shd w:val="clear" w:color="auto" w:fill="auto"/>
            <w:noWrap/>
            <w:vAlign w:val="center"/>
            <w:hideMark/>
          </w:tcPr>
          <w:p w14:paraId="427D94A3" w14:textId="77777777" w:rsidR="0027743D" w:rsidRPr="00B448C7" w:rsidRDefault="4843E10E" w:rsidP="3328C818">
            <w:pPr>
              <w:pStyle w:val="Table-Text"/>
              <w:jc w:val="center"/>
            </w:pPr>
            <w:r>
              <w:t xml:space="preserve"> $        6,608 </w:t>
            </w:r>
          </w:p>
        </w:tc>
        <w:tc>
          <w:tcPr>
            <w:tcW w:w="700" w:type="pct"/>
            <w:tcBorders>
              <w:top w:val="nil"/>
              <w:left w:val="nil"/>
              <w:bottom w:val="single" w:sz="8" w:space="0" w:color="auto"/>
              <w:right w:val="single" w:sz="4" w:space="0" w:color="auto"/>
            </w:tcBorders>
            <w:shd w:val="clear" w:color="auto" w:fill="auto"/>
            <w:noWrap/>
            <w:vAlign w:val="center"/>
            <w:hideMark/>
          </w:tcPr>
          <w:p w14:paraId="66BBF83F" w14:textId="77777777" w:rsidR="0027743D" w:rsidRPr="00B448C7" w:rsidRDefault="4843E10E" w:rsidP="3328C818">
            <w:pPr>
              <w:pStyle w:val="Table-Text"/>
              <w:jc w:val="center"/>
            </w:pPr>
            <w:r>
              <w:t xml:space="preserve"> $          9,781 </w:t>
            </w:r>
          </w:p>
        </w:tc>
        <w:tc>
          <w:tcPr>
            <w:tcW w:w="700" w:type="pct"/>
            <w:tcBorders>
              <w:top w:val="nil"/>
              <w:left w:val="nil"/>
              <w:bottom w:val="single" w:sz="8" w:space="0" w:color="auto"/>
              <w:right w:val="single" w:sz="8" w:space="0" w:color="auto"/>
            </w:tcBorders>
            <w:shd w:val="clear" w:color="auto" w:fill="auto"/>
            <w:noWrap/>
            <w:vAlign w:val="center"/>
            <w:hideMark/>
          </w:tcPr>
          <w:p w14:paraId="542F6A38" w14:textId="77777777" w:rsidR="0027743D" w:rsidRPr="00B448C7" w:rsidRDefault="4843E10E" w:rsidP="3328C818">
            <w:pPr>
              <w:pStyle w:val="Table-Text"/>
              <w:jc w:val="center"/>
            </w:pPr>
            <w:r>
              <w:t xml:space="preserve"> $        13,783 </w:t>
            </w:r>
          </w:p>
        </w:tc>
      </w:tr>
    </w:tbl>
    <w:p w14:paraId="6FF5BF9B" w14:textId="7B7772B2" w:rsidR="0027743D" w:rsidRDefault="0027743D" w:rsidP="0063221D"/>
    <w:p w14:paraId="5DAC87FA" w14:textId="6AC995EC" w:rsidR="00F50FEB" w:rsidRDefault="0037437C" w:rsidP="0063221D">
      <w:r>
        <w:t xml:space="preserve">NPS estimates that addition of SCR could reduce </w:t>
      </w:r>
      <w:r w:rsidRPr="00A625C3">
        <w:rPr>
          <w:rFonts w:cs="Times New Roman"/>
          <w:szCs w:val="24"/>
        </w:rPr>
        <w:t>NO</w:t>
      </w:r>
      <w:r w:rsidRPr="00A625C3">
        <w:rPr>
          <w:rFonts w:cs="Times New Roman"/>
          <w:szCs w:val="24"/>
          <w:vertAlign w:val="subscript"/>
        </w:rPr>
        <w:t>X</w:t>
      </w:r>
      <w:r>
        <w:t xml:space="preserve"> emissions by almost 80 tons/</w:t>
      </w:r>
      <w:proofErr w:type="spellStart"/>
      <w:r>
        <w:t>yr</w:t>
      </w:r>
      <w:proofErr w:type="spellEnd"/>
      <w:r>
        <w:t xml:space="preserve"> at </w:t>
      </w:r>
      <w:proofErr w:type="spellStart"/>
      <w:r>
        <w:t>a</w:t>
      </w:r>
      <w:proofErr w:type="spellEnd"/>
      <w:r>
        <w:t xml:space="preserve"> annual cost of $0.8 million at $9,800/ton. While this cost-effectiveness value is above the MPCA threshold, it is below the $10,000/ton threshold used by CO, NV, and OR.</w:t>
      </w:r>
      <w:r w:rsidR="00BD1559">
        <w:t xml:space="preserve"> </w:t>
      </w:r>
      <w:r w:rsidR="00F50FEB">
        <w:t>Statutory Factor 2: Time Necessary for Compliance</w:t>
      </w:r>
    </w:p>
    <w:p w14:paraId="1AB8C532" w14:textId="5D81EE54" w:rsidR="00F50FEB" w:rsidRDefault="00F50FEB" w:rsidP="0063221D">
      <w:r w:rsidRPr="00C925E1">
        <w:t>Installation of S</w:t>
      </w:r>
      <w:r>
        <w:t>N</w:t>
      </w:r>
      <w:r w:rsidRPr="00C925E1">
        <w:t xml:space="preserve">CR typically requires </w:t>
      </w:r>
      <w:r>
        <w:t>up to two</w:t>
      </w:r>
      <w:r w:rsidRPr="00C925E1">
        <w:t xml:space="preserve"> years</w:t>
      </w:r>
      <w:r w:rsidR="0037437C">
        <w:t xml:space="preserve"> </w:t>
      </w:r>
      <w:r w:rsidR="001F5E20">
        <w:t xml:space="preserve">while time necessary for compliance </w:t>
      </w:r>
      <w:r w:rsidR="001F5E20" w:rsidRPr="00D717B3">
        <w:t>for SCR is typically four to five years after SIP approval.</w:t>
      </w:r>
      <w:r w:rsidR="00BC5262">
        <w:t xml:space="preserve"> </w:t>
      </w:r>
      <w:r>
        <w:t>Statutory Factor 3: Energy and Non-Air Quality Environmental Impacts</w:t>
      </w:r>
    </w:p>
    <w:p w14:paraId="3D71DAFE" w14:textId="77777777" w:rsidR="00F50FEB" w:rsidRPr="00C925E1" w:rsidRDefault="00F50FEB" w:rsidP="00F50FEB">
      <w:pPr>
        <w:spacing w:line="240" w:lineRule="auto"/>
        <w:contextualSpacing/>
      </w:pPr>
      <w:r>
        <w:t>E</w:t>
      </w:r>
      <w:r w:rsidRPr="00BB2AFB">
        <w:t>nergy usage is most appropriately accounted for in the Cost of Compliance analysis</w:t>
      </w:r>
      <w:r>
        <w:t xml:space="preserve">. </w:t>
      </w:r>
      <w:r w:rsidRPr="00BB2AFB">
        <w:t xml:space="preserve">The </w:t>
      </w:r>
      <w:r>
        <w:t>other non-air quality environmental impacts cited</w:t>
      </w:r>
      <w:r w:rsidRPr="00BB2AFB">
        <w:t xml:space="preserve"> are not unique to this site.</w:t>
      </w:r>
    </w:p>
    <w:p w14:paraId="53EB1538" w14:textId="77777777" w:rsidR="00F50FEB" w:rsidRDefault="00F50FEB" w:rsidP="00F50FEB">
      <w:pPr>
        <w:pStyle w:val="Heading4"/>
        <w:spacing w:line="240" w:lineRule="auto"/>
        <w:contextualSpacing/>
      </w:pPr>
      <w:r w:rsidRPr="00294DA7">
        <w:t>Stat</w:t>
      </w:r>
      <w:r>
        <w:t>utory</w:t>
      </w:r>
      <w:r w:rsidRPr="00294DA7">
        <w:t xml:space="preserve"> Factor 4: Remaining Useful Life</w:t>
      </w:r>
    </w:p>
    <w:p w14:paraId="7DB6FCA4" w14:textId="781C1436" w:rsidR="0027743D" w:rsidRPr="0063221D" w:rsidRDefault="65C7649A" w:rsidP="0063221D">
      <w:r>
        <w:t>MPCA used a 20-year life for SNCR</w:t>
      </w:r>
      <w:r w:rsidR="76C0193C">
        <w:t xml:space="preserve"> and SCR</w:t>
      </w:r>
      <w:r>
        <w:t>.</w:t>
      </w:r>
    </w:p>
    <w:p w14:paraId="412DFEC0" w14:textId="64712485" w:rsidR="00684A24" w:rsidRPr="000F187D" w:rsidRDefault="4843E10E" w:rsidP="0063221D">
      <w:r w:rsidRPr="3328C818">
        <w:rPr>
          <w:rStyle w:val="Heading5Char"/>
        </w:rPr>
        <w:t>Boise Boiler #2</w:t>
      </w:r>
      <w:r w:rsidRPr="3328C818">
        <w:rPr>
          <w:rFonts w:cs="Times New Roman"/>
          <w:color w:val="000000" w:themeColor="text1"/>
        </w:rPr>
        <w:t xml:space="preserve"> was originally commissioned as a coal-fired boiler This emission unit is a stoker grate design which produces steam to generate electricity and provide heat for other processes at the plant. The boiler burns primarily hog fuel (biomass which is primarily bark and wood refuse from the facility de-barking process) and is also permitted to burn wastewater treatment plant sludge, paper, and natural gas. The boiler is also a backup combustion source for NCG. The amount of NCG burned in Boiler #2 is limited by the facility air permit. Particulate matter emissions from the power boiler are controlled by </w:t>
      </w:r>
      <w:proofErr w:type="spellStart"/>
      <w:r w:rsidRPr="3328C818">
        <w:rPr>
          <w:rFonts w:cs="Times New Roman"/>
          <w:color w:val="000000" w:themeColor="text1"/>
        </w:rPr>
        <w:t>multiclones</w:t>
      </w:r>
      <w:proofErr w:type="spellEnd"/>
      <w:r w:rsidRPr="3328C818">
        <w:rPr>
          <w:rFonts w:cs="Times New Roman"/>
          <w:color w:val="000000" w:themeColor="text1"/>
        </w:rPr>
        <w:t xml:space="preserve"> and a high-efficiency electrostatic precipitator (ESP). Boiler #2 does not have add-on NO</w:t>
      </w:r>
      <w:r w:rsidRPr="3328C818">
        <w:rPr>
          <w:rFonts w:cs="Times New Roman"/>
          <w:color w:val="000000" w:themeColor="text1"/>
          <w:vertAlign w:val="subscript"/>
        </w:rPr>
        <w:t>X</w:t>
      </w:r>
      <w:r w:rsidRPr="3328C818">
        <w:rPr>
          <w:rFonts w:cs="Times New Roman"/>
          <w:color w:val="000000" w:themeColor="text1"/>
        </w:rPr>
        <w:t xml:space="preserve"> controls but does use staged and overfire air to manage the generation of NO</w:t>
      </w:r>
      <w:r w:rsidRPr="3328C818">
        <w:rPr>
          <w:rFonts w:cs="Times New Roman"/>
          <w:color w:val="000000" w:themeColor="text1"/>
          <w:vertAlign w:val="subscript"/>
        </w:rPr>
        <w:t>X</w:t>
      </w:r>
      <w:r w:rsidRPr="3328C818">
        <w:rPr>
          <w:rFonts w:cs="Times New Roman"/>
          <w:color w:val="000000" w:themeColor="text1"/>
        </w:rPr>
        <w:t xml:space="preserve"> The boiler does not have add-on SO</w:t>
      </w:r>
      <w:r w:rsidRPr="3328C818">
        <w:rPr>
          <w:rFonts w:cs="Times New Roman"/>
          <w:color w:val="000000" w:themeColor="text1"/>
          <w:vertAlign w:val="subscript"/>
        </w:rPr>
        <w:t>2</w:t>
      </w:r>
      <w:r w:rsidRPr="3328C818">
        <w:rPr>
          <w:rFonts w:cs="Times New Roman"/>
          <w:color w:val="000000" w:themeColor="text1"/>
        </w:rPr>
        <w:t xml:space="preserve"> controls but burns low sulfur fuels and the wood ash provides some dry scrubbing of SO</w:t>
      </w:r>
      <w:r w:rsidRPr="3328C818">
        <w:rPr>
          <w:rFonts w:cs="Times New Roman"/>
          <w:color w:val="000000" w:themeColor="text1"/>
          <w:vertAlign w:val="subscript"/>
        </w:rPr>
        <w:t>2</w:t>
      </w:r>
      <w:r w:rsidRPr="3328C818">
        <w:rPr>
          <w:rFonts w:cs="Times New Roman"/>
          <w:color w:val="000000" w:themeColor="text1"/>
        </w:rPr>
        <w:t xml:space="preserve"> when NCGs are burned concurrently. </w:t>
      </w:r>
      <w:r w:rsidR="3B4F0DE7">
        <w:t xml:space="preserve">This boiler appears to be very similar to Boiler 9 at Sappi Cloquet for which MPCA required a four-factor </w:t>
      </w:r>
      <w:r w:rsidR="3B4F0DE7" w:rsidRPr="3328C818">
        <w:rPr>
          <w:rFonts w:cs="Times New Roman"/>
        </w:rPr>
        <w:t>NO</w:t>
      </w:r>
      <w:r w:rsidR="3B4F0DE7" w:rsidRPr="3328C818">
        <w:rPr>
          <w:rFonts w:cs="Times New Roman"/>
          <w:vertAlign w:val="subscript"/>
        </w:rPr>
        <w:t>X</w:t>
      </w:r>
      <w:r w:rsidR="3B4F0DE7">
        <w:t xml:space="preserve"> control analysis.</w:t>
      </w:r>
    </w:p>
    <w:bookmarkEnd w:id="41"/>
    <w:p w14:paraId="3683FAB4" w14:textId="77777777" w:rsidR="00F50FEB" w:rsidRDefault="00F50FEB" w:rsidP="00F50FEB">
      <w:pPr>
        <w:pStyle w:val="Heading3"/>
      </w:pPr>
      <w:r>
        <w:t xml:space="preserve">Boiler #2 </w:t>
      </w:r>
      <w:r w:rsidRPr="00A9462F">
        <w:t>NO</w:t>
      </w:r>
      <w:r>
        <w:rPr>
          <w:vertAlign w:val="subscript"/>
        </w:rPr>
        <w:t>x</w:t>
      </w:r>
      <w:r>
        <w:t xml:space="preserve"> Four-factor Analysis</w:t>
      </w:r>
    </w:p>
    <w:p w14:paraId="4EEC7387" w14:textId="0DAAFDF4" w:rsidR="00D912D1" w:rsidRDefault="00D912D1" w:rsidP="0063221D">
      <w:pPr>
        <w:rPr>
          <w:bCs/>
        </w:rPr>
      </w:pPr>
      <w:r>
        <w:t xml:space="preserve">MPCA screened Boiler 2 from four-factor analysis based on a 2013 BACT analysis and the presence of a more stringent </w:t>
      </w:r>
      <w:r w:rsidRPr="00A9462F">
        <w:t>NO</w:t>
      </w:r>
      <w:r>
        <w:rPr>
          <w:vertAlign w:val="subscript"/>
        </w:rPr>
        <w:t>x</w:t>
      </w:r>
      <w:r>
        <w:t xml:space="preserve"> emissions limits than found in a review of permit limits for similar sources. </w:t>
      </w:r>
    </w:p>
    <w:p w14:paraId="174108FB" w14:textId="73DD2B51" w:rsidR="00D912D1" w:rsidRDefault="00684A24" w:rsidP="0063221D">
      <w:pPr>
        <w:rPr>
          <w:bCs/>
        </w:rPr>
      </w:pPr>
      <w:r>
        <w:t>However</w:t>
      </w:r>
      <w:r w:rsidR="00D912D1">
        <w:t xml:space="preserve">, </w:t>
      </w:r>
      <w:r w:rsidR="00D912D1">
        <w:rPr>
          <w:bCs/>
        </w:rPr>
        <w:t>NPS has</w:t>
      </w:r>
      <w:r w:rsidR="00D912D1" w:rsidRPr="002C61B1">
        <w:rPr>
          <w:bCs/>
        </w:rPr>
        <w:t xml:space="preserve"> reviewed three other hogged fuel boilers </w:t>
      </w:r>
      <w:r w:rsidR="00D912D1">
        <w:rPr>
          <w:bCs/>
        </w:rPr>
        <w:t xml:space="preserve">similar to Boiler #2 </w:t>
      </w:r>
      <w:r w:rsidR="00D912D1" w:rsidRPr="002C61B1">
        <w:rPr>
          <w:bCs/>
        </w:rPr>
        <w:t>at paper mills</w:t>
      </w:r>
      <w:r w:rsidR="00D912D1">
        <w:rPr>
          <w:bCs/>
        </w:rPr>
        <w:t xml:space="preserve">, </w:t>
      </w:r>
      <w:r w:rsidR="00D912D1" w:rsidRPr="002C61B1">
        <w:rPr>
          <w:bCs/>
        </w:rPr>
        <w:t>including the Sappi mill in Cloquet, MN</w:t>
      </w:r>
      <w:r w:rsidR="00D912D1">
        <w:rPr>
          <w:bCs/>
        </w:rPr>
        <w:t xml:space="preserve"> </w:t>
      </w:r>
      <w:r w:rsidR="00D912D1" w:rsidRPr="002C61B1">
        <w:rPr>
          <w:bCs/>
        </w:rPr>
        <w:t xml:space="preserve">where SNCR and SCR were evaluated by the state for </w:t>
      </w:r>
      <w:r w:rsidR="00D912D1" w:rsidRPr="00A9462F">
        <w:t>NO</w:t>
      </w:r>
      <w:r w:rsidR="00D912D1">
        <w:rPr>
          <w:vertAlign w:val="subscript"/>
        </w:rPr>
        <w:t>x</w:t>
      </w:r>
      <w:r w:rsidR="00D912D1" w:rsidRPr="002C61B1">
        <w:rPr>
          <w:bCs/>
        </w:rPr>
        <w:t xml:space="preserve"> reductions. Two of those boilers (PCA</w:t>
      </w:r>
      <w:r w:rsidR="00D912D1">
        <w:rPr>
          <w:bCs/>
        </w:rPr>
        <w:t xml:space="preserve"> @ 0.19 </w:t>
      </w:r>
      <w:proofErr w:type="spellStart"/>
      <w:r w:rsidR="00D912D1">
        <w:rPr>
          <w:bCs/>
        </w:rPr>
        <w:t>lb</w:t>
      </w:r>
      <w:proofErr w:type="spellEnd"/>
      <w:r w:rsidR="00D912D1">
        <w:rPr>
          <w:bCs/>
        </w:rPr>
        <w:t>/</w:t>
      </w:r>
      <w:proofErr w:type="spellStart"/>
      <w:r w:rsidR="00D912D1">
        <w:rPr>
          <w:bCs/>
        </w:rPr>
        <w:t>mmBtu</w:t>
      </w:r>
      <w:proofErr w:type="spellEnd"/>
      <w:r w:rsidR="00D912D1" w:rsidRPr="002C61B1">
        <w:rPr>
          <w:bCs/>
        </w:rPr>
        <w:t xml:space="preserve"> in </w:t>
      </w:r>
      <w:proofErr w:type="spellStart"/>
      <w:r w:rsidR="00D912D1" w:rsidRPr="002C61B1">
        <w:rPr>
          <w:bCs/>
        </w:rPr>
        <w:t>Wallula</w:t>
      </w:r>
      <w:proofErr w:type="spellEnd"/>
      <w:r w:rsidR="00D912D1" w:rsidRPr="002C61B1">
        <w:rPr>
          <w:bCs/>
        </w:rPr>
        <w:t xml:space="preserve">, WA and Nippon </w:t>
      </w:r>
      <w:proofErr w:type="spellStart"/>
      <w:r w:rsidR="00D912D1" w:rsidRPr="002C61B1">
        <w:rPr>
          <w:bCs/>
        </w:rPr>
        <w:t>Dynawave</w:t>
      </w:r>
      <w:proofErr w:type="spellEnd"/>
      <w:r w:rsidR="00D912D1" w:rsidRPr="002C61B1">
        <w:rPr>
          <w:bCs/>
        </w:rPr>
        <w:t xml:space="preserve"> </w:t>
      </w:r>
      <w:r w:rsidR="00D912D1">
        <w:rPr>
          <w:bCs/>
        </w:rPr>
        <w:t xml:space="preserve">@ 0.23 </w:t>
      </w:r>
      <w:proofErr w:type="spellStart"/>
      <w:r w:rsidR="00D912D1">
        <w:rPr>
          <w:bCs/>
        </w:rPr>
        <w:t>lb</w:t>
      </w:r>
      <w:proofErr w:type="spellEnd"/>
      <w:r w:rsidR="00D912D1">
        <w:rPr>
          <w:bCs/>
        </w:rPr>
        <w:t>/</w:t>
      </w:r>
      <w:proofErr w:type="spellStart"/>
      <w:r w:rsidR="00D912D1">
        <w:rPr>
          <w:bCs/>
        </w:rPr>
        <w:t>mmBtu</w:t>
      </w:r>
      <w:proofErr w:type="spellEnd"/>
      <w:r w:rsidR="00D912D1">
        <w:rPr>
          <w:bCs/>
        </w:rPr>
        <w:t xml:space="preserve"> </w:t>
      </w:r>
      <w:r w:rsidR="00D912D1" w:rsidRPr="002C61B1">
        <w:rPr>
          <w:bCs/>
        </w:rPr>
        <w:t xml:space="preserve">in Longview, WA) have </w:t>
      </w:r>
      <w:r w:rsidR="00D912D1" w:rsidRPr="00A9462F">
        <w:t>NO</w:t>
      </w:r>
      <w:r w:rsidR="00D912D1">
        <w:rPr>
          <w:vertAlign w:val="subscript"/>
        </w:rPr>
        <w:t>x</w:t>
      </w:r>
      <w:r w:rsidR="00D912D1" w:rsidRPr="002C61B1">
        <w:rPr>
          <w:bCs/>
        </w:rPr>
        <w:t xml:space="preserve"> emission rates that are lower than the </w:t>
      </w:r>
      <w:r w:rsidR="00D912D1">
        <w:rPr>
          <w:bCs/>
        </w:rPr>
        <w:t xml:space="preserve">0.25 </w:t>
      </w:r>
      <w:proofErr w:type="spellStart"/>
      <w:r w:rsidR="00D912D1">
        <w:rPr>
          <w:bCs/>
        </w:rPr>
        <w:t>lb</w:t>
      </w:r>
      <w:proofErr w:type="spellEnd"/>
      <w:r w:rsidR="00D912D1">
        <w:rPr>
          <w:bCs/>
        </w:rPr>
        <w:t>/</w:t>
      </w:r>
      <w:proofErr w:type="spellStart"/>
      <w:r w:rsidR="00D912D1">
        <w:rPr>
          <w:bCs/>
        </w:rPr>
        <w:t>mmBtu</w:t>
      </w:r>
      <w:proofErr w:type="spellEnd"/>
      <w:r w:rsidR="00D912D1">
        <w:rPr>
          <w:bCs/>
        </w:rPr>
        <w:t xml:space="preserve"> </w:t>
      </w:r>
      <w:r w:rsidR="00D912D1" w:rsidRPr="00D912D1">
        <w:rPr>
          <w:rFonts w:cs="Times New Roman"/>
          <w:bCs/>
          <w:szCs w:val="24"/>
        </w:rPr>
        <w:t>NO</w:t>
      </w:r>
      <w:r w:rsidR="00D912D1" w:rsidRPr="00D912D1">
        <w:rPr>
          <w:rFonts w:cs="Times New Roman"/>
          <w:bCs/>
          <w:szCs w:val="24"/>
          <w:vertAlign w:val="subscript"/>
        </w:rPr>
        <w:t>X</w:t>
      </w:r>
      <w:r w:rsidR="00D912D1">
        <w:rPr>
          <w:bCs/>
        </w:rPr>
        <w:t xml:space="preserve"> emission</w:t>
      </w:r>
      <w:r w:rsidR="00D912D1" w:rsidRPr="002C61B1">
        <w:rPr>
          <w:bCs/>
        </w:rPr>
        <w:t xml:space="preserve"> rate </w:t>
      </w:r>
      <w:r w:rsidR="00D912D1">
        <w:rPr>
          <w:bCs/>
        </w:rPr>
        <w:t xml:space="preserve">for Boiler 2 </w:t>
      </w:r>
      <w:r w:rsidR="00D912D1" w:rsidRPr="002C61B1">
        <w:rPr>
          <w:bCs/>
        </w:rPr>
        <w:t>at Boise White.</w:t>
      </w:r>
      <w:r w:rsidR="00D912D1">
        <w:rPr>
          <w:bCs/>
        </w:rPr>
        <w:t xml:space="preserve"> </w:t>
      </w:r>
    </w:p>
    <w:p w14:paraId="32C88B9C" w14:textId="77777777" w:rsidR="00D912D1" w:rsidRPr="002C61B1" w:rsidRDefault="00D912D1" w:rsidP="0063221D">
      <w:r w:rsidRPr="002C61B1">
        <w:t>In its July 2021 clarification memo,</w:t>
      </w:r>
      <w:r>
        <w:t xml:space="preserve"> </w:t>
      </w:r>
      <w:r w:rsidRPr="002C61B1">
        <w:t>EPA advised that states must show why additional emission reductions are not necessary to make reasonable progress. Section 2.3 addressed the analytical expectations for “effectively controlled” determinations:</w:t>
      </w:r>
    </w:p>
    <w:p w14:paraId="52A0A5CE" w14:textId="77777777" w:rsidR="00D912D1" w:rsidRPr="002C61B1" w:rsidRDefault="00D912D1" w:rsidP="00D912D1">
      <w:pPr>
        <w:pStyle w:val="Quote"/>
        <w:spacing w:line="240" w:lineRule="auto"/>
        <w:contextualSpacing/>
      </w:pPr>
      <w:r w:rsidRPr="002C61B1">
        <w:t xml:space="preserve">The underlying rationale for the “effective controls” flexibility is that if a source’s emissions are already well controlled, it is unlikely that further cost-effective reductions are available. </w:t>
      </w:r>
      <w:r w:rsidRPr="002C61B1">
        <w:rPr>
          <w:b/>
          <w:bCs/>
        </w:rPr>
        <w:t>A state relying on an “effective control” to avoid performing a four-factor analysis for a source should demonstrate why, for that source specifically, a four-factor analysis would not result in new controls and would, therefore, be a futile exercise.</w:t>
      </w:r>
    </w:p>
    <w:p w14:paraId="7805AA45" w14:textId="06D3ACAE" w:rsidR="00D912D1" w:rsidRDefault="00D912D1" w:rsidP="0063221D">
      <w:pPr>
        <w:rPr>
          <w:bCs/>
        </w:rPr>
      </w:pPr>
      <w:r>
        <w:rPr>
          <w:bCs/>
        </w:rPr>
        <w:t xml:space="preserve">MPCA has not demonstrated that conducting a four-factor analysis would be a “futile exercise.” In fact, NPS will show that post-combustion </w:t>
      </w:r>
      <w:r w:rsidRPr="008E60D6">
        <w:rPr>
          <w:rFonts w:cs="Times New Roman"/>
          <w:bCs/>
          <w:szCs w:val="24"/>
        </w:rPr>
        <w:t>NO</w:t>
      </w:r>
      <w:r w:rsidRPr="008E60D6">
        <w:rPr>
          <w:rFonts w:cs="Times New Roman"/>
          <w:bCs/>
          <w:szCs w:val="24"/>
          <w:vertAlign w:val="subscript"/>
        </w:rPr>
        <w:t>X</w:t>
      </w:r>
      <w:r>
        <w:rPr>
          <w:bCs/>
        </w:rPr>
        <w:t xml:space="preserve"> controls on Boiler 2 could be cost-effective. The </w:t>
      </w:r>
      <w:r w:rsidRPr="00EE5698">
        <w:rPr>
          <w:bCs/>
        </w:rPr>
        <w:t xml:space="preserve">NPS recommends that MPCA or require a four-factor evaluation of </w:t>
      </w:r>
      <w:r w:rsidRPr="00DE1DD2">
        <w:rPr>
          <w:rFonts w:cs="Times New Roman"/>
          <w:bCs/>
          <w:szCs w:val="24"/>
        </w:rPr>
        <w:t>NO</w:t>
      </w:r>
      <w:r w:rsidRPr="00DE1DD2">
        <w:rPr>
          <w:rFonts w:cs="Times New Roman"/>
          <w:bCs/>
          <w:szCs w:val="24"/>
          <w:vertAlign w:val="subscript"/>
        </w:rPr>
        <w:t>X</w:t>
      </w:r>
      <w:r>
        <w:rPr>
          <w:bCs/>
        </w:rPr>
        <w:t xml:space="preserve"> these </w:t>
      </w:r>
      <w:r w:rsidRPr="00EE5698">
        <w:rPr>
          <w:bCs/>
        </w:rPr>
        <w:t>emission control opportunities.</w:t>
      </w:r>
    </w:p>
    <w:p w14:paraId="59FA20EA" w14:textId="77777777" w:rsidR="00D912D1" w:rsidRDefault="00D912D1" w:rsidP="00D912D1">
      <w:pPr>
        <w:pStyle w:val="Heading4"/>
        <w:spacing w:line="240" w:lineRule="auto"/>
        <w:contextualSpacing/>
      </w:pPr>
      <w:r>
        <w:t>Statutory Factor 1: Cost of Compliance</w:t>
      </w:r>
    </w:p>
    <w:p w14:paraId="23EB674C" w14:textId="4DB8AC4F" w:rsidR="00F50FEB" w:rsidRDefault="00F50FEB" w:rsidP="00F50FEB">
      <w:pPr>
        <w:spacing w:line="240" w:lineRule="auto"/>
        <w:contextualSpacing/>
      </w:pPr>
      <w:r>
        <w:t>In the absence of a four-factor analysis by MPCA, NPS used information from the draft SIP.</w:t>
      </w:r>
    </w:p>
    <w:p w14:paraId="18E6A65B" w14:textId="77777777" w:rsidR="00F50FEB" w:rsidRPr="00D561F0" w:rsidRDefault="00F50FEB" w:rsidP="00F50FEB">
      <w:pPr>
        <w:pStyle w:val="ListParagraph"/>
      </w:pPr>
      <w:r w:rsidRPr="00D561F0">
        <w:t xml:space="preserve">Based upon CCM Figure 1.1c, SNCR </w:t>
      </w:r>
      <w:r>
        <w:t>is estimated to</w:t>
      </w:r>
      <w:r w:rsidRPr="00D561F0">
        <w:t xml:space="preserve"> reduce </w:t>
      </w:r>
      <w:r w:rsidRPr="00A9462F">
        <w:t>NO</w:t>
      </w:r>
      <w:r>
        <w:rPr>
          <w:vertAlign w:val="subscript"/>
        </w:rPr>
        <w:t>x</w:t>
      </w:r>
      <w:r w:rsidRPr="00D561F0">
        <w:t xml:space="preserve"> emissions by </w:t>
      </w:r>
      <w:r>
        <w:t>20</w:t>
      </w:r>
      <w:r w:rsidRPr="00D561F0">
        <w:t>% from a baseline emission rate of 0.</w:t>
      </w:r>
      <w:r>
        <w:t>25</w:t>
      </w:r>
      <w:r w:rsidRPr="00D561F0">
        <w:t xml:space="preserve"> </w:t>
      </w:r>
      <w:proofErr w:type="spellStart"/>
      <w:r w:rsidRPr="00D561F0">
        <w:t>lb</w:t>
      </w:r>
      <w:proofErr w:type="spellEnd"/>
      <w:r w:rsidRPr="00D561F0">
        <w:t>/</w:t>
      </w:r>
      <w:proofErr w:type="spellStart"/>
      <w:r w:rsidRPr="00D561F0">
        <w:t>mmBtu</w:t>
      </w:r>
      <w:proofErr w:type="spellEnd"/>
      <w:r w:rsidRPr="00D561F0">
        <w:t>.</w:t>
      </w:r>
    </w:p>
    <w:p w14:paraId="6388A774" w14:textId="77777777" w:rsidR="00F50FEB" w:rsidRPr="00D561F0" w:rsidRDefault="00F50FEB" w:rsidP="00F50FEB">
      <w:pPr>
        <w:pStyle w:val="ListParagraph"/>
      </w:pPr>
      <w:r w:rsidRPr="00D561F0">
        <w:t xml:space="preserve">SCR </w:t>
      </w:r>
      <w:r>
        <w:t xml:space="preserve">is assumed to be able to </w:t>
      </w:r>
      <w:r w:rsidRPr="00D561F0">
        <w:t xml:space="preserve">achieve </w:t>
      </w:r>
      <w:r>
        <w:t xml:space="preserve">80% </w:t>
      </w:r>
      <w:r w:rsidRPr="00A625C3">
        <w:t>NO</w:t>
      </w:r>
      <w:r w:rsidRPr="00A625C3">
        <w:rPr>
          <w:vertAlign w:val="subscript"/>
        </w:rPr>
        <w:t>X</w:t>
      </w:r>
      <w:r>
        <w:t xml:space="preserve"> reduction down to </w:t>
      </w:r>
      <w:r w:rsidRPr="00D561F0">
        <w:t>0.0</w:t>
      </w:r>
      <w:r>
        <w:t>5</w:t>
      </w:r>
      <w:r w:rsidRPr="00D561F0">
        <w:t xml:space="preserve"> </w:t>
      </w:r>
      <w:proofErr w:type="spellStart"/>
      <w:r w:rsidRPr="00D561F0">
        <w:t>lb</w:t>
      </w:r>
      <w:proofErr w:type="spellEnd"/>
      <w:r w:rsidRPr="00D561F0">
        <w:t>/</w:t>
      </w:r>
      <w:proofErr w:type="spellStart"/>
      <w:r w:rsidRPr="00D561F0">
        <w:t>mmBtu</w:t>
      </w:r>
      <w:proofErr w:type="spellEnd"/>
      <w:r w:rsidRPr="00D561F0">
        <w:t xml:space="preserve"> for this </w:t>
      </w:r>
      <w:proofErr w:type="spellStart"/>
      <w:r>
        <w:t>woodwaste</w:t>
      </w:r>
      <w:proofErr w:type="spellEnd"/>
      <w:r w:rsidRPr="00D561F0">
        <w:t>-fired boiler.</w:t>
      </w:r>
    </w:p>
    <w:p w14:paraId="0C8D0867" w14:textId="01446A8C" w:rsidR="00F50FEB" w:rsidRDefault="00F50FEB" w:rsidP="00F50FEB">
      <w:pPr>
        <w:pStyle w:val="ListParagraph"/>
      </w:pPr>
      <w:r>
        <w:t>An</w:t>
      </w:r>
      <w:r w:rsidRPr="00D561F0">
        <w:t xml:space="preserve"> SCR catalyst life = 2</w:t>
      </w:r>
      <w:r w:rsidR="001E456B">
        <w:t>0</w:t>
      </w:r>
      <w:r w:rsidRPr="00D561F0">
        <w:t xml:space="preserve">,000 hours for this </w:t>
      </w:r>
      <w:proofErr w:type="spellStart"/>
      <w:r>
        <w:t>woodwaste</w:t>
      </w:r>
      <w:proofErr w:type="spellEnd"/>
      <w:r w:rsidRPr="00D561F0">
        <w:t>-fired boiler.</w:t>
      </w:r>
    </w:p>
    <w:p w14:paraId="76D173F8" w14:textId="77777777" w:rsidR="005E3B0D" w:rsidRDefault="005E3B0D">
      <w:pPr>
        <w:rPr>
          <w:bCs/>
          <w:i/>
          <w:iCs/>
          <w:color w:val="44546A" w:themeColor="text2"/>
          <w:sz w:val="22"/>
          <w:szCs w:val="18"/>
        </w:rPr>
      </w:pPr>
      <w:r>
        <w:br w:type="page"/>
      </w:r>
    </w:p>
    <w:p w14:paraId="49963BD3" w14:textId="3E41A130" w:rsidR="00B448C7" w:rsidRDefault="0063221D" w:rsidP="0063221D">
      <w:pPr>
        <w:pStyle w:val="Caption"/>
      </w:pPr>
      <w:r>
        <w:t xml:space="preserve">Table </w:t>
      </w:r>
      <w:r>
        <w:fldChar w:fldCharType="begin"/>
      </w:r>
      <w:r>
        <w:instrText>SEQ Table \* ARABIC</w:instrText>
      </w:r>
      <w:r>
        <w:fldChar w:fldCharType="separate"/>
      </w:r>
      <w:r w:rsidR="00AE2861">
        <w:rPr>
          <w:noProof/>
        </w:rPr>
        <w:t>16</w:t>
      </w:r>
      <w:r>
        <w:fldChar w:fldCharType="end"/>
      </w:r>
      <w:r>
        <w:t xml:space="preserve">. </w:t>
      </w:r>
      <w:r w:rsidR="00C145CE">
        <w:t>NPS Control</w:t>
      </w:r>
      <w:r w:rsidR="00CB2C36">
        <w:t xml:space="preserve"> Cost Estimates</w:t>
      </w:r>
      <w:r w:rsidR="00C145CE">
        <w:t xml:space="preserve"> for</w:t>
      </w:r>
      <w:r w:rsidR="00C145CE" w:rsidRPr="00C145CE">
        <w:t xml:space="preserve"> Boise Boiler #2 </w:t>
      </w:r>
      <w:r w:rsidR="00C145CE">
        <w:t xml:space="preserve"> </w:t>
      </w:r>
    </w:p>
    <w:tbl>
      <w:tblPr>
        <w:tblW w:w="5000" w:type="pct"/>
        <w:tblLook w:val="04A0" w:firstRow="1" w:lastRow="0" w:firstColumn="1" w:lastColumn="0" w:noHBand="0" w:noVBand="1"/>
      </w:tblPr>
      <w:tblGrid>
        <w:gridCol w:w="5808"/>
        <w:gridCol w:w="1763"/>
        <w:gridCol w:w="1769"/>
      </w:tblGrid>
      <w:tr w:rsidR="001E456B" w:rsidRPr="001E456B" w14:paraId="1C23F6E5" w14:textId="77777777" w:rsidTr="3328C818">
        <w:trPr>
          <w:trHeight w:val="290"/>
        </w:trPr>
        <w:tc>
          <w:tcPr>
            <w:tcW w:w="3109" w:type="pct"/>
            <w:tcBorders>
              <w:top w:val="single" w:sz="8" w:space="0" w:color="auto"/>
              <w:left w:val="single" w:sz="8" w:space="0" w:color="auto"/>
              <w:bottom w:val="single" w:sz="4" w:space="0" w:color="auto"/>
              <w:right w:val="nil"/>
            </w:tcBorders>
            <w:shd w:val="clear" w:color="auto" w:fill="auto"/>
            <w:noWrap/>
            <w:vAlign w:val="bottom"/>
            <w:hideMark/>
          </w:tcPr>
          <w:p w14:paraId="1F55C527" w14:textId="77777777" w:rsidR="001E456B" w:rsidRPr="00C755E6" w:rsidRDefault="001E456B" w:rsidP="0063221D">
            <w:pPr>
              <w:pStyle w:val="Table-Text"/>
              <w:rPr>
                <w:b/>
              </w:rPr>
            </w:pPr>
            <w:r w:rsidRPr="00C755E6">
              <w:rPr>
                <w:b/>
              </w:rPr>
              <w:t>Emission Unit</w:t>
            </w:r>
          </w:p>
        </w:tc>
        <w:tc>
          <w:tcPr>
            <w:tcW w:w="1891" w:type="pct"/>
            <w:gridSpan w:val="2"/>
            <w:tcBorders>
              <w:top w:val="single" w:sz="8" w:space="0" w:color="auto"/>
              <w:left w:val="single" w:sz="8" w:space="0" w:color="auto"/>
              <w:bottom w:val="single" w:sz="4" w:space="0" w:color="auto"/>
              <w:right w:val="single" w:sz="8" w:space="0" w:color="000000" w:themeColor="text1"/>
            </w:tcBorders>
            <w:shd w:val="clear" w:color="auto" w:fill="auto"/>
            <w:noWrap/>
            <w:vAlign w:val="center"/>
            <w:hideMark/>
          </w:tcPr>
          <w:p w14:paraId="38792F9A" w14:textId="77777777" w:rsidR="001E456B" w:rsidRPr="00C755E6" w:rsidRDefault="24795D38" w:rsidP="3328C818">
            <w:pPr>
              <w:pStyle w:val="Table-Text"/>
              <w:jc w:val="center"/>
              <w:rPr>
                <w:b/>
                <w:bCs/>
              </w:rPr>
            </w:pPr>
            <w:r w:rsidRPr="3328C818">
              <w:rPr>
                <w:b/>
                <w:bCs/>
              </w:rPr>
              <w:t>Boiler #2</w:t>
            </w:r>
          </w:p>
        </w:tc>
      </w:tr>
      <w:tr w:rsidR="001E456B" w:rsidRPr="001E456B" w14:paraId="00BAC518" w14:textId="77777777" w:rsidTr="3328C818">
        <w:trPr>
          <w:trHeight w:val="290"/>
        </w:trPr>
        <w:tc>
          <w:tcPr>
            <w:tcW w:w="3109" w:type="pct"/>
            <w:tcBorders>
              <w:top w:val="nil"/>
              <w:left w:val="single" w:sz="8" w:space="0" w:color="auto"/>
              <w:bottom w:val="single" w:sz="4" w:space="0" w:color="auto"/>
              <w:right w:val="nil"/>
            </w:tcBorders>
            <w:shd w:val="clear" w:color="auto" w:fill="auto"/>
            <w:noWrap/>
            <w:vAlign w:val="center"/>
            <w:hideMark/>
          </w:tcPr>
          <w:p w14:paraId="2AC381C4" w14:textId="77777777" w:rsidR="001E456B" w:rsidRPr="00C755E6" w:rsidRDefault="001E456B" w:rsidP="0063221D">
            <w:pPr>
              <w:pStyle w:val="Table-Text"/>
              <w:rPr>
                <w:b/>
              </w:rPr>
            </w:pPr>
            <w:r w:rsidRPr="00C755E6">
              <w:rPr>
                <w:b/>
              </w:rPr>
              <w:t>Control Technology</w:t>
            </w:r>
          </w:p>
        </w:tc>
        <w:tc>
          <w:tcPr>
            <w:tcW w:w="944" w:type="pct"/>
            <w:tcBorders>
              <w:top w:val="nil"/>
              <w:left w:val="single" w:sz="8" w:space="0" w:color="auto"/>
              <w:bottom w:val="single" w:sz="4" w:space="0" w:color="auto"/>
              <w:right w:val="single" w:sz="4" w:space="0" w:color="auto"/>
            </w:tcBorders>
            <w:shd w:val="clear" w:color="auto" w:fill="auto"/>
            <w:noWrap/>
            <w:vAlign w:val="center"/>
            <w:hideMark/>
          </w:tcPr>
          <w:p w14:paraId="2955F620" w14:textId="77777777" w:rsidR="001E456B" w:rsidRPr="00C755E6" w:rsidRDefault="24795D38" w:rsidP="3328C818">
            <w:pPr>
              <w:pStyle w:val="Table-Text"/>
              <w:jc w:val="center"/>
              <w:rPr>
                <w:b/>
                <w:bCs/>
              </w:rPr>
            </w:pPr>
            <w:r w:rsidRPr="3328C818">
              <w:rPr>
                <w:b/>
                <w:bCs/>
              </w:rPr>
              <w:t>SNCR</w:t>
            </w:r>
          </w:p>
        </w:tc>
        <w:tc>
          <w:tcPr>
            <w:tcW w:w="947" w:type="pct"/>
            <w:tcBorders>
              <w:top w:val="nil"/>
              <w:left w:val="nil"/>
              <w:bottom w:val="single" w:sz="4" w:space="0" w:color="auto"/>
              <w:right w:val="single" w:sz="8" w:space="0" w:color="auto"/>
            </w:tcBorders>
            <w:shd w:val="clear" w:color="auto" w:fill="auto"/>
            <w:noWrap/>
            <w:vAlign w:val="center"/>
            <w:hideMark/>
          </w:tcPr>
          <w:p w14:paraId="61CFECC2" w14:textId="77777777" w:rsidR="001E456B" w:rsidRPr="00C755E6" w:rsidRDefault="24795D38" w:rsidP="3328C818">
            <w:pPr>
              <w:pStyle w:val="Table-Text"/>
              <w:jc w:val="center"/>
              <w:rPr>
                <w:b/>
                <w:bCs/>
              </w:rPr>
            </w:pPr>
            <w:r w:rsidRPr="3328C818">
              <w:rPr>
                <w:b/>
                <w:bCs/>
              </w:rPr>
              <w:t>SCR</w:t>
            </w:r>
          </w:p>
        </w:tc>
      </w:tr>
      <w:tr w:rsidR="001E456B" w:rsidRPr="001E456B" w14:paraId="100C99A3" w14:textId="77777777" w:rsidTr="3328C818">
        <w:trPr>
          <w:trHeight w:hRule="exact" w:val="288"/>
        </w:trPr>
        <w:tc>
          <w:tcPr>
            <w:tcW w:w="3109" w:type="pct"/>
            <w:tcBorders>
              <w:top w:val="nil"/>
              <w:left w:val="single" w:sz="8" w:space="0" w:color="auto"/>
              <w:bottom w:val="single" w:sz="4" w:space="0" w:color="auto"/>
              <w:right w:val="nil"/>
            </w:tcBorders>
            <w:shd w:val="clear" w:color="auto" w:fill="auto"/>
            <w:noWrap/>
            <w:vAlign w:val="center"/>
            <w:hideMark/>
          </w:tcPr>
          <w:p w14:paraId="1827CB70" w14:textId="77777777" w:rsidR="001E456B" w:rsidRPr="001E456B" w:rsidRDefault="001E456B" w:rsidP="0063221D">
            <w:pPr>
              <w:pStyle w:val="Table-Text"/>
            </w:pPr>
            <w:r w:rsidRPr="001E456B">
              <w:t>Capacity (</w:t>
            </w:r>
            <w:proofErr w:type="spellStart"/>
            <w:r w:rsidRPr="001E456B">
              <w:t>mmBtu</w:t>
            </w:r>
            <w:proofErr w:type="spellEnd"/>
            <w:r w:rsidRPr="001E456B">
              <w:t>/</w:t>
            </w:r>
            <w:proofErr w:type="spellStart"/>
            <w:r w:rsidRPr="001E456B">
              <w:t>hr</w:t>
            </w:r>
            <w:proofErr w:type="spellEnd"/>
            <w:r w:rsidRPr="001E456B">
              <w:t>)</w:t>
            </w:r>
          </w:p>
        </w:tc>
        <w:tc>
          <w:tcPr>
            <w:tcW w:w="944" w:type="pct"/>
            <w:tcBorders>
              <w:top w:val="nil"/>
              <w:left w:val="single" w:sz="8" w:space="0" w:color="auto"/>
              <w:bottom w:val="single" w:sz="4" w:space="0" w:color="auto"/>
              <w:right w:val="single" w:sz="4" w:space="0" w:color="auto"/>
            </w:tcBorders>
            <w:shd w:val="clear" w:color="auto" w:fill="auto"/>
            <w:noWrap/>
            <w:vAlign w:val="center"/>
            <w:hideMark/>
          </w:tcPr>
          <w:p w14:paraId="49B4577D" w14:textId="77777777" w:rsidR="001E456B" w:rsidRPr="001E456B" w:rsidRDefault="24795D38" w:rsidP="3328C818">
            <w:pPr>
              <w:pStyle w:val="Table-Text"/>
              <w:jc w:val="center"/>
            </w:pPr>
            <w:r>
              <w:t>400</w:t>
            </w:r>
          </w:p>
        </w:tc>
        <w:tc>
          <w:tcPr>
            <w:tcW w:w="947" w:type="pct"/>
            <w:tcBorders>
              <w:top w:val="nil"/>
              <w:left w:val="nil"/>
              <w:bottom w:val="single" w:sz="4" w:space="0" w:color="auto"/>
              <w:right w:val="single" w:sz="8" w:space="0" w:color="auto"/>
            </w:tcBorders>
            <w:shd w:val="clear" w:color="auto" w:fill="auto"/>
            <w:noWrap/>
            <w:vAlign w:val="center"/>
            <w:hideMark/>
          </w:tcPr>
          <w:p w14:paraId="268D268C" w14:textId="77777777" w:rsidR="001E456B" w:rsidRPr="001E456B" w:rsidRDefault="24795D38" w:rsidP="3328C818">
            <w:pPr>
              <w:pStyle w:val="Table-Text"/>
              <w:jc w:val="center"/>
            </w:pPr>
            <w:r>
              <w:t>400</w:t>
            </w:r>
          </w:p>
        </w:tc>
      </w:tr>
      <w:tr w:rsidR="001E456B" w:rsidRPr="001E456B" w14:paraId="25F55C30" w14:textId="77777777" w:rsidTr="3328C818">
        <w:trPr>
          <w:trHeight w:hRule="exact" w:val="288"/>
        </w:trPr>
        <w:tc>
          <w:tcPr>
            <w:tcW w:w="3109" w:type="pct"/>
            <w:tcBorders>
              <w:top w:val="nil"/>
              <w:left w:val="single" w:sz="8" w:space="0" w:color="auto"/>
              <w:bottom w:val="single" w:sz="4" w:space="0" w:color="auto"/>
              <w:right w:val="nil"/>
            </w:tcBorders>
            <w:shd w:val="clear" w:color="auto" w:fill="auto"/>
            <w:noWrap/>
            <w:vAlign w:val="center"/>
            <w:hideMark/>
          </w:tcPr>
          <w:p w14:paraId="4E6EAE59" w14:textId="77777777" w:rsidR="001E456B" w:rsidRPr="001E456B" w:rsidRDefault="001E456B" w:rsidP="0063221D">
            <w:pPr>
              <w:pStyle w:val="Table-Text"/>
            </w:pPr>
            <w:r w:rsidRPr="001E456B">
              <w:t>Retrofit factor</w:t>
            </w:r>
          </w:p>
        </w:tc>
        <w:tc>
          <w:tcPr>
            <w:tcW w:w="944" w:type="pct"/>
            <w:tcBorders>
              <w:top w:val="nil"/>
              <w:left w:val="single" w:sz="8" w:space="0" w:color="auto"/>
              <w:bottom w:val="single" w:sz="4" w:space="0" w:color="auto"/>
              <w:right w:val="single" w:sz="4" w:space="0" w:color="auto"/>
            </w:tcBorders>
            <w:shd w:val="clear" w:color="auto" w:fill="auto"/>
            <w:noWrap/>
            <w:vAlign w:val="center"/>
            <w:hideMark/>
          </w:tcPr>
          <w:p w14:paraId="072365A6" w14:textId="77777777" w:rsidR="001E456B" w:rsidRPr="001E456B" w:rsidRDefault="24795D38" w:rsidP="3328C818">
            <w:pPr>
              <w:pStyle w:val="Table-Text"/>
              <w:jc w:val="center"/>
            </w:pPr>
            <w:r>
              <w:t>1</w:t>
            </w:r>
          </w:p>
        </w:tc>
        <w:tc>
          <w:tcPr>
            <w:tcW w:w="947" w:type="pct"/>
            <w:tcBorders>
              <w:top w:val="nil"/>
              <w:left w:val="nil"/>
              <w:bottom w:val="single" w:sz="4" w:space="0" w:color="auto"/>
              <w:right w:val="single" w:sz="8" w:space="0" w:color="auto"/>
            </w:tcBorders>
            <w:shd w:val="clear" w:color="auto" w:fill="auto"/>
            <w:noWrap/>
            <w:vAlign w:val="center"/>
            <w:hideMark/>
          </w:tcPr>
          <w:p w14:paraId="73FF588F" w14:textId="77777777" w:rsidR="001E456B" w:rsidRPr="001E456B" w:rsidRDefault="24795D38" w:rsidP="3328C818">
            <w:pPr>
              <w:pStyle w:val="Table-Text"/>
              <w:jc w:val="center"/>
            </w:pPr>
            <w:r>
              <w:t>1</w:t>
            </w:r>
          </w:p>
        </w:tc>
      </w:tr>
      <w:tr w:rsidR="001E456B" w:rsidRPr="001E456B" w14:paraId="6F2F21F0" w14:textId="77777777" w:rsidTr="3328C818">
        <w:trPr>
          <w:trHeight w:hRule="exact" w:val="288"/>
        </w:trPr>
        <w:tc>
          <w:tcPr>
            <w:tcW w:w="3109" w:type="pct"/>
            <w:tcBorders>
              <w:top w:val="nil"/>
              <w:left w:val="single" w:sz="8" w:space="0" w:color="auto"/>
              <w:bottom w:val="single" w:sz="4" w:space="0" w:color="auto"/>
              <w:right w:val="nil"/>
            </w:tcBorders>
            <w:shd w:val="clear" w:color="auto" w:fill="auto"/>
            <w:noWrap/>
            <w:vAlign w:val="center"/>
            <w:hideMark/>
          </w:tcPr>
          <w:p w14:paraId="50DE6930" w14:textId="77777777" w:rsidR="001E456B" w:rsidRPr="001E456B" w:rsidRDefault="001E456B" w:rsidP="0063221D">
            <w:pPr>
              <w:pStyle w:val="Table-Text"/>
            </w:pPr>
            <w:r w:rsidRPr="001E456B">
              <w:t>CEPCI</w:t>
            </w:r>
          </w:p>
        </w:tc>
        <w:tc>
          <w:tcPr>
            <w:tcW w:w="944" w:type="pct"/>
            <w:tcBorders>
              <w:top w:val="nil"/>
              <w:left w:val="single" w:sz="8" w:space="0" w:color="auto"/>
              <w:bottom w:val="single" w:sz="4" w:space="0" w:color="auto"/>
              <w:right w:val="single" w:sz="4" w:space="0" w:color="auto"/>
            </w:tcBorders>
            <w:shd w:val="clear" w:color="auto" w:fill="auto"/>
            <w:noWrap/>
            <w:vAlign w:val="center"/>
            <w:hideMark/>
          </w:tcPr>
          <w:p w14:paraId="7F7648C6" w14:textId="77777777" w:rsidR="001E456B" w:rsidRPr="001E456B" w:rsidRDefault="24795D38" w:rsidP="3328C818">
            <w:pPr>
              <w:pStyle w:val="Table-Text"/>
              <w:jc w:val="center"/>
            </w:pPr>
            <w:r>
              <w:t>607.5</w:t>
            </w:r>
          </w:p>
        </w:tc>
        <w:tc>
          <w:tcPr>
            <w:tcW w:w="947" w:type="pct"/>
            <w:tcBorders>
              <w:top w:val="nil"/>
              <w:left w:val="nil"/>
              <w:bottom w:val="single" w:sz="4" w:space="0" w:color="auto"/>
              <w:right w:val="single" w:sz="8" w:space="0" w:color="auto"/>
            </w:tcBorders>
            <w:shd w:val="clear" w:color="auto" w:fill="auto"/>
            <w:noWrap/>
            <w:vAlign w:val="center"/>
            <w:hideMark/>
          </w:tcPr>
          <w:p w14:paraId="77D2DB2C" w14:textId="77777777" w:rsidR="001E456B" w:rsidRPr="001E456B" w:rsidRDefault="24795D38" w:rsidP="3328C818">
            <w:pPr>
              <w:pStyle w:val="Table-Text"/>
              <w:jc w:val="center"/>
            </w:pPr>
            <w:r>
              <w:t>607.5</w:t>
            </w:r>
          </w:p>
        </w:tc>
      </w:tr>
      <w:tr w:rsidR="001E456B" w:rsidRPr="001E456B" w14:paraId="7E325317" w14:textId="77777777" w:rsidTr="3328C818">
        <w:trPr>
          <w:trHeight w:hRule="exact" w:val="288"/>
        </w:trPr>
        <w:tc>
          <w:tcPr>
            <w:tcW w:w="3109" w:type="pct"/>
            <w:tcBorders>
              <w:top w:val="nil"/>
              <w:left w:val="single" w:sz="8" w:space="0" w:color="auto"/>
              <w:bottom w:val="single" w:sz="4" w:space="0" w:color="auto"/>
              <w:right w:val="nil"/>
            </w:tcBorders>
            <w:shd w:val="clear" w:color="auto" w:fill="auto"/>
            <w:noWrap/>
            <w:vAlign w:val="bottom"/>
            <w:hideMark/>
          </w:tcPr>
          <w:p w14:paraId="7E35F73C" w14:textId="77777777" w:rsidR="001E456B" w:rsidRPr="001E456B" w:rsidRDefault="001E456B" w:rsidP="0063221D">
            <w:pPr>
              <w:pStyle w:val="Table-Text"/>
            </w:pPr>
            <w:r w:rsidRPr="001E456B">
              <w:t xml:space="preserve">Capital Cost </w:t>
            </w:r>
          </w:p>
        </w:tc>
        <w:tc>
          <w:tcPr>
            <w:tcW w:w="944" w:type="pct"/>
            <w:tcBorders>
              <w:top w:val="nil"/>
              <w:left w:val="single" w:sz="8" w:space="0" w:color="auto"/>
              <w:bottom w:val="single" w:sz="4" w:space="0" w:color="auto"/>
              <w:right w:val="single" w:sz="4" w:space="0" w:color="auto"/>
            </w:tcBorders>
            <w:shd w:val="clear" w:color="auto" w:fill="auto"/>
            <w:noWrap/>
            <w:vAlign w:val="center"/>
            <w:hideMark/>
          </w:tcPr>
          <w:p w14:paraId="775AAD28" w14:textId="77777777" w:rsidR="001E456B" w:rsidRPr="001E456B" w:rsidRDefault="24795D38" w:rsidP="3328C818">
            <w:pPr>
              <w:pStyle w:val="Table-Text"/>
              <w:jc w:val="center"/>
            </w:pPr>
            <w:r>
              <w:t xml:space="preserve"> $   3,964,043 </w:t>
            </w:r>
          </w:p>
        </w:tc>
        <w:tc>
          <w:tcPr>
            <w:tcW w:w="947" w:type="pct"/>
            <w:tcBorders>
              <w:top w:val="nil"/>
              <w:left w:val="nil"/>
              <w:bottom w:val="single" w:sz="4" w:space="0" w:color="auto"/>
              <w:right w:val="single" w:sz="8" w:space="0" w:color="auto"/>
            </w:tcBorders>
            <w:shd w:val="clear" w:color="auto" w:fill="auto"/>
            <w:noWrap/>
            <w:vAlign w:val="center"/>
            <w:hideMark/>
          </w:tcPr>
          <w:p w14:paraId="6CB1DB2E" w14:textId="77777777" w:rsidR="001E456B" w:rsidRPr="001E456B" w:rsidRDefault="24795D38" w:rsidP="3328C818">
            <w:pPr>
              <w:pStyle w:val="Table-Text"/>
              <w:jc w:val="center"/>
            </w:pPr>
            <w:r>
              <w:t xml:space="preserve"> $ 21,253,112 </w:t>
            </w:r>
          </w:p>
        </w:tc>
      </w:tr>
      <w:tr w:rsidR="001E456B" w:rsidRPr="001E456B" w14:paraId="70CD3514" w14:textId="77777777" w:rsidTr="3328C818">
        <w:trPr>
          <w:trHeight w:hRule="exact" w:val="288"/>
        </w:trPr>
        <w:tc>
          <w:tcPr>
            <w:tcW w:w="3109" w:type="pct"/>
            <w:tcBorders>
              <w:top w:val="nil"/>
              <w:left w:val="single" w:sz="8" w:space="0" w:color="auto"/>
              <w:bottom w:val="single" w:sz="4" w:space="0" w:color="auto"/>
              <w:right w:val="nil"/>
            </w:tcBorders>
            <w:shd w:val="clear" w:color="auto" w:fill="auto"/>
            <w:noWrap/>
            <w:vAlign w:val="bottom"/>
            <w:hideMark/>
          </w:tcPr>
          <w:p w14:paraId="6BAAA266" w14:textId="77777777" w:rsidR="001E456B" w:rsidRPr="001E456B" w:rsidRDefault="001E456B" w:rsidP="0063221D">
            <w:pPr>
              <w:pStyle w:val="Table-Text"/>
            </w:pPr>
            <w:r w:rsidRPr="001E456B">
              <w:t>Interest rate (%)</w:t>
            </w:r>
          </w:p>
        </w:tc>
        <w:tc>
          <w:tcPr>
            <w:tcW w:w="944" w:type="pct"/>
            <w:tcBorders>
              <w:top w:val="nil"/>
              <w:left w:val="single" w:sz="8" w:space="0" w:color="auto"/>
              <w:bottom w:val="single" w:sz="4" w:space="0" w:color="auto"/>
              <w:right w:val="single" w:sz="4" w:space="0" w:color="auto"/>
            </w:tcBorders>
            <w:shd w:val="clear" w:color="auto" w:fill="auto"/>
            <w:noWrap/>
            <w:vAlign w:val="center"/>
            <w:hideMark/>
          </w:tcPr>
          <w:p w14:paraId="0C250570" w14:textId="77777777" w:rsidR="001E456B" w:rsidRPr="001E456B" w:rsidRDefault="24795D38" w:rsidP="3328C818">
            <w:pPr>
              <w:pStyle w:val="Table-Text"/>
              <w:jc w:val="center"/>
            </w:pPr>
            <w:r>
              <w:t>3.50</w:t>
            </w:r>
          </w:p>
        </w:tc>
        <w:tc>
          <w:tcPr>
            <w:tcW w:w="947" w:type="pct"/>
            <w:tcBorders>
              <w:top w:val="nil"/>
              <w:left w:val="nil"/>
              <w:bottom w:val="single" w:sz="4" w:space="0" w:color="auto"/>
              <w:right w:val="single" w:sz="8" w:space="0" w:color="auto"/>
            </w:tcBorders>
            <w:shd w:val="clear" w:color="auto" w:fill="auto"/>
            <w:noWrap/>
            <w:vAlign w:val="center"/>
            <w:hideMark/>
          </w:tcPr>
          <w:p w14:paraId="034E6033" w14:textId="77777777" w:rsidR="001E456B" w:rsidRPr="001E456B" w:rsidRDefault="24795D38" w:rsidP="3328C818">
            <w:pPr>
              <w:pStyle w:val="Table-Text"/>
              <w:jc w:val="center"/>
            </w:pPr>
            <w:r>
              <w:t>3.50</w:t>
            </w:r>
          </w:p>
        </w:tc>
      </w:tr>
      <w:tr w:rsidR="001E456B" w:rsidRPr="001E456B" w14:paraId="1DF79B8F" w14:textId="77777777" w:rsidTr="3328C818">
        <w:trPr>
          <w:trHeight w:hRule="exact" w:val="288"/>
        </w:trPr>
        <w:tc>
          <w:tcPr>
            <w:tcW w:w="3109" w:type="pct"/>
            <w:tcBorders>
              <w:top w:val="nil"/>
              <w:left w:val="single" w:sz="8" w:space="0" w:color="auto"/>
              <w:bottom w:val="single" w:sz="4" w:space="0" w:color="auto"/>
              <w:right w:val="nil"/>
            </w:tcBorders>
            <w:shd w:val="clear" w:color="auto" w:fill="auto"/>
            <w:noWrap/>
            <w:vAlign w:val="bottom"/>
            <w:hideMark/>
          </w:tcPr>
          <w:p w14:paraId="0B7A3516" w14:textId="77777777" w:rsidR="001E456B" w:rsidRPr="001E456B" w:rsidRDefault="001E456B" w:rsidP="0063221D">
            <w:pPr>
              <w:pStyle w:val="Table-Text"/>
            </w:pPr>
            <w:r w:rsidRPr="001E456B">
              <w:t>Control Equipment Life (</w:t>
            </w:r>
            <w:proofErr w:type="spellStart"/>
            <w:r w:rsidRPr="001E456B">
              <w:t>yr</w:t>
            </w:r>
            <w:proofErr w:type="spellEnd"/>
            <w:r w:rsidRPr="001E456B">
              <w:t>)</w:t>
            </w:r>
          </w:p>
        </w:tc>
        <w:tc>
          <w:tcPr>
            <w:tcW w:w="944" w:type="pct"/>
            <w:tcBorders>
              <w:top w:val="nil"/>
              <w:left w:val="single" w:sz="8" w:space="0" w:color="auto"/>
              <w:bottom w:val="single" w:sz="4" w:space="0" w:color="auto"/>
              <w:right w:val="single" w:sz="4" w:space="0" w:color="auto"/>
            </w:tcBorders>
            <w:shd w:val="clear" w:color="auto" w:fill="auto"/>
            <w:noWrap/>
            <w:vAlign w:val="center"/>
            <w:hideMark/>
          </w:tcPr>
          <w:p w14:paraId="6A5337ED" w14:textId="77777777" w:rsidR="001E456B" w:rsidRPr="001E456B" w:rsidRDefault="24795D38" w:rsidP="3328C818">
            <w:pPr>
              <w:pStyle w:val="Table-Text"/>
              <w:jc w:val="center"/>
            </w:pPr>
            <w:r>
              <w:t>20</w:t>
            </w:r>
          </w:p>
        </w:tc>
        <w:tc>
          <w:tcPr>
            <w:tcW w:w="947" w:type="pct"/>
            <w:tcBorders>
              <w:top w:val="nil"/>
              <w:left w:val="nil"/>
              <w:bottom w:val="single" w:sz="4" w:space="0" w:color="auto"/>
              <w:right w:val="single" w:sz="8" w:space="0" w:color="auto"/>
            </w:tcBorders>
            <w:shd w:val="clear" w:color="auto" w:fill="auto"/>
            <w:noWrap/>
            <w:vAlign w:val="center"/>
            <w:hideMark/>
          </w:tcPr>
          <w:p w14:paraId="15955C03" w14:textId="77777777" w:rsidR="001E456B" w:rsidRPr="001E456B" w:rsidRDefault="24795D38" w:rsidP="3328C818">
            <w:pPr>
              <w:pStyle w:val="Table-Text"/>
              <w:jc w:val="center"/>
            </w:pPr>
            <w:r>
              <w:t>25</w:t>
            </w:r>
          </w:p>
        </w:tc>
      </w:tr>
      <w:tr w:rsidR="001E456B" w:rsidRPr="001E456B" w14:paraId="0170425C" w14:textId="77777777" w:rsidTr="3328C818">
        <w:trPr>
          <w:trHeight w:hRule="exact" w:val="288"/>
        </w:trPr>
        <w:tc>
          <w:tcPr>
            <w:tcW w:w="3109" w:type="pct"/>
            <w:tcBorders>
              <w:top w:val="nil"/>
              <w:left w:val="single" w:sz="8" w:space="0" w:color="auto"/>
              <w:bottom w:val="single" w:sz="4" w:space="0" w:color="auto"/>
              <w:right w:val="nil"/>
            </w:tcBorders>
            <w:shd w:val="clear" w:color="auto" w:fill="auto"/>
            <w:noWrap/>
            <w:vAlign w:val="bottom"/>
            <w:hideMark/>
          </w:tcPr>
          <w:p w14:paraId="3F1786D4" w14:textId="77777777" w:rsidR="001E456B" w:rsidRPr="001E456B" w:rsidRDefault="001E456B" w:rsidP="0063221D">
            <w:pPr>
              <w:pStyle w:val="Table-Text"/>
            </w:pPr>
            <w:r w:rsidRPr="001E456B">
              <w:t>Capital Recovery Cost</w:t>
            </w:r>
          </w:p>
        </w:tc>
        <w:tc>
          <w:tcPr>
            <w:tcW w:w="944" w:type="pct"/>
            <w:tcBorders>
              <w:top w:val="nil"/>
              <w:left w:val="single" w:sz="8" w:space="0" w:color="auto"/>
              <w:bottom w:val="single" w:sz="4" w:space="0" w:color="auto"/>
              <w:right w:val="single" w:sz="4" w:space="0" w:color="auto"/>
            </w:tcBorders>
            <w:shd w:val="clear" w:color="auto" w:fill="auto"/>
            <w:noWrap/>
            <w:vAlign w:val="center"/>
            <w:hideMark/>
          </w:tcPr>
          <w:p w14:paraId="049C509B" w14:textId="77777777" w:rsidR="001E456B" w:rsidRPr="001E456B" w:rsidRDefault="24795D38" w:rsidP="3328C818">
            <w:pPr>
              <w:pStyle w:val="Table-Text"/>
              <w:jc w:val="center"/>
            </w:pPr>
            <w:r>
              <w:t xml:space="preserve"> $      279,069 </w:t>
            </w:r>
          </w:p>
        </w:tc>
        <w:tc>
          <w:tcPr>
            <w:tcW w:w="947" w:type="pct"/>
            <w:tcBorders>
              <w:top w:val="nil"/>
              <w:left w:val="nil"/>
              <w:bottom w:val="single" w:sz="4" w:space="0" w:color="auto"/>
              <w:right w:val="single" w:sz="8" w:space="0" w:color="auto"/>
            </w:tcBorders>
            <w:shd w:val="clear" w:color="auto" w:fill="auto"/>
            <w:noWrap/>
            <w:vAlign w:val="center"/>
            <w:hideMark/>
          </w:tcPr>
          <w:p w14:paraId="7BCCF8C3" w14:textId="77777777" w:rsidR="001E456B" w:rsidRPr="001E456B" w:rsidRDefault="24795D38" w:rsidP="3328C818">
            <w:pPr>
              <w:pStyle w:val="Table-Text"/>
              <w:jc w:val="center"/>
            </w:pPr>
            <w:r>
              <w:t xml:space="preserve"> $ 21,253,112 </w:t>
            </w:r>
          </w:p>
        </w:tc>
      </w:tr>
      <w:tr w:rsidR="001E456B" w:rsidRPr="001E456B" w14:paraId="1E611DC6" w14:textId="77777777" w:rsidTr="3328C818">
        <w:trPr>
          <w:trHeight w:hRule="exact" w:val="288"/>
        </w:trPr>
        <w:tc>
          <w:tcPr>
            <w:tcW w:w="3109" w:type="pct"/>
            <w:tcBorders>
              <w:top w:val="nil"/>
              <w:left w:val="single" w:sz="8" w:space="0" w:color="auto"/>
              <w:bottom w:val="single" w:sz="4" w:space="0" w:color="auto"/>
              <w:right w:val="nil"/>
            </w:tcBorders>
            <w:shd w:val="clear" w:color="auto" w:fill="auto"/>
            <w:noWrap/>
            <w:vAlign w:val="bottom"/>
            <w:hideMark/>
          </w:tcPr>
          <w:p w14:paraId="4AAE7E17" w14:textId="77777777" w:rsidR="001E456B" w:rsidRPr="001E456B" w:rsidRDefault="001E456B" w:rsidP="0063221D">
            <w:pPr>
              <w:pStyle w:val="Table-Text"/>
            </w:pPr>
            <w:r w:rsidRPr="001E456B">
              <w:t>Indirect Cost/Fixed O&amp;M</w:t>
            </w:r>
          </w:p>
        </w:tc>
        <w:tc>
          <w:tcPr>
            <w:tcW w:w="944" w:type="pct"/>
            <w:tcBorders>
              <w:top w:val="nil"/>
              <w:left w:val="single" w:sz="8" w:space="0" w:color="auto"/>
              <w:bottom w:val="single" w:sz="4" w:space="0" w:color="auto"/>
              <w:right w:val="single" w:sz="4" w:space="0" w:color="auto"/>
            </w:tcBorders>
            <w:shd w:val="clear" w:color="auto" w:fill="auto"/>
            <w:noWrap/>
            <w:vAlign w:val="center"/>
            <w:hideMark/>
          </w:tcPr>
          <w:p w14:paraId="23281AD1" w14:textId="77777777" w:rsidR="001E456B" w:rsidRPr="001E456B" w:rsidRDefault="24795D38" w:rsidP="3328C818">
            <w:pPr>
              <w:pStyle w:val="Table-Text"/>
              <w:jc w:val="center"/>
            </w:pPr>
            <w:r>
              <w:t xml:space="preserve"> $      280,852 </w:t>
            </w:r>
          </w:p>
        </w:tc>
        <w:tc>
          <w:tcPr>
            <w:tcW w:w="947" w:type="pct"/>
            <w:tcBorders>
              <w:top w:val="nil"/>
              <w:left w:val="nil"/>
              <w:bottom w:val="single" w:sz="4" w:space="0" w:color="auto"/>
              <w:right w:val="single" w:sz="8" w:space="0" w:color="auto"/>
            </w:tcBorders>
            <w:shd w:val="clear" w:color="auto" w:fill="auto"/>
            <w:noWrap/>
            <w:vAlign w:val="center"/>
            <w:hideMark/>
          </w:tcPr>
          <w:p w14:paraId="5499766D" w14:textId="77777777" w:rsidR="001E456B" w:rsidRPr="001E456B" w:rsidRDefault="24795D38" w:rsidP="3328C818">
            <w:pPr>
              <w:pStyle w:val="Table-Text"/>
              <w:jc w:val="center"/>
            </w:pPr>
            <w:r>
              <w:t xml:space="preserve"> $   1,290,064 </w:t>
            </w:r>
          </w:p>
        </w:tc>
      </w:tr>
      <w:tr w:rsidR="00245F4F" w:rsidRPr="001E456B" w14:paraId="1E60C895" w14:textId="77777777" w:rsidTr="3328C818">
        <w:trPr>
          <w:trHeight w:hRule="exact" w:val="288"/>
        </w:trPr>
        <w:tc>
          <w:tcPr>
            <w:tcW w:w="3109" w:type="pct"/>
            <w:tcBorders>
              <w:top w:val="nil"/>
              <w:left w:val="single" w:sz="8" w:space="0" w:color="auto"/>
              <w:bottom w:val="single" w:sz="4" w:space="0" w:color="auto"/>
              <w:right w:val="nil"/>
            </w:tcBorders>
            <w:shd w:val="clear" w:color="auto" w:fill="auto"/>
            <w:noWrap/>
            <w:vAlign w:val="bottom"/>
          </w:tcPr>
          <w:p w14:paraId="219F81CD" w14:textId="1FF0AD57" w:rsidR="00245F4F" w:rsidRPr="001E456B" w:rsidRDefault="00245F4F" w:rsidP="0063221D">
            <w:pPr>
              <w:pStyle w:val="Table-Text"/>
            </w:pPr>
            <w:r>
              <w:t>Catalyst Life (hours)</w:t>
            </w:r>
          </w:p>
        </w:tc>
        <w:tc>
          <w:tcPr>
            <w:tcW w:w="944" w:type="pct"/>
            <w:tcBorders>
              <w:top w:val="nil"/>
              <w:left w:val="single" w:sz="8" w:space="0" w:color="auto"/>
              <w:bottom w:val="single" w:sz="4" w:space="0" w:color="auto"/>
              <w:right w:val="single" w:sz="4" w:space="0" w:color="auto"/>
            </w:tcBorders>
            <w:shd w:val="clear" w:color="auto" w:fill="auto"/>
            <w:noWrap/>
            <w:vAlign w:val="center"/>
          </w:tcPr>
          <w:p w14:paraId="7F435815" w14:textId="77777777" w:rsidR="00245F4F" w:rsidRPr="001E456B" w:rsidRDefault="00245F4F" w:rsidP="3328C818">
            <w:pPr>
              <w:pStyle w:val="Table-Text"/>
              <w:jc w:val="center"/>
            </w:pPr>
          </w:p>
        </w:tc>
        <w:tc>
          <w:tcPr>
            <w:tcW w:w="947" w:type="pct"/>
            <w:tcBorders>
              <w:top w:val="nil"/>
              <w:left w:val="nil"/>
              <w:bottom w:val="single" w:sz="4" w:space="0" w:color="auto"/>
              <w:right w:val="single" w:sz="8" w:space="0" w:color="auto"/>
            </w:tcBorders>
            <w:shd w:val="clear" w:color="auto" w:fill="auto"/>
            <w:noWrap/>
            <w:vAlign w:val="center"/>
          </w:tcPr>
          <w:p w14:paraId="559709D3" w14:textId="3D543DDF" w:rsidR="00245F4F" w:rsidRPr="001E456B" w:rsidRDefault="3C741BF3" w:rsidP="3328C818">
            <w:pPr>
              <w:pStyle w:val="Table-Text"/>
              <w:jc w:val="center"/>
            </w:pPr>
            <w:r>
              <w:t>20,000</w:t>
            </w:r>
          </w:p>
        </w:tc>
      </w:tr>
      <w:tr w:rsidR="001E456B" w:rsidRPr="001E456B" w14:paraId="04EFBDBB" w14:textId="77777777" w:rsidTr="3328C818">
        <w:trPr>
          <w:trHeight w:hRule="exact" w:val="288"/>
        </w:trPr>
        <w:tc>
          <w:tcPr>
            <w:tcW w:w="3109" w:type="pct"/>
            <w:tcBorders>
              <w:top w:val="nil"/>
              <w:left w:val="single" w:sz="8" w:space="0" w:color="auto"/>
              <w:bottom w:val="single" w:sz="4" w:space="0" w:color="auto"/>
              <w:right w:val="nil"/>
            </w:tcBorders>
            <w:shd w:val="clear" w:color="auto" w:fill="auto"/>
            <w:noWrap/>
            <w:vAlign w:val="bottom"/>
            <w:hideMark/>
          </w:tcPr>
          <w:p w14:paraId="0EBFF72B" w14:textId="77777777" w:rsidR="001E456B" w:rsidRPr="001E456B" w:rsidRDefault="001E456B" w:rsidP="0063221D">
            <w:pPr>
              <w:pStyle w:val="Table-Text"/>
            </w:pPr>
            <w:r w:rsidRPr="001E456B">
              <w:t>Direct Cost/Variable O&amp;M</w:t>
            </w:r>
          </w:p>
        </w:tc>
        <w:tc>
          <w:tcPr>
            <w:tcW w:w="944" w:type="pct"/>
            <w:tcBorders>
              <w:top w:val="nil"/>
              <w:left w:val="single" w:sz="8" w:space="0" w:color="auto"/>
              <w:bottom w:val="single" w:sz="4" w:space="0" w:color="auto"/>
              <w:right w:val="single" w:sz="4" w:space="0" w:color="auto"/>
            </w:tcBorders>
            <w:shd w:val="clear" w:color="auto" w:fill="auto"/>
            <w:noWrap/>
            <w:vAlign w:val="center"/>
            <w:hideMark/>
          </w:tcPr>
          <w:p w14:paraId="7579F5F9" w14:textId="77777777" w:rsidR="001E456B" w:rsidRPr="001E456B" w:rsidRDefault="24795D38" w:rsidP="3328C818">
            <w:pPr>
              <w:pStyle w:val="Table-Text"/>
              <w:jc w:val="center"/>
            </w:pPr>
            <w:r>
              <w:t xml:space="preserve"> $      110,882 </w:t>
            </w:r>
          </w:p>
        </w:tc>
        <w:tc>
          <w:tcPr>
            <w:tcW w:w="947" w:type="pct"/>
            <w:tcBorders>
              <w:top w:val="nil"/>
              <w:left w:val="nil"/>
              <w:bottom w:val="single" w:sz="4" w:space="0" w:color="auto"/>
              <w:right w:val="single" w:sz="8" w:space="0" w:color="auto"/>
            </w:tcBorders>
            <w:shd w:val="clear" w:color="auto" w:fill="auto"/>
            <w:noWrap/>
            <w:vAlign w:val="center"/>
            <w:hideMark/>
          </w:tcPr>
          <w:p w14:paraId="62DE4AFD" w14:textId="77777777" w:rsidR="001E456B" w:rsidRPr="001E456B" w:rsidRDefault="24795D38" w:rsidP="3328C818">
            <w:pPr>
              <w:pStyle w:val="Table-Text"/>
              <w:jc w:val="center"/>
            </w:pPr>
            <w:r>
              <w:t xml:space="preserve"> $   1,293,967 </w:t>
            </w:r>
          </w:p>
        </w:tc>
      </w:tr>
      <w:tr w:rsidR="001E456B" w:rsidRPr="001E456B" w14:paraId="74BAF665" w14:textId="77777777" w:rsidTr="3328C818">
        <w:trPr>
          <w:trHeight w:hRule="exact" w:val="288"/>
        </w:trPr>
        <w:tc>
          <w:tcPr>
            <w:tcW w:w="3109" w:type="pct"/>
            <w:tcBorders>
              <w:top w:val="nil"/>
              <w:left w:val="single" w:sz="8" w:space="0" w:color="auto"/>
              <w:bottom w:val="single" w:sz="4" w:space="0" w:color="auto"/>
              <w:right w:val="nil"/>
            </w:tcBorders>
            <w:shd w:val="clear" w:color="auto" w:fill="auto"/>
            <w:noWrap/>
            <w:vAlign w:val="bottom"/>
            <w:hideMark/>
          </w:tcPr>
          <w:p w14:paraId="7C4E5F09" w14:textId="77777777" w:rsidR="001E456B" w:rsidRPr="001E456B" w:rsidRDefault="001E456B" w:rsidP="0063221D">
            <w:pPr>
              <w:pStyle w:val="Table-Text"/>
            </w:pPr>
            <w:r w:rsidRPr="001E456B">
              <w:t xml:space="preserve">Total Annual Cost </w:t>
            </w:r>
          </w:p>
        </w:tc>
        <w:tc>
          <w:tcPr>
            <w:tcW w:w="944" w:type="pct"/>
            <w:tcBorders>
              <w:top w:val="nil"/>
              <w:left w:val="single" w:sz="8" w:space="0" w:color="auto"/>
              <w:bottom w:val="single" w:sz="4" w:space="0" w:color="auto"/>
              <w:right w:val="single" w:sz="4" w:space="0" w:color="auto"/>
            </w:tcBorders>
            <w:shd w:val="clear" w:color="auto" w:fill="auto"/>
            <w:noWrap/>
            <w:vAlign w:val="center"/>
            <w:hideMark/>
          </w:tcPr>
          <w:p w14:paraId="65A0CDA2" w14:textId="77777777" w:rsidR="001E456B" w:rsidRPr="001E456B" w:rsidRDefault="24795D38" w:rsidP="3328C818">
            <w:pPr>
              <w:pStyle w:val="Table-Text"/>
              <w:jc w:val="center"/>
            </w:pPr>
            <w:r>
              <w:t xml:space="preserve"> $      391,735 </w:t>
            </w:r>
          </w:p>
        </w:tc>
        <w:tc>
          <w:tcPr>
            <w:tcW w:w="947" w:type="pct"/>
            <w:tcBorders>
              <w:top w:val="nil"/>
              <w:left w:val="nil"/>
              <w:bottom w:val="single" w:sz="4" w:space="0" w:color="auto"/>
              <w:right w:val="single" w:sz="8" w:space="0" w:color="auto"/>
            </w:tcBorders>
            <w:shd w:val="clear" w:color="auto" w:fill="auto"/>
            <w:noWrap/>
            <w:vAlign w:val="center"/>
            <w:hideMark/>
          </w:tcPr>
          <w:p w14:paraId="64FDB94F" w14:textId="77777777" w:rsidR="001E456B" w:rsidRPr="001E456B" w:rsidRDefault="24795D38" w:rsidP="3328C818">
            <w:pPr>
              <w:pStyle w:val="Table-Text"/>
              <w:jc w:val="center"/>
            </w:pPr>
            <w:r>
              <w:t xml:space="preserve"> $   1,646,615 </w:t>
            </w:r>
          </w:p>
        </w:tc>
      </w:tr>
      <w:tr w:rsidR="001E456B" w:rsidRPr="001E456B" w14:paraId="4727EE47" w14:textId="77777777" w:rsidTr="3328C818">
        <w:trPr>
          <w:trHeight w:hRule="exact" w:val="288"/>
        </w:trPr>
        <w:tc>
          <w:tcPr>
            <w:tcW w:w="3109" w:type="pct"/>
            <w:tcBorders>
              <w:top w:val="nil"/>
              <w:left w:val="single" w:sz="8" w:space="0" w:color="auto"/>
              <w:bottom w:val="single" w:sz="4" w:space="0" w:color="auto"/>
              <w:right w:val="nil"/>
            </w:tcBorders>
            <w:shd w:val="clear" w:color="auto" w:fill="auto"/>
            <w:noWrap/>
            <w:vAlign w:val="bottom"/>
            <w:hideMark/>
          </w:tcPr>
          <w:p w14:paraId="438B73B5" w14:textId="77777777" w:rsidR="001E456B" w:rsidRPr="001E456B" w:rsidRDefault="001E456B" w:rsidP="0063221D">
            <w:pPr>
              <w:pStyle w:val="Table-Text"/>
            </w:pPr>
            <w:r w:rsidRPr="001E456B">
              <w:t>Uncontrolled NOx Emission Rate (</w:t>
            </w:r>
            <w:proofErr w:type="spellStart"/>
            <w:r w:rsidRPr="001E456B">
              <w:t>lb</w:t>
            </w:r>
            <w:proofErr w:type="spellEnd"/>
            <w:r w:rsidRPr="001E456B">
              <w:t>/</w:t>
            </w:r>
            <w:proofErr w:type="spellStart"/>
            <w:r w:rsidRPr="001E456B">
              <w:t>mmbtu</w:t>
            </w:r>
            <w:proofErr w:type="spellEnd"/>
            <w:r w:rsidRPr="001E456B">
              <w:t>)</w:t>
            </w:r>
          </w:p>
        </w:tc>
        <w:tc>
          <w:tcPr>
            <w:tcW w:w="944" w:type="pct"/>
            <w:tcBorders>
              <w:top w:val="nil"/>
              <w:left w:val="single" w:sz="8" w:space="0" w:color="auto"/>
              <w:bottom w:val="single" w:sz="4" w:space="0" w:color="auto"/>
              <w:right w:val="single" w:sz="4" w:space="0" w:color="auto"/>
            </w:tcBorders>
            <w:shd w:val="clear" w:color="auto" w:fill="auto"/>
            <w:noWrap/>
            <w:vAlign w:val="center"/>
            <w:hideMark/>
          </w:tcPr>
          <w:p w14:paraId="57E2B9B3" w14:textId="77777777" w:rsidR="001E456B" w:rsidRPr="001E456B" w:rsidRDefault="24795D38" w:rsidP="3328C818">
            <w:pPr>
              <w:pStyle w:val="Table-Text"/>
              <w:jc w:val="center"/>
            </w:pPr>
            <w:r>
              <w:t>0.25</w:t>
            </w:r>
          </w:p>
        </w:tc>
        <w:tc>
          <w:tcPr>
            <w:tcW w:w="947" w:type="pct"/>
            <w:tcBorders>
              <w:top w:val="nil"/>
              <w:left w:val="nil"/>
              <w:bottom w:val="single" w:sz="4" w:space="0" w:color="auto"/>
              <w:right w:val="single" w:sz="8" w:space="0" w:color="auto"/>
            </w:tcBorders>
            <w:shd w:val="clear" w:color="auto" w:fill="auto"/>
            <w:noWrap/>
            <w:vAlign w:val="center"/>
            <w:hideMark/>
          </w:tcPr>
          <w:p w14:paraId="2FFAE4CA" w14:textId="77777777" w:rsidR="001E456B" w:rsidRPr="001E456B" w:rsidRDefault="24795D38" w:rsidP="3328C818">
            <w:pPr>
              <w:pStyle w:val="Table-Text"/>
              <w:jc w:val="center"/>
            </w:pPr>
            <w:r>
              <w:t>0.25</w:t>
            </w:r>
          </w:p>
        </w:tc>
      </w:tr>
      <w:tr w:rsidR="001E456B" w:rsidRPr="001E456B" w14:paraId="70F648E0" w14:textId="77777777" w:rsidTr="3328C818">
        <w:trPr>
          <w:trHeight w:hRule="exact" w:val="288"/>
        </w:trPr>
        <w:tc>
          <w:tcPr>
            <w:tcW w:w="3109" w:type="pct"/>
            <w:tcBorders>
              <w:top w:val="nil"/>
              <w:left w:val="single" w:sz="8" w:space="0" w:color="auto"/>
              <w:bottom w:val="single" w:sz="4" w:space="0" w:color="auto"/>
              <w:right w:val="nil"/>
            </w:tcBorders>
            <w:shd w:val="clear" w:color="auto" w:fill="auto"/>
            <w:noWrap/>
            <w:vAlign w:val="center"/>
            <w:hideMark/>
          </w:tcPr>
          <w:p w14:paraId="61ECEBEA" w14:textId="77777777" w:rsidR="001E456B" w:rsidRPr="001E456B" w:rsidRDefault="001E456B" w:rsidP="0063221D">
            <w:pPr>
              <w:pStyle w:val="Table-Text"/>
            </w:pPr>
            <w:r w:rsidRPr="001E456B">
              <w:t>Uncontrolled Tons</w:t>
            </w:r>
          </w:p>
        </w:tc>
        <w:tc>
          <w:tcPr>
            <w:tcW w:w="944" w:type="pct"/>
            <w:tcBorders>
              <w:top w:val="nil"/>
              <w:left w:val="single" w:sz="8" w:space="0" w:color="auto"/>
              <w:bottom w:val="single" w:sz="4" w:space="0" w:color="auto"/>
              <w:right w:val="single" w:sz="4" w:space="0" w:color="auto"/>
            </w:tcBorders>
            <w:shd w:val="clear" w:color="auto" w:fill="auto"/>
            <w:noWrap/>
            <w:vAlign w:val="center"/>
            <w:hideMark/>
          </w:tcPr>
          <w:p w14:paraId="59234CD8" w14:textId="77777777" w:rsidR="001E456B" w:rsidRPr="001E456B" w:rsidRDefault="24795D38" w:rsidP="3328C818">
            <w:pPr>
              <w:pStyle w:val="Table-Text"/>
              <w:jc w:val="center"/>
            </w:pPr>
            <w:r>
              <w:t>401</w:t>
            </w:r>
          </w:p>
        </w:tc>
        <w:tc>
          <w:tcPr>
            <w:tcW w:w="947" w:type="pct"/>
            <w:tcBorders>
              <w:top w:val="nil"/>
              <w:left w:val="nil"/>
              <w:bottom w:val="single" w:sz="4" w:space="0" w:color="auto"/>
              <w:right w:val="single" w:sz="8" w:space="0" w:color="auto"/>
            </w:tcBorders>
            <w:shd w:val="clear" w:color="auto" w:fill="auto"/>
            <w:noWrap/>
            <w:vAlign w:val="center"/>
            <w:hideMark/>
          </w:tcPr>
          <w:p w14:paraId="3A47D655" w14:textId="77777777" w:rsidR="001E456B" w:rsidRPr="001E456B" w:rsidRDefault="24795D38" w:rsidP="3328C818">
            <w:pPr>
              <w:pStyle w:val="Table-Text"/>
              <w:jc w:val="center"/>
            </w:pPr>
            <w:r>
              <w:t>401</w:t>
            </w:r>
          </w:p>
        </w:tc>
      </w:tr>
      <w:tr w:rsidR="001E456B" w:rsidRPr="001E456B" w14:paraId="1140949E" w14:textId="77777777" w:rsidTr="3328C818">
        <w:trPr>
          <w:trHeight w:hRule="exact" w:val="288"/>
        </w:trPr>
        <w:tc>
          <w:tcPr>
            <w:tcW w:w="3109" w:type="pct"/>
            <w:tcBorders>
              <w:top w:val="nil"/>
              <w:left w:val="single" w:sz="8" w:space="0" w:color="auto"/>
              <w:bottom w:val="single" w:sz="4" w:space="0" w:color="auto"/>
              <w:right w:val="nil"/>
            </w:tcBorders>
            <w:shd w:val="clear" w:color="auto" w:fill="auto"/>
            <w:noWrap/>
            <w:vAlign w:val="bottom"/>
            <w:hideMark/>
          </w:tcPr>
          <w:p w14:paraId="3356BCF3" w14:textId="77777777" w:rsidR="001E456B" w:rsidRPr="001E456B" w:rsidRDefault="001E456B" w:rsidP="0063221D">
            <w:pPr>
              <w:pStyle w:val="Table-Text"/>
            </w:pPr>
            <w:r w:rsidRPr="001E456B">
              <w:t>NOx Removal Efficiency (%)</w:t>
            </w:r>
          </w:p>
        </w:tc>
        <w:tc>
          <w:tcPr>
            <w:tcW w:w="944" w:type="pct"/>
            <w:tcBorders>
              <w:top w:val="nil"/>
              <w:left w:val="single" w:sz="8" w:space="0" w:color="auto"/>
              <w:bottom w:val="single" w:sz="4" w:space="0" w:color="auto"/>
              <w:right w:val="single" w:sz="4" w:space="0" w:color="auto"/>
            </w:tcBorders>
            <w:shd w:val="clear" w:color="auto" w:fill="auto"/>
            <w:noWrap/>
            <w:vAlign w:val="center"/>
            <w:hideMark/>
          </w:tcPr>
          <w:p w14:paraId="219B8E9F" w14:textId="77777777" w:rsidR="001E456B" w:rsidRPr="001E456B" w:rsidRDefault="24795D38" w:rsidP="3328C818">
            <w:pPr>
              <w:pStyle w:val="Table-Text"/>
              <w:jc w:val="center"/>
            </w:pPr>
            <w:r>
              <w:t>22</w:t>
            </w:r>
          </w:p>
        </w:tc>
        <w:tc>
          <w:tcPr>
            <w:tcW w:w="947" w:type="pct"/>
            <w:tcBorders>
              <w:top w:val="nil"/>
              <w:left w:val="nil"/>
              <w:bottom w:val="single" w:sz="4" w:space="0" w:color="auto"/>
              <w:right w:val="single" w:sz="8" w:space="0" w:color="auto"/>
            </w:tcBorders>
            <w:shd w:val="clear" w:color="auto" w:fill="auto"/>
            <w:noWrap/>
            <w:vAlign w:val="center"/>
            <w:hideMark/>
          </w:tcPr>
          <w:p w14:paraId="67BB2328" w14:textId="77777777" w:rsidR="001E456B" w:rsidRPr="001E456B" w:rsidRDefault="24795D38" w:rsidP="3328C818">
            <w:pPr>
              <w:pStyle w:val="Table-Text"/>
              <w:jc w:val="center"/>
            </w:pPr>
            <w:r>
              <w:t>80</w:t>
            </w:r>
          </w:p>
        </w:tc>
      </w:tr>
      <w:tr w:rsidR="001E456B" w:rsidRPr="001E456B" w14:paraId="031657F6" w14:textId="77777777" w:rsidTr="3328C818">
        <w:trPr>
          <w:trHeight w:hRule="exact" w:val="288"/>
        </w:trPr>
        <w:tc>
          <w:tcPr>
            <w:tcW w:w="3109" w:type="pct"/>
            <w:tcBorders>
              <w:top w:val="nil"/>
              <w:left w:val="single" w:sz="8" w:space="0" w:color="auto"/>
              <w:bottom w:val="single" w:sz="4" w:space="0" w:color="auto"/>
              <w:right w:val="nil"/>
            </w:tcBorders>
            <w:shd w:val="clear" w:color="auto" w:fill="auto"/>
            <w:noWrap/>
            <w:vAlign w:val="bottom"/>
            <w:hideMark/>
          </w:tcPr>
          <w:p w14:paraId="75923821" w14:textId="77777777" w:rsidR="001E456B" w:rsidRPr="001E456B" w:rsidRDefault="001E456B" w:rsidP="0063221D">
            <w:pPr>
              <w:pStyle w:val="Table-Text"/>
            </w:pPr>
            <w:r w:rsidRPr="001E456B">
              <w:t>Controlled NOx Emission Rate (</w:t>
            </w:r>
            <w:proofErr w:type="spellStart"/>
            <w:r w:rsidRPr="001E456B">
              <w:t>lb</w:t>
            </w:r>
            <w:proofErr w:type="spellEnd"/>
            <w:r w:rsidRPr="001E456B">
              <w:t>/</w:t>
            </w:r>
            <w:proofErr w:type="spellStart"/>
            <w:r w:rsidRPr="001E456B">
              <w:t>mmbtu</w:t>
            </w:r>
            <w:proofErr w:type="spellEnd"/>
            <w:r w:rsidRPr="001E456B">
              <w:t>)</w:t>
            </w:r>
          </w:p>
        </w:tc>
        <w:tc>
          <w:tcPr>
            <w:tcW w:w="944" w:type="pct"/>
            <w:tcBorders>
              <w:top w:val="nil"/>
              <w:left w:val="single" w:sz="8" w:space="0" w:color="auto"/>
              <w:bottom w:val="single" w:sz="4" w:space="0" w:color="auto"/>
              <w:right w:val="single" w:sz="4" w:space="0" w:color="auto"/>
            </w:tcBorders>
            <w:shd w:val="clear" w:color="auto" w:fill="auto"/>
            <w:noWrap/>
            <w:vAlign w:val="center"/>
            <w:hideMark/>
          </w:tcPr>
          <w:p w14:paraId="058035D0" w14:textId="77777777" w:rsidR="001E456B" w:rsidRPr="001E456B" w:rsidRDefault="24795D38" w:rsidP="3328C818">
            <w:pPr>
              <w:pStyle w:val="Table-Text"/>
              <w:jc w:val="center"/>
            </w:pPr>
            <w:r>
              <w:t>0.20</w:t>
            </w:r>
          </w:p>
        </w:tc>
        <w:tc>
          <w:tcPr>
            <w:tcW w:w="947" w:type="pct"/>
            <w:tcBorders>
              <w:top w:val="nil"/>
              <w:left w:val="nil"/>
              <w:bottom w:val="single" w:sz="4" w:space="0" w:color="auto"/>
              <w:right w:val="single" w:sz="8" w:space="0" w:color="auto"/>
            </w:tcBorders>
            <w:shd w:val="clear" w:color="auto" w:fill="auto"/>
            <w:noWrap/>
            <w:vAlign w:val="center"/>
            <w:hideMark/>
          </w:tcPr>
          <w:p w14:paraId="229D2EBA" w14:textId="77777777" w:rsidR="001E456B" w:rsidRPr="001E456B" w:rsidRDefault="24795D38" w:rsidP="3328C818">
            <w:pPr>
              <w:pStyle w:val="Table-Text"/>
              <w:jc w:val="center"/>
            </w:pPr>
            <w:r>
              <w:t>0.05</w:t>
            </w:r>
          </w:p>
        </w:tc>
      </w:tr>
      <w:tr w:rsidR="001E456B" w:rsidRPr="001E456B" w14:paraId="0EE34C40" w14:textId="77777777" w:rsidTr="3328C818">
        <w:trPr>
          <w:trHeight w:hRule="exact" w:val="288"/>
        </w:trPr>
        <w:tc>
          <w:tcPr>
            <w:tcW w:w="3109" w:type="pct"/>
            <w:tcBorders>
              <w:top w:val="nil"/>
              <w:left w:val="single" w:sz="8" w:space="0" w:color="auto"/>
              <w:bottom w:val="single" w:sz="4" w:space="0" w:color="auto"/>
              <w:right w:val="nil"/>
            </w:tcBorders>
            <w:shd w:val="clear" w:color="auto" w:fill="auto"/>
            <w:noWrap/>
            <w:vAlign w:val="bottom"/>
            <w:hideMark/>
          </w:tcPr>
          <w:p w14:paraId="0B39294D" w14:textId="77777777" w:rsidR="001E456B" w:rsidRPr="001E456B" w:rsidRDefault="001E456B" w:rsidP="0063221D">
            <w:pPr>
              <w:pStyle w:val="Table-Text"/>
            </w:pPr>
            <w:r w:rsidRPr="001E456B">
              <w:t>Tons Removed</w:t>
            </w:r>
          </w:p>
        </w:tc>
        <w:tc>
          <w:tcPr>
            <w:tcW w:w="944" w:type="pct"/>
            <w:tcBorders>
              <w:top w:val="nil"/>
              <w:left w:val="single" w:sz="8" w:space="0" w:color="auto"/>
              <w:bottom w:val="single" w:sz="4" w:space="0" w:color="auto"/>
              <w:right w:val="single" w:sz="4" w:space="0" w:color="auto"/>
            </w:tcBorders>
            <w:shd w:val="clear" w:color="auto" w:fill="auto"/>
            <w:noWrap/>
            <w:vAlign w:val="center"/>
            <w:hideMark/>
          </w:tcPr>
          <w:p w14:paraId="2AF2138B" w14:textId="77777777" w:rsidR="001E456B" w:rsidRPr="001E456B" w:rsidRDefault="24795D38" w:rsidP="3328C818">
            <w:pPr>
              <w:pStyle w:val="Table-Text"/>
              <w:jc w:val="center"/>
            </w:pPr>
            <w:r>
              <w:t>88</w:t>
            </w:r>
          </w:p>
        </w:tc>
        <w:tc>
          <w:tcPr>
            <w:tcW w:w="947" w:type="pct"/>
            <w:tcBorders>
              <w:top w:val="nil"/>
              <w:left w:val="nil"/>
              <w:bottom w:val="single" w:sz="4" w:space="0" w:color="auto"/>
              <w:right w:val="single" w:sz="8" w:space="0" w:color="auto"/>
            </w:tcBorders>
            <w:shd w:val="clear" w:color="auto" w:fill="auto"/>
            <w:noWrap/>
            <w:vAlign w:val="center"/>
            <w:hideMark/>
          </w:tcPr>
          <w:p w14:paraId="23E4782E" w14:textId="77777777" w:rsidR="001E456B" w:rsidRPr="001E456B" w:rsidRDefault="24795D38" w:rsidP="3328C818">
            <w:pPr>
              <w:pStyle w:val="Table-Text"/>
              <w:jc w:val="center"/>
            </w:pPr>
            <w:r>
              <w:t>321</w:t>
            </w:r>
          </w:p>
        </w:tc>
      </w:tr>
      <w:tr w:rsidR="001E456B" w:rsidRPr="001E456B" w14:paraId="007B95A5" w14:textId="77777777" w:rsidTr="3328C818">
        <w:trPr>
          <w:trHeight w:hRule="exact" w:val="288"/>
        </w:trPr>
        <w:tc>
          <w:tcPr>
            <w:tcW w:w="3109" w:type="pct"/>
            <w:tcBorders>
              <w:top w:val="nil"/>
              <w:left w:val="single" w:sz="8" w:space="0" w:color="auto"/>
              <w:bottom w:val="single" w:sz="8" w:space="0" w:color="auto"/>
              <w:right w:val="nil"/>
            </w:tcBorders>
            <w:shd w:val="clear" w:color="auto" w:fill="auto"/>
            <w:noWrap/>
            <w:vAlign w:val="bottom"/>
            <w:hideMark/>
          </w:tcPr>
          <w:p w14:paraId="40F0F2AD" w14:textId="77777777" w:rsidR="001E456B" w:rsidRPr="001E456B" w:rsidRDefault="001E456B" w:rsidP="0063221D">
            <w:pPr>
              <w:pStyle w:val="Table-Text"/>
            </w:pPr>
            <w:r w:rsidRPr="001E456B">
              <w:t>Cost-Effectiveness</w:t>
            </w:r>
          </w:p>
        </w:tc>
        <w:tc>
          <w:tcPr>
            <w:tcW w:w="944" w:type="pct"/>
            <w:tcBorders>
              <w:top w:val="nil"/>
              <w:left w:val="single" w:sz="8" w:space="0" w:color="auto"/>
              <w:bottom w:val="single" w:sz="8" w:space="0" w:color="auto"/>
              <w:right w:val="single" w:sz="4" w:space="0" w:color="auto"/>
            </w:tcBorders>
            <w:shd w:val="clear" w:color="auto" w:fill="auto"/>
            <w:noWrap/>
            <w:vAlign w:val="center"/>
            <w:hideMark/>
          </w:tcPr>
          <w:p w14:paraId="769ABA9D" w14:textId="77777777" w:rsidR="001E456B" w:rsidRPr="001E456B" w:rsidRDefault="24795D38" w:rsidP="3328C818">
            <w:pPr>
              <w:pStyle w:val="Table-Text"/>
              <w:jc w:val="center"/>
            </w:pPr>
            <w:r>
              <w:t xml:space="preserve"> $           4,462 </w:t>
            </w:r>
          </w:p>
        </w:tc>
        <w:tc>
          <w:tcPr>
            <w:tcW w:w="947" w:type="pct"/>
            <w:tcBorders>
              <w:top w:val="nil"/>
              <w:left w:val="nil"/>
              <w:bottom w:val="single" w:sz="8" w:space="0" w:color="auto"/>
              <w:right w:val="single" w:sz="8" w:space="0" w:color="auto"/>
            </w:tcBorders>
            <w:shd w:val="clear" w:color="auto" w:fill="auto"/>
            <w:noWrap/>
            <w:vAlign w:val="center"/>
            <w:hideMark/>
          </w:tcPr>
          <w:p w14:paraId="28F60070" w14:textId="77777777" w:rsidR="001E456B" w:rsidRPr="001E456B" w:rsidRDefault="24795D38" w:rsidP="3328C818">
            <w:pPr>
              <w:pStyle w:val="Table-Text"/>
              <w:jc w:val="center"/>
            </w:pPr>
            <w:r>
              <w:t xml:space="preserve"> $           5,132 </w:t>
            </w:r>
          </w:p>
        </w:tc>
      </w:tr>
    </w:tbl>
    <w:p w14:paraId="765EA4C2" w14:textId="77777777" w:rsidR="001E456B" w:rsidRDefault="001E456B" w:rsidP="0063221D"/>
    <w:p w14:paraId="0B3BA98E" w14:textId="77777777" w:rsidR="00F50FEB" w:rsidRDefault="00F50FEB" w:rsidP="0063221D">
      <w:r>
        <w:t xml:space="preserve">NPS analysis </w:t>
      </w:r>
      <w:r w:rsidRPr="00D561F0">
        <w:t xml:space="preserve">determined that SNCR could reduce </w:t>
      </w:r>
      <w:r w:rsidRPr="00A9462F">
        <w:t>NO</w:t>
      </w:r>
      <w:r>
        <w:rPr>
          <w:vertAlign w:val="subscript"/>
        </w:rPr>
        <w:t>x</w:t>
      </w:r>
      <w:r w:rsidRPr="00D561F0">
        <w:t xml:space="preserve"> emissions by </w:t>
      </w:r>
      <w:r>
        <w:t>8</w:t>
      </w:r>
      <w:r w:rsidRPr="00D561F0">
        <w:t>8 tons/</w:t>
      </w:r>
      <w:proofErr w:type="spellStart"/>
      <w:r w:rsidRPr="00D561F0">
        <w:t>yr</w:t>
      </w:r>
      <w:proofErr w:type="spellEnd"/>
      <w:r w:rsidRPr="00D561F0">
        <w:t xml:space="preserve"> at an annual cost of about $</w:t>
      </w:r>
      <w:r>
        <w:t>392</w:t>
      </w:r>
      <w:r w:rsidRPr="00D561F0">
        <w:t>,000 for a cost-effectiveness value of almost $</w:t>
      </w:r>
      <w:r>
        <w:t>4,500</w:t>
      </w:r>
      <w:r w:rsidRPr="00D561F0">
        <w:t xml:space="preserve">/ton of </w:t>
      </w:r>
      <w:r w:rsidRPr="00A9462F">
        <w:t>NO</w:t>
      </w:r>
      <w:r>
        <w:rPr>
          <w:vertAlign w:val="subscript"/>
        </w:rPr>
        <w:t>x</w:t>
      </w:r>
      <w:r w:rsidRPr="00D561F0">
        <w:t xml:space="preserve"> removed.</w:t>
      </w:r>
    </w:p>
    <w:p w14:paraId="765FF651" w14:textId="1E60B902" w:rsidR="00F50FEB" w:rsidRDefault="00F50FEB" w:rsidP="0063221D">
      <w:r>
        <w:t>Fo</w:t>
      </w:r>
      <w:r w:rsidRPr="00D561F0">
        <w:t xml:space="preserve">r SCR, </w:t>
      </w:r>
      <w:r>
        <w:t xml:space="preserve">NPS </w:t>
      </w:r>
      <w:r w:rsidRPr="00D561F0">
        <w:t xml:space="preserve">determined that SCR could reduce </w:t>
      </w:r>
      <w:r w:rsidRPr="00A9462F">
        <w:t>NO</w:t>
      </w:r>
      <w:r>
        <w:rPr>
          <w:vertAlign w:val="subscript"/>
        </w:rPr>
        <w:t>x</w:t>
      </w:r>
      <w:r w:rsidRPr="00D561F0">
        <w:t xml:space="preserve"> emissions by </w:t>
      </w:r>
      <w:r>
        <w:t>320</w:t>
      </w:r>
      <w:r w:rsidRPr="00D561F0">
        <w:t xml:space="preserve"> tons/</w:t>
      </w:r>
      <w:proofErr w:type="spellStart"/>
      <w:r w:rsidRPr="00D561F0">
        <w:t>yr</w:t>
      </w:r>
      <w:proofErr w:type="spellEnd"/>
      <w:r w:rsidRPr="00D561F0">
        <w:t xml:space="preserve"> at an annual cost of $</w:t>
      </w:r>
      <w:r>
        <w:t>1,6</w:t>
      </w:r>
      <w:r w:rsidR="001E456B">
        <w:t>4</w:t>
      </w:r>
      <w:r>
        <w:t>6,000</w:t>
      </w:r>
      <w:r w:rsidRPr="00D561F0">
        <w:t xml:space="preserve"> for a cost-effectiveness value of about $</w:t>
      </w:r>
      <w:r>
        <w:t>5,100</w:t>
      </w:r>
      <w:r w:rsidRPr="00D561F0">
        <w:t xml:space="preserve">/ton of </w:t>
      </w:r>
      <w:r w:rsidRPr="00A9462F">
        <w:t>NO</w:t>
      </w:r>
      <w:r>
        <w:rPr>
          <w:vertAlign w:val="subscript"/>
        </w:rPr>
        <w:t>x</w:t>
      </w:r>
      <w:r w:rsidRPr="00D561F0">
        <w:t xml:space="preserve"> removed. </w:t>
      </w:r>
    </w:p>
    <w:p w14:paraId="5A798273" w14:textId="77777777" w:rsidR="00F50FEB" w:rsidRDefault="00F50FEB" w:rsidP="00F50FEB">
      <w:pPr>
        <w:pStyle w:val="Heading4"/>
        <w:spacing w:line="240" w:lineRule="auto"/>
        <w:contextualSpacing/>
      </w:pPr>
      <w:r>
        <w:t>Statutory Factor 2: Time Necessary for Compliance</w:t>
      </w:r>
    </w:p>
    <w:p w14:paraId="028E6DE4" w14:textId="77777777" w:rsidR="00F50FEB" w:rsidRPr="00930671" w:rsidRDefault="00F50FEB" w:rsidP="00F50FEB">
      <w:pPr>
        <w:spacing w:line="240" w:lineRule="auto"/>
        <w:contextualSpacing/>
      </w:pPr>
      <w:r w:rsidRPr="00C925E1">
        <w:t>Installation of SCR typically requires four-to-five years.</w:t>
      </w:r>
    </w:p>
    <w:p w14:paraId="2D1A7DD3" w14:textId="77777777" w:rsidR="00F50FEB" w:rsidRDefault="00F50FEB" w:rsidP="00F50FEB">
      <w:pPr>
        <w:pStyle w:val="Heading4"/>
        <w:spacing w:line="240" w:lineRule="auto"/>
        <w:contextualSpacing/>
      </w:pPr>
      <w:r>
        <w:t>Statutory Factor 3: Energy and Non-Air Quality Environmental Impacts</w:t>
      </w:r>
    </w:p>
    <w:p w14:paraId="6C59D1C2" w14:textId="77777777" w:rsidR="00F50FEB" w:rsidRPr="00C925E1" w:rsidRDefault="00F50FEB" w:rsidP="00F50FEB">
      <w:pPr>
        <w:spacing w:line="240" w:lineRule="auto"/>
        <w:contextualSpacing/>
      </w:pPr>
      <w:r>
        <w:t>E</w:t>
      </w:r>
      <w:r w:rsidRPr="00BB2AFB">
        <w:t>nergy usage is most appropriately accounted for in the Cost of Compliance analysis</w:t>
      </w:r>
      <w:r>
        <w:t xml:space="preserve">. </w:t>
      </w:r>
      <w:r w:rsidRPr="00BB2AFB">
        <w:t xml:space="preserve">The </w:t>
      </w:r>
      <w:r>
        <w:t>other non-air quality environmental impacts cited</w:t>
      </w:r>
      <w:r w:rsidRPr="00BB2AFB">
        <w:t xml:space="preserve"> are not unique to this site.</w:t>
      </w:r>
    </w:p>
    <w:p w14:paraId="4CD0E29B" w14:textId="77777777" w:rsidR="00F50FEB" w:rsidRDefault="00F50FEB" w:rsidP="00F50FEB">
      <w:pPr>
        <w:pStyle w:val="Heading4"/>
        <w:spacing w:line="240" w:lineRule="auto"/>
        <w:contextualSpacing/>
      </w:pPr>
      <w:r w:rsidRPr="00294DA7">
        <w:t>Stat</w:t>
      </w:r>
      <w:r>
        <w:t>utory</w:t>
      </w:r>
      <w:r w:rsidRPr="00294DA7">
        <w:t xml:space="preserve"> Factor 4: Remaining Useful Life</w:t>
      </w:r>
    </w:p>
    <w:p w14:paraId="04923A24" w14:textId="7C33F17D" w:rsidR="00F50FEB" w:rsidRDefault="00F50FEB" w:rsidP="000D3D01">
      <w:r w:rsidRPr="00056B52">
        <w:t xml:space="preserve">MPCA used a 20-year life for SNCR and for SCR. The CCM recommends 20 – 25 years for SCR; </w:t>
      </w:r>
      <w:r>
        <w:t>NPS analyses</w:t>
      </w:r>
      <w:r w:rsidRPr="00056B52">
        <w:t xml:space="preserve"> assumed 25 years for this </w:t>
      </w:r>
      <w:proofErr w:type="spellStart"/>
      <w:r>
        <w:t>woodwaste</w:t>
      </w:r>
      <w:proofErr w:type="spellEnd"/>
      <w:r w:rsidRPr="00056B52">
        <w:t>-fired boiler.</w:t>
      </w:r>
    </w:p>
    <w:p w14:paraId="0BE630A2" w14:textId="0EB3B765" w:rsidR="0002761B" w:rsidRPr="00B448C7" w:rsidRDefault="0002761B" w:rsidP="000D3D01">
      <w:pPr>
        <w:rPr>
          <w:rFonts w:cs="Times New Roman"/>
          <w:color w:val="000000"/>
          <w:szCs w:val="24"/>
        </w:rPr>
      </w:pPr>
      <w:r w:rsidRPr="005E3B0D">
        <w:rPr>
          <w:rStyle w:val="Heading5Char"/>
        </w:rPr>
        <w:t>Recovery Furnace:</w:t>
      </w:r>
      <w:r w:rsidRPr="00B448C7">
        <w:rPr>
          <w:rFonts w:cs="Times New Roman"/>
          <w:b/>
          <w:color w:val="000000"/>
          <w:szCs w:val="24"/>
        </w:rPr>
        <w:t xml:space="preserve"> </w:t>
      </w:r>
      <w:r w:rsidRPr="00B448C7">
        <w:rPr>
          <w:rFonts w:cs="Times New Roman"/>
          <w:color w:val="000000"/>
          <w:szCs w:val="24"/>
        </w:rPr>
        <w:t xml:space="preserve">This emission unit burns strong BLS that are generated in the kraft pulp mill chemical recovery process. Weak BLS, which is generated as part of the pulping and washing processes, are concentrated in evaporators to make strong BLS. The strong BLS is then charged to the Recovery Furnace where the organic portion of the BLS is burned to produce steam to generate electricity and provide heat for other processes at the plant. The cooking chemicals collect as molten smelt at the bottom of the boiler. The amount of BLS burned in the Recovery Furnace is limited by the facility air permit. The Recovery Furnace is a primary source of all criteria pollutant emissions, as well as sulfuric acid (H2SO4), total reduced sulfur (TRS), and Hazardous Air Pollutants (HAP). Particulate matter emissions from the Recovery Furnace are controlled by a high-efficiency ESP. The Recovery Furnace does not have add-on NOX controls but does use staged air injection to manage the generation of NOX. </w:t>
      </w:r>
    </w:p>
    <w:p w14:paraId="5C121161" w14:textId="77777777" w:rsidR="00684A24" w:rsidRDefault="00684A24" w:rsidP="000D3D01">
      <w:pPr>
        <w:rPr>
          <w:bCs/>
        </w:rPr>
      </w:pPr>
      <w:r>
        <w:t xml:space="preserve">MPCA screened the Recovery Furnace from four-factor analysis based on a 2013 BACT analysis and the presence of a more stringent </w:t>
      </w:r>
      <w:r w:rsidRPr="00A9462F">
        <w:t>NO</w:t>
      </w:r>
      <w:r>
        <w:rPr>
          <w:vertAlign w:val="subscript"/>
        </w:rPr>
        <w:t>x</w:t>
      </w:r>
      <w:r>
        <w:t xml:space="preserve"> emissions limits than found in a review of permit limits for similar sources.</w:t>
      </w:r>
      <w:r w:rsidRPr="00684A24">
        <w:rPr>
          <w:bCs/>
        </w:rPr>
        <w:t xml:space="preserve"> </w:t>
      </w:r>
    </w:p>
    <w:p w14:paraId="010CD022" w14:textId="4545B926" w:rsidR="001F5E20" w:rsidRDefault="00684A24" w:rsidP="000D3D01">
      <w:pPr>
        <w:rPr>
          <w:bCs/>
        </w:rPr>
      </w:pPr>
      <w:r>
        <w:rPr>
          <w:bCs/>
        </w:rPr>
        <w:t xml:space="preserve">NPS notes that potentially more-effective quaternary air combustion controls are in use (at the Sappi Cloquet mill in Minnesota) to reduce </w:t>
      </w:r>
      <w:r w:rsidRPr="008E60D6">
        <w:rPr>
          <w:rFonts w:cs="Times New Roman"/>
          <w:bCs/>
          <w:szCs w:val="24"/>
        </w:rPr>
        <w:t>NO</w:t>
      </w:r>
      <w:r w:rsidRPr="008E60D6">
        <w:rPr>
          <w:rFonts w:cs="Times New Roman"/>
          <w:bCs/>
          <w:szCs w:val="24"/>
          <w:vertAlign w:val="subscript"/>
        </w:rPr>
        <w:t>X</w:t>
      </w:r>
      <w:r>
        <w:rPr>
          <w:bCs/>
        </w:rPr>
        <w:t xml:space="preserve"> from the Recovery Furnace. While</w:t>
      </w:r>
      <w:r w:rsidR="000D3D01">
        <w:rPr>
          <w:bCs/>
        </w:rPr>
        <w:t xml:space="preserve"> </w:t>
      </w:r>
      <w:r w:rsidR="001F5E20" w:rsidRPr="00990878">
        <w:rPr>
          <w:bCs/>
        </w:rPr>
        <w:t xml:space="preserve">the recovery furnace uses staged air combustion to manage the generation of </w:t>
      </w:r>
      <w:r w:rsidR="001F5E20" w:rsidRPr="00A9462F">
        <w:t>NO</w:t>
      </w:r>
      <w:r w:rsidR="001F5E20">
        <w:rPr>
          <w:vertAlign w:val="subscript"/>
        </w:rPr>
        <w:t>x</w:t>
      </w:r>
      <w:r w:rsidR="001F5E20" w:rsidRPr="00990878">
        <w:rPr>
          <w:bCs/>
        </w:rPr>
        <w:t>, it is not clear if that includes quaternary air.</w:t>
      </w:r>
      <w:r w:rsidR="001F5E20" w:rsidRPr="00990878">
        <w:rPr>
          <w:bCs/>
          <w:vertAlign w:val="superscript"/>
        </w:rPr>
        <w:footnoteReference w:id="18"/>
      </w:r>
      <w:r w:rsidR="001F5E20" w:rsidRPr="00990878">
        <w:rPr>
          <w:bCs/>
        </w:rPr>
        <w:t xml:space="preserve"> If not, </w:t>
      </w:r>
      <w:r w:rsidR="001F5E20">
        <w:rPr>
          <w:bCs/>
        </w:rPr>
        <w:t xml:space="preserve">the NPS recommends that </w:t>
      </w:r>
      <w:r w:rsidR="001F5E20" w:rsidRPr="00990878">
        <w:rPr>
          <w:bCs/>
        </w:rPr>
        <w:t>MPCA investigate its addition.</w:t>
      </w:r>
    </w:p>
    <w:p w14:paraId="78CD24C8" w14:textId="6462E2D4" w:rsidR="00F50FEB" w:rsidRDefault="00F50FEB" w:rsidP="00F50FEB">
      <w:pPr>
        <w:pStyle w:val="Heading3"/>
        <w:spacing w:line="240" w:lineRule="auto"/>
        <w:contextualSpacing/>
      </w:pPr>
      <w:r>
        <w:t>NPS Conclusions and Recommendations Boise White Paper</w:t>
      </w:r>
    </w:p>
    <w:p w14:paraId="71090537" w14:textId="77777777" w:rsidR="00F50FEB" w:rsidRDefault="00F50FEB" w:rsidP="00F50FEB">
      <w:pPr>
        <w:spacing w:line="240" w:lineRule="auto"/>
        <w:contextualSpacing/>
      </w:pPr>
      <w:r w:rsidRPr="00F944FE">
        <w:t xml:space="preserve">MPCA’s Table </w:t>
      </w:r>
      <w:r>
        <w:t>33</w:t>
      </w:r>
      <w:r w:rsidRPr="00F944FE">
        <w:t xml:space="preserve"> shows that Boise emitted 803 tons of </w:t>
      </w:r>
      <w:r w:rsidRPr="00A9462F">
        <w:t>NO</w:t>
      </w:r>
      <w:r>
        <w:rPr>
          <w:vertAlign w:val="subscript"/>
        </w:rPr>
        <w:t>x</w:t>
      </w:r>
      <w:r w:rsidRPr="00F944FE">
        <w:t xml:space="preserve">. Of this total, only 73 tons of </w:t>
      </w:r>
      <w:r w:rsidRPr="00A9462F">
        <w:t>NO</w:t>
      </w:r>
      <w:r>
        <w:rPr>
          <w:vertAlign w:val="subscript"/>
        </w:rPr>
        <w:t>x</w:t>
      </w:r>
      <w:r w:rsidRPr="00F944FE">
        <w:t xml:space="preserve"> </w:t>
      </w:r>
      <w:r>
        <w:t xml:space="preserve">are attributed to </w:t>
      </w:r>
      <w:r w:rsidRPr="00F944FE">
        <w:t>Boiler #1</w:t>
      </w:r>
      <w:r>
        <w:t>, the only unit selected for four-factor evaluation.</w:t>
      </w:r>
      <w:r w:rsidRPr="00F944FE">
        <w:t xml:space="preserve"> </w:t>
      </w:r>
      <w:r>
        <w:t>MPCA Table 33 shows</w:t>
      </w:r>
      <w:r w:rsidRPr="00F944FE">
        <w:t xml:space="preserve"> that Boiler #2 has </w:t>
      </w:r>
      <w:r w:rsidRPr="00A9462F">
        <w:t>NO</w:t>
      </w:r>
      <w:r>
        <w:rPr>
          <w:vertAlign w:val="subscript"/>
        </w:rPr>
        <w:t>x</w:t>
      </w:r>
      <w:r w:rsidRPr="00F944FE">
        <w:t xml:space="preserve"> emissions of 4</w:t>
      </w:r>
      <w:r>
        <w:t>01</w:t>
      </w:r>
      <w:r w:rsidRPr="00F944FE">
        <w:t xml:space="preserve"> tons/</w:t>
      </w:r>
      <w:proofErr w:type="spellStart"/>
      <w:r w:rsidRPr="00F944FE">
        <w:t>yr</w:t>
      </w:r>
      <w:proofErr w:type="spellEnd"/>
      <w:r w:rsidRPr="00F944FE">
        <w:t xml:space="preserve"> and that the Recovery Furnace has </w:t>
      </w:r>
      <w:r w:rsidRPr="00A9462F">
        <w:t>NO</w:t>
      </w:r>
      <w:r>
        <w:rPr>
          <w:vertAlign w:val="subscript"/>
        </w:rPr>
        <w:t>x</w:t>
      </w:r>
      <w:r w:rsidRPr="00F944FE">
        <w:t xml:space="preserve"> emissions of </w:t>
      </w:r>
      <w:r>
        <w:t>323</w:t>
      </w:r>
      <w:r w:rsidRPr="00F944FE">
        <w:t xml:space="preserve"> tons/yr. </w:t>
      </w:r>
      <w:r>
        <w:t>E</w:t>
      </w:r>
      <w:r w:rsidRPr="00F944FE">
        <w:t xml:space="preserve">missions </w:t>
      </w:r>
      <w:r>
        <w:t>from each of these units is several</w:t>
      </w:r>
      <w:r w:rsidRPr="00F944FE">
        <w:t xml:space="preserve"> times greater than the emissions that were evaluated.</w:t>
      </w:r>
    </w:p>
    <w:p w14:paraId="3886C0B5" w14:textId="5D00C37B" w:rsidR="00F50FEB" w:rsidRPr="00993826" w:rsidRDefault="00F50FEB" w:rsidP="008C10B8">
      <w:pPr>
        <w:pStyle w:val="ListParagraph"/>
        <w:numPr>
          <w:ilvl w:val="0"/>
          <w:numId w:val="57"/>
        </w:numPr>
      </w:pPr>
      <w:r>
        <w:t xml:space="preserve">For Boiler #1 the NPS </w:t>
      </w:r>
      <w:r w:rsidR="00684A24">
        <w:t>has determined that</w:t>
      </w:r>
      <w:r>
        <w:t xml:space="preserve"> SCR may be cost effective</w:t>
      </w:r>
      <w:r w:rsidR="00684A24">
        <w:t xml:space="preserve"> relative to the $10,000/ton threshold used by CO, NV, and OR.</w:t>
      </w:r>
      <w:r>
        <w:t xml:space="preserve"> </w:t>
      </w:r>
    </w:p>
    <w:p w14:paraId="03E153C5" w14:textId="13D82C6B" w:rsidR="00F50FEB" w:rsidRDefault="00F50FEB" w:rsidP="008C10B8">
      <w:pPr>
        <w:pStyle w:val="ListParagraph"/>
        <w:numPr>
          <w:ilvl w:val="0"/>
          <w:numId w:val="57"/>
        </w:numPr>
      </w:pPr>
      <w:r>
        <w:t xml:space="preserve">In the absence of a four-factor analysis and based upon available information, </w:t>
      </w:r>
      <w:r w:rsidR="007C0135">
        <w:t xml:space="preserve">the NPS </w:t>
      </w:r>
      <w:r w:rsidR="000414D9">
        <w:t>estimate</w:t>
      </w:r>
      <w:r w:rsidR="007C0135">
        <w:t>s</w:t>
      </w:r>
      <w:r w:rsidR="000414D9">
        <w:t xml:space="preserve"> that </w:t>
      </w:r>
      <w:r>
        <w:t xml:space="preserve">addition of SCR to Boiler #2 </w:t>
      </w:r>
      <w:r w:rsidR="000414D9">
        <w:t xml:space="preserve">may be </w:t>
      </w:r>
      <w:r>
        <w:t xml:space="preserve">very cost-effective. </w:t>
      </w:r>
      <w:r w:rsidR="008C10B8">
        <w:t xml:space="preserve">The NPS recommends that </w:t>
      </w:r>
      <w:r w:rsidR="000414D9">
        <w:t xml:space="preserve">MPCA </w:t>
      </w:r>
      <w:r w:rsidR="00945E69">
        <w:t xml:space="preserve">require </w:t>
      </w:r>
      <w:r w:rsidR="008C10B8">
        <w:t>a f</w:t>
      </w:r>
      <w:r w:rsidR="000414D9">
        <w:t>our-factor analysis</w:t>
      </w:r>
      <w:r w:rsidR="008C10B8">
        <w:t xml:space="preserve"> for this emission unit</w:t>
      </w:r>
      <w:r w:rsidR="000414D9">
        <w:t>.</w:t>
      </w:r>
    </w:p>
    <w:p w14:paraId="11A790B0" w14:textId="2CFAE828" w:rsidR="00F50FEB" w:rsidRDefault="008C10B8" w:rsidP="008C10B8">
      <w:pPr>
        <w:pStyle w:val="ListParagraph"/>
        <w:numPr>
          <w:ilvl w:val="0"/>
          <w:numId w:val="57"/>
        </w:numPr>
      </w:pPr>
      <w:r>
        <w:t xml:space="preserve">The NPS also recommends that </w:t>
      </w:r>
      <w:r w:rsidR="00F50FEB">
        <w:t>MPCA evaluate the addition of quaternary air to the Recovery Furnace (if it is not already so-equipped).</w:t>
      </w:r>
    </w:p>
    <w:p w14:paraId="684E5E13" w14:textId="5E7E1CCE" w:rsidR="00867FDB" w:rsidRDefault="00867FDB" w:rsidP="00B1738B">
      <w:pPr>
        <w:pStyle w:val="Heading1"/>
        <w:spacing w:line="240" w:lineRule="auto"/>
        <w:contextualSpacing/>
      </w:pPr>
      <w:bookmarkStart w:id="45" w:name="_Toc115775434"/>
      <w:r>
        <w:t>Taconite – Four-Factor Feedback</w:t>
      </w:r>
      <w:r w:rsidR="008E5161">
        <w:rPr>
          <w:rStyle w:val="FootnoteReference"/>
        </w:rPr>
        <w:footnoteReference w:id="19"/>
      </w:r>
      <w:bookmarkEnd w:id="45"/>
    </w:p>
    <w:p w14:paraId="6CCF68B0" w14:textId="5135D104" w:rsidR="00867FDB" w:rsidRDefault="00867FDB">
      <w:pPr>
        <w:pStyle w:val="Heading2"/>
      </w:pPr>
      <w:bookmarkStart w:id="46" w:name="_Toc115775435"/>
      <w:r>
        <w:t>Overarching Taconite</w:t>
      </w:r>
      <w:bookmarkEnd w:id="46"/>
    </w:p>
    <w:p w14:paraId="25577385" w14:textId="77777777" w:rsidR="00867FDB" w:rsidRPr="008B0B84" w:rsidRDefault="00867FDB" w:rsidP="00B1738B">
      <w:pPr>
        <w:spacing w:line="240" w:lineRule="auto"/>
        <w:contextualSpacing/>
      </w:pPr>
      <w:r w:rsidRPr="008B0B84">
        <w:t xml:space="preserve">At the MN taconite facilities, iron ore from mines along the </w:t>
      </w:r>
      <w:proofErr w:type="spellStart"/>
      <w:r w:rsidRPr="008B0B84">
        <w:t>Mesaba</w:t>
      </w:r>
      <w:proofErr w:type="spellEnd"/>
      <w:r w:rsidRPr="008B0B84">
        <w:t xml:space="preserve"> Iron Range is separated from taconite (a low-grade iron ore) using magnetism. The taconite powder with the iron in it is called concentrate which is rolled with clay inside large rotating cylinders. The cylinders cause the powder to roll into marble-sized balls that are then dried and heated until they are white hot. The balls become hard as they cool and become taconite pellets which are shipped to steel mills to be melted down into steel.</w:t>
      </w:r>
      <w:r w:rsidRPr="008B0B84">
        <w:rPr>
          <w:vertAlign w:val="superscript"/>
        </w:rPr>
        <w:footnoteReference w:id="20"/>
      </w:r>
    </w:p>
    <w:p w14:paraId="7103F8DE" w14:textId="77777777" w:rsidR="00511CB4" w:rsidRDefault="00511CB4" w:rsidP="00B1738B">
      <w:pPr>
        <w:spacing w:line="240" w:lineRule="auto"/>
        <w:contextualSpacing/>
      </w:pPr>
    </w:p>
    <w:p w14:paraId="26F7759B" w14:textId="5A7FB9B3" w:rsidR="00867FDB" w:rsidRPr="008B0B84" w:rsidRDefault="00867FDB" w:rsidP="000D3D01">
      <w:r w:rsidRPr="008B0B84">
        <w:t>On February 6, 2013, U.S. EPA promulgated a Taconite Regional Haze FIP that included BART limits for taconite furnaces subject to BART in Minnesota with an effective date of March 8, 2013.</w:t>
      </w:r>
      <w:r w:rsidRPr="008B0B84">
        <w:rPr>
          <w:vertAlign w:val="superscript"/>
        </w:rPr>
        <w:footnoteReference w:id="21"/>
      </w:r>
      <w:r w:rsidRPr="008B0B84">
        <w:rPr>
          <w:i/>
          <w:iCs/>
        </w:rPr>
        <w:t xml:space="preserve"> </w:t>
      </w:r>
      <w:r w:rsidRPr="008B0B84">
        <w:t>On April 12, 2016, U.S. EPA finalized the revisions to the 2013 FIP and the final rule (2016 FIP) was effective on May 12, 2016.</w:t>
      </w:r>
      <w:r w:rsidRPr="008B0B84">
        <w:rPr>
          <w:vertAlign w:val="superscript"/>
        </w:rPr>
        <w:footnoteReference w:id="22"/>
      </w:r>
      <w:r w:rsidRPr="008B0B84">
        <w:t xml:space="preserve"> EPA’s 2016 FIP contained this:</w:t>
      </w:r>
    </w:p>
    <w:p w14:paraId="7E678F4D" w14:textId="65C7A17A" w:rsidR="00867FDB" w:rsidRPr="008F7069" w:rsidRDefault="005202A6" w:rsidP="000D3D01">
      <w:pPr>
        <w:pStyle w:val="Quote"/>
      </w:pPr>
      <w:r>
        <w:t>We</w:t>
      </w:r>
      <w:r w:rsidR="00867FDB" w:rsidRPr="008F7069">
        <w:t xml:space="preserve"> expect Minnesota and Michigan to reevaluate SCR with reheat as a potential option for making reasonable progress in future planning periods, but reject the technology as BART for the Minnesota and Michigan taconite facilities at this time.</w:t>
      </w:r>
    </w:p>
    <w:p w14:paraId="7A2B723C" w14:textId="676E28C3" w:rsidR="00867FDB" w:rsidRPr="008B0B84" w:rsidRDefault="00867FDB" w:rsidP="000D3D01">
      <w:r w:rsidRPr="008B0B84">
        <w:rPr>
          <w:bCs/>
        </w:rPr>
        <w:t>MPCA initially selected six taconite plants for four-factor analyses; their 2017 emissions (from the National Emissions Inventory—NEI) are shown below. (All emissions except Hg are in ton/</w:t>
      </w:r>
      <w:proofErr w:type="spellStart"/>
      <w:r w:rsidRPr="008B0B84">
        <w:rPr>
          <w:bCs/>
        </w:rPr>
        <w:t>yr</w:t>
      </w:r>
      <w:proofErr w:type="spellEnd"/>
      <w:r w:rsidRPr="008B0B84">
        <w:rPr>
          <w:bCs/>
        </w:rPr>
        <w:t xml:space="preserve">; Hg is in </w:t>
      </w:r>
      <w:proofErr w:type="spellStart"/>
      <w:r w:rsidRPr="008B0B84">
        <w:rPr>
          <w:bCs/>
        </w:rPr>
        <w:t>lb</w:t>
      </w:r>
      <w:proofErr w:type="spellEnd"/>
      <w:r w:rsidRPr="008B0B84">
        <w:rPr>
          <w:bCs/>
        </w:rPr>
        <w:t xml:space="preserve">/yr.) These facilities are located between 85 and 150 km south of </w:t>
      </w:r>
      <w:r w:rsidRPr="008B0B84">
        <w:t>Voyageurs National Park and within 300 km of Isle Royale National Park, both Class I areas administered by the National Park Service (NPS).</w:t>
      </w:r>
    </w:p>
    <w:p w14:paraId="2563DF54" w14:textId="77777777" w:rsidR="005E3B0D" w:rsidRDefault="005E3B0D">
      <w:pPr>
        <w:rPr>
          <w:bCs/>
          <w:i/>
          <w:iCs/>
          <w:color w:val="44546A" w:themeColor="text2"/>
          <w:sz w:val="22"/>
          <w:szCs w:val="18"/>
        </w:rPr>
      </w:pPr>
      <w:r>
        <w:br w:type="page"/>
      </w:r>
    </w:p>
    <w:p w14:paraId="6FCA6586" w14:textId="5C5AE083" w:rsidR="00867FDB" w:rsidRPr="008B0B84" w:rsidRDefault="000D3D01" w:rsidP="000D3D01">
      <w:pPr>
        <w:pStyle w:val="Caption"/>
      </w:pPr>
      <w:r>
        <w:t xml:space="preserve">Table </w:t>
      </w:r>
      <w:r>
        <w:fldChar w:fldCharType="begin"/>
      </w:r>
      <w:r>
        <w:instrText>SEQ Table \* ARABIC</w:instrText>
      </w:r>
      <w:r>
        <w:fldChar w:fldCharType="separate"/>
      </w:r>
      <w:r w:rsidR="00AE2861">
        <w:rPr>
          <w:noProof/>
        </w:rPr>
        <w:t>17</w:t>
      </w:r>
      <w:r>
        <w:fldChar w:fldCharType="end"/>
      </w:r>
      <w:r>
        <w:t xml:space="preserve">. </w:t>
      </w:r>
      <w:r w:rsidR="00867FDB">
        <w:rPr>
          <w:noProof/>
        </w:rPr>
        <w:t xml:space="preserve">Recent annual emissions from Minnesota Taconite facilities, NEI 2017 </w:t>
      </w:r>
    </w:p>
    <w:tbl>
      <w:tblPr>
        <w:tblW w:w="5504" w:type="pct"/>
        <w:tblLayout w:type="fixed"/>
        <w:tblLook w:val="04A0" w:firstRow="1" w:lastRow="0" w:firstColumn="1" w:lastColumn="0" w:noHBand="0" w:noVBand="1"/>
      </w:tblPr>
      <w:tblGrid>
        <w:gridCol w:w="3013"/>
        <w:gridCol w:w="807"/>
        <w:gridCol w:w="948"/>
        <w:gridCol w:w="711"/>
        <w:gridCol w:w="857"/>
        <w:gridCol w:w="859"/>
        <w:gridCol w:w="853"/>
        <w:gridCol w:w="1166"/>
        <w:gridCol w:w="1067"/>
      </w:tblGrid>
      <w:tr w:rsidR="00867FDB" w:rsidRPr="008B0B84" w14:paraId="708D77A2" w14:textId="77777777" w:rsidTr="3328C818">
        <w:trPr>
          <w:trHeight w:val="826"/>
        </w:trPr>
        <w:tc>
          <w:tcPr>
            <w:tcW w:w="1465"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42A5BE17" w14:textId="794DEB96" w:rsidR="00867FDB" w:rsidRPr="000B673A" w:rsidRDefault="00867FDB" w:rsidP="00B1738B">
            <w:pPr>
              <w:pStyle w:val="Table-Text"/>
              <w:spacing w:line="240" w:lineRule="auto"/>
              <w:contextualSpacing/>
              <w:rPr>
                <w:b/>
                <w:bCs/>
              </w:rPr>
            </w:pPr>
            <w:r w:rsidRPr="000B673A">
              <w:rPr>
                <w:b/>
                <w:bCs/>
              </w:rPr>
              <w:t>Facility Name</w:t>
            </w:r>
          </w:p>
        </w:tc>
        <w:tc>
          <w:tcPr>
            <w:tcW w:w="392" w:type="pct"/>
            <w:tcBorders>
              <w:top w:val="single" w:sz="8" w:space="0" w:color="auto"/>
              <w:left w:val="nil"/>
              <w:bottom w:val="single" w:sz="8" w:space="0" w:color="auto"/>
              <w:right w:val="single" w:sz="4" w:space="0" w:color="auto"/>
            </w:tcBorders>
            <w:shd w:val="clear" w:color="auto" w:fill="auto"/>
            <w:vAlign w:val="center"/>
            <w:hideMark/>
          </w:tcPr>
          <w:p w14:paraId="6B7A4E4C" w14:textId="6809A19A" w:rsidR="00867FDB" w:rsidRPr="000B673A" w:rsidRDefault="647749C5" w:rsidP="3328C818">
            <w:pPr>
              <w:pStyle w:val="Table-Text"/>
              <w:spacing w:line="240" w:lineRule="auto"/>
              <w:contextualSpacing/>
              <w:jc w:val="center"/>
              <w:rPr>
                <w:b/>
                <w:bCs/>
              </w:rPr>
            </w:pPr>
            <w:r w:rsidRPr="3328C818">
              <w:rPr>
                <w:b/>
                <w:bCs/>
              </w:rPr>
              <w:t xml:space="preserve">Hg, </w:t>
            </w:r>
            <w:proofErr w:type="spellStart"/>
            <w:r w:rsidRPr="3328C818">
              <w:rPr>
                <w:b/>
                <w:bCs/>
              </w:rPr>
              <w:t>lb</w:t>
            </w:r>
            <w:proofErr w:type="spellEnd"/>
            <w:r w:rsidRPr="3328C818">
              <w:rPr>
                <w:b/>
                <w:bCs/>
              </w:rPr>
              <w:t>/</w:t>
            </w:r>
            <w:proofErr w:type="spellStart"/>
            <w:r w:rsidRPr="3328C818">
              <w:rPr>
                <w:b/>
                <w:bCs/>
              </w:rPr>
              <w:t>yr</w:t>
            </w:r>
            <w:proofErr w:type="spellEnd"/>
          </w:p>
        </w:tc>
        <w:tc>
          <w:tcPr>
            <w:tcW w:w="461" w:type="pct"/>
            <w:tcBorders>
              <w:top w:val="single" w:sz="8" w:space="0" w:color="auto"/>
              <w:left w:val="nil"/>
              <w:bottom w:val="single" w:sz="8" w:space="0" w:color="auto"/>
              <w:right w:val="single" w:sz="4" w:space="0" w:color="auto"/>
            </w:tcBorders>
            <w:shd w:val="clear" w:color="auto" w:fill="auto"/>
            <w:vAlign w:val="center"/>
            <w:hideMark/>
          </w:tcPr>
          <w:p w14:paraId="4E1AA08F" w14:textId="00842B64" w:rsidR="00867FDB" w:rsidRPr="000B673A" w:rsidRDefault="647749C5" w:rsidP="3328C818">
            <w:pPr>
              <w:pStyle w:val="Table-Text"/>
              <w:spacing w:line="240" w:lineRule="auto"/>
              <w:contextualSpacing/>
              <w:jc w:val="center"/>
              <w:rPr>
                <w:b/>
                <w:bCs/>
              </w:rPr>
            </w:pPr>
            <w:r w:rsidRPr="3328C818">
              <w:rPr>
                <w:b/>
                <w:bCs/>
              </w:rPr>
              <w:t>NO</w:t>
            </w:r>
            <w:r w:rsidRPr="3328C818">
              <w:rPr>
                <w:b/>
                <w:bCs/>
                <w:vertAlign w:val="subscript"/>
              </w:rPr>
              <w:t>x</w:t>
            </w:r>
            <w:r w:rsidRPr="3328C818">
              <w:rPr>
                <w:b/>
                <w:bCs/>
              </w:rPr>
              <w:t xml:space="preserve">, </w:t>
            </w:r>
            <w:proofErr w:type="spellStart"/>
            <w:r w:rsidRPr="3328C818">
              <w:rPr>
                <w:b/>
                <w:bCs/>
              </w:rPr>
              <w:t>tpy</w:t>
            </w:r>
            <w:proofErr w:type="spellEnd"/>
          </w:p>
        </w:tc>
        <w:tc>
          <w:tcPr>
            <w:tcW w:w="346" w:type="pct"/>
            <w:tcBorders>
              <w:top w:val="single" w:sz="8" w:space="0" w:color="auto"/>
              <w:left w:val="nil"/>
              <w:bottom w:val="single" w:sz="8" w:space="0" w:color="auto"/>
              <w:right w:val="single" w:sz="4" w:space="0" w:color="auto"/>
            </w:tcBorders>
            <w:shd w:val="clear" w:color="auto" w:fill="auto"/>
            <w:vAlign w:val="center"/>
            <w:hideMark/>
          </w:tcPr>
          <w:p w14:paraId="6E8E7DF7" w14:textId="39FD0E39" w:rsidR="00867FDB" w:rsidRPr="000B673A" w:rsidRDefault="647749C5" w:rsidP="3328C818">
            <w:pPr>
              <w:pStyle w:val="Table-Text"/>
              <w:spacing w:line="240" w:lineRule="auto"/>
              <w:contextualSpacing/>
              <w:jc w:val="center"/>
              <w:rPr>
                <w:b/>
                <w:bCs/>
              </w:rPr>
            </w:pPr>
            <w:r w:rsidRPr="3328C818">
              <w:rPr>
                <w:b/>
                <w:bCs/>
              </w:rPr>
              <w:t xml:space="preserve">PM10-PRI, </w:t>
            </w:r>
            <w:proofErr w:type="spellStart"/>
            <w:r w:rsidRPr="3328C818">
              <w:rPr>
                <w:b/>
                <w:bCs/>
              </w:rPr>
              <w:t>tpy</w:t>
            </w:r>
            <w:proofErr w:type="spellEnd"/>
          </w:p>
        </w:tc>
        <w:tc>
          <w:tcPr>
            <w:tcW w:w="417" w:type="pct"/>
            <w:tcBorders>
              <w:top w:val="single" w:sz="8" w:space="0" w:color="auto"/>
              <w:left w:val="nil"/>
              <w:bottom w:val="single" w:sz="8" w:space="0" w:color="auto"/>
              <w:right w:val="single" w:sz="4" w:space="0" w:color="auto"/>
            </w:tcBorders>
            <w:shd w:val="clear" w:color="auto" w:fill="auto"/>
            <w:vAlign w:val="center"/>
            <w:hideMark/>
          </w:tcPr>
          <w:p w14:paraId="6B835BC6" w14:textId="3C176EDC" w:rsidR="00867FDB" w:rsidRPr="000B673A" w:rsidRDefault="647749C5" w:rsidP="3328C818">
            <w:pPr>
              <w:pStyle w:val="Table-Text"/>
              <w:spacing w:line="240" w:lineRule="auto"/>
              <w:contextualSpacing/>
              <w:jc w:val="center"/>
              <w:rPr>
                <w:b/>
                <w:bCs/>
              </w:rPr>
            </w:pPr>
            <w:r w:rsidRPr="3328C818">
              <w:rPr>
                <w:b/>
                <w:bCs/>
              </w:rPr>
              <w:t xml:space="preserve">PM25-PRI, </w:t>
            </w:r>
            <w:proofErr w:type="spellStart"/>
            <w:r w:rsidRPr="3328C818">
              <w:rPr>
                <w:b/>
                <w:bCs/>
              </w:rPr>
              <w:t>tpy</w:t>
            </w:r>
            <w:proofErr w:type="spellEnd"/>
          </w:p>
        </w:tc>
        <w:tc>
          <w:tcPr>
            <w:tcW w:w="418" w:type="pct"/>
            <w:tcBorders>
              <w:top w:val="single" w:sz="8" w:space="0" w:color="auto"/>
              <w:left w:val="nil"/>
              <w:bottom w:val="single" w:sz="8" w:space="0" w:color="auto"/>
              <w:right w:val="single" w:sz="4" w:space="0" w:color="auto"/>
            </w:tcBorders>
            <w:shd w:val="clear" w:color="auto" w:fill="auto"/>
            <w:vAlign w:val="center"/>
            <w:hideMark/>
          </w:tcPr>
          <w:p w14:paraId="29649C43" w14:textId="51B4BBC7" w:rsidR="00867FDB" w:rsidRPr="000B673A" w:rsidRDefault="647749C5" w:rsidP="3328C818">
            <w:pPr>
              <w:pStyle w:val="Table-Text"/>
              <w:spacing w:line="240" w:lineRule="auto"/>
              <w:contextualSpacing/>
              <w:jc w:val="center"/>
              <w:rPr>
                <w:b/>
                <w:bCs/>
              </w:rPr>
            </w:pPr>
            <w:r w:rsidRPr="3328C818">
              <w:rPr>
                <w:b/>
                <w:bCs/>
              </w:rPr>
              <w:t>SO</w:t>
            </w:r>
            <w:r w:rsidRPr="3328C818">
              <w:rPr>
                <w:b/>
                <w:bCs/>
                <w:vertAlign w:val="subscript"/>
              </w:rPr>
              <w:t>2</w:t>
            </w:r>
            <w:r w:rsidRPr="3328C818">
              <w:rPr>
                <w:b/>
                <w:bCs/>
              </w:rPr>
              <w:t xml:space="preserve">, </w:t>
            </w:r>
            <w:proofErr w:type="spellStart"/>
            <w:r w:rsidRPr="3328C818">
              <w:rPr>
                <w:b/>
                <w:bCs/>
              </w:rPr>
              <w:t>tpy</w:t>
            </w:r>
            <w:proofErr w:type="spellEnd"/>
          </w:p>
        </w:tc>
        <w:tc>
          <w:tcPr>
            <w:tcW w:w="415" w:type="pct"/>
            <w:tcBorders>
              <w:top w:val="single" w:sz="8" w:space="0" w:color="auto"/>
              <w:left w:val="nil"/>
              <w:bottom w:val="single" w:sz="8" w:space="0" w:color="auto"/>
              <w:right w:val="single" w:sz="4" w:space="0" w:color="auto"/>
            </w:tcBorders>
            <w:shd w:val="clear" w:color="auto" w:fill="auto"/>
            <w:vAlign w:val="center"/>
            <w:hideMark/>
          </w:tcPr>
          <w:p w14:paraId="13CB8E62" w14:textId="205D0AA6" w:rsidR="00867FDB" w:rsidRPr="000B673A" w:rsidRDefault="647749C5" w:rsidP="3328C818">
            <w:pPr>
              <w:pStyle w:val="Table-Text"/>
              <w:spacing w:line="240" w:lineRule="auto"/>
              <w:contextualSpacing/>
              <w:jc w:val="center"/>
              <w:rPr>
                <w:b/>
                <w:bCs/>
              </w:rPr>
            </w:pPr>
            <w:r w:rsidRPr="3328C818">
              <w:rPr>
                <w:b/>
                <w:bCs/>
              </w:rPr>
              <w:t>NO</w:t>
            </w:r>
            <w:r w:rsidRPr="3328C818">
              <w:rPr>
                <w:b/>
                <w:bCs/>
                <w:vertAlign w:val="subscript"/>
              </w:rPr>
              <w:t>x</w:t>
            </w:r>
            <w:r w:rsidRPr="3328C818">
              <w:rPr>
                <w:b/>
                <w:bCs/>
              </w:rPr>
              <w:t>+</w:t>
            </w:r>
            <w:r w:rsidR="00867FDB">
              <w:br/>
            </w:r>
            <w:r w:rsidRPr="3328C818">
              <w:rPr>
                <w:b/>
                <w:bCs/>
              </w:rPr>
              <w:t>PM10+</w:t>
            </w:r>
            <w:r w:rsidR="00867FDB">
              <w:br/>
            </w:r>
            <w:r w:rsidRPr="3328C818">
              <w:rPr>
                <w:b/>
                <w:bCs/>
              </w:rPr>
              <w:t>SO</w:t>
            </w:r>
            <w:r w:rsidRPr="3328C818">
              <w:rPr>
                <w:b/>
                <w:bCs/>
                <w:vertAlign w:val="subscript"/>
              </w:rPr>
              <w:t>2</w:t>
            </w:r>
            <w:r w:rsidRPr="3328C818">
              <w:rPr>
                <w:b/>
                <w:bCs/>
              </w:rPr>
              <w:t xml:space="preserve">, </w:t>
            </w:r>
            <w:proofErr w:type="spellStart"/>
            <w:r w:rsidRPr="3328C818">
              <w:rPr>
                <w:b/>
                <w:bCs/>
              </w:rPr>
              <w:t>tpy</w:t>
            </w:r>
            <w:proofErr w:type="spellEnd"/>
          </w:p>
        </w:tc>
        <w:tc>
          <w:tcPr>
            <w:tcW w:w="567" w:type="pct"/>
            <w:tcBorders>
              <w:top w:val="single" w:sz="8" w:space="0" w:color="auto"/>
              <w:left w:val="nil"/>
              <w:bottom w:val="single" w:sz="8" w:space="0" w:color="auto"/>
              <w:right w:val="single" w:sz="4" w:space="0" w:color="auto"/>
            </w:tcBorders>
            <w:shd w:val="clear" w:color="auto" w:fill="auto"/>
            <w:vAlign w:val="center"/>
            <w:hideMark/>
          </w:tcPr>
          <w:p w14:paraId="0322097E" w14:textId="1D486596" w:rsidR="00867FDB" w:rsidRPr="000B673A" w:rsidRDefault="647749C5" w:rsidP="3328C818">
            <w:pPr>
              <w:pStyle w:val="Table-Text"/>
              <w:spacing w:line="240" w:lineRule="auto"/>
              <w:contextualSpacing/>
              <w:jc w:val="center"/>
              <w:rPr>
                <w:b/>
                <w:bCs/>
              </w:rPr>
            </w:pPr>
            <w:r w:rsidRPr="3328C818">
              <w:rPr>
                <w:b/>
                <w:bCs/>
              </w:rPr>
              <w:t xml:space="preserve">Distance to </w:t>
            </w:r>
            <w:r w:rsidR="00867FDB">
              <w:br/>
            </w:r>
            <w:r w:rsidRPr="3328C818">
              <w:rPr>
                <w:b/>
                <w:bCs/>
              </w:rPr>
              <w:t>NPS Class I Area, km</w:t>
            </w:r>
          </w:p>
        </w:tc>
        <w:tc>
          <w:tcPr>
            <w:tcW w:w="519" w:type="pct"/>
            <w:tcBorders>
              <w:top w:val="single" w:sz="8" w:space="0" w:color="auto"/>
              <w:left w:val="nil"/>
              <w:bottom w:val="single" w:sz="8" w:space="0" w:color="auto"/>
              <w:right w:val="single" w:sz="8" w:space="0" w:color="auto"/>
            </w:tcBorders>
            <w:shd w:val="clear" w:color="auto" w:fill="auto"/>
            <w:vAlign w:val="center"/>
            <w:hideMark/>
          </w:tcPr>
          <w:p w14:paraId="4BD2C99D" w14:textId="1F3C7B5A" w:rsidR="00867FDB" w:rsidRPr="000B673A" w:rsidRDefault="647749C5" w:rsidP="3328C818">
            <w:pPr>
              <w:pStyle w:val="Table-Text"/>
              <w:spacing w:line="240" w:lineRule="auto"/>
              <w:contextualSpacing/>
              <w:jc w:val="center"/>
              <w:rPr>
                <w:b/>
                <w:bCs/>
              </w:rPr>
            </w:pPr>
            <w:r w:rsidRPr="3328C818">
              <w:rPr>
                <w:b/>
                <w:bCs/>
              </w:rPr>
              <w:t>(NO</w:t>
            </w:r>
            <w:r w:rsidRPr="3328C818">
              <w:rPr>
                <w:b/>
                <w:bCs/>
                <w:vertAlign w:val="subscript"/>
              </w:rPr>
              <w:t>x</w:t>
            </w:r>
            <w:r w:rsidRPr="3328C818">
              <w:rPr>
                <w:b/>
                <w:bCs/>
              </w:rPr>
              <w:t>+</w:t>
            </w:r>
            <w:r w:rsidR="00867FDB">
              <w:br/>
            </w:r>
            <w:r w:rsidRPr="3328C818">
              <w:rPr>
                <w:b/>
                <w:bCs/>
              </w:rPr>
              <w:t>PM10+</w:t>
            </w:r>
            <w:r w:rsidR="00867FDB">
              <w:br/>
            </w:r>
            <w:r w:rsidRPr="3328C818">
              <w:rPr>
                <w:b/>
                <w:bCs/>
              </w:rPr>
              <w:t>SO</w:t>
            </w:r>
            <w:r w:rsidRPr="3328C818">
              <w:rPr>
                <w:b/>
                <w:bCs/>
                <w:vertAlign w:val="subscript"/>
              </w:rPr>
              <w:t>2</w:t>
            </w:r>
            <w:r w:rsidRPr="3328C818">
              <w:rPr>
                <w:b/>
                <w:bCs/>
              </w:rPr>
              <w:t>)/d</w:t>
            </w:r>
          </w:p>
        </w:tc>
      </w:tr>
      <w:tr w:rsidR="00867FDB" w:rsidRPr="008B0B84" w14:paraId="223EC8A4" w14:textId="77777777" w:rsidTr="3328C818">
        <w:trPr>
          <w:trHeight w:hRule="exact" w:val="288"/>
        </w:trPr>
        <w:tc>
          <w:tcPr>
            <w:tcW w:w="1465" w:type="pct"/>
            <w:tcBorders>
              <w:top w:val="nil"/>
              <w:left w:val="single" w:sz="8" w:space="0" w:color="auto"/>
              <w:bottom w:val="single" w:sz="4" w:space="0" w:color="auto"/>
              <w:right w:val="single" w:sz="4" w:space="0" w:color="auto"/>
            </w:tcBorders>
            <w:shd w:val="clear" w:color="auto" w:fill="auto"/>
            <w:noWrap/>
            <w:vAlign w:val="center"/>
            <w:hideMark/>
          </w:tcPr>
          <w:p w14:paraId="7E336C65" w14:textId="77777777" w:rsidR="00867FDB" w:rsidRPr="008B0B84" w:rsidRDefault="00867FDB" w:rsidP="00B1738B">
            <w:pPr>
              <w:pStyle w:val="Table-Text"/>
              <w:spacing w:line="240" w:lineRule="auto"/>
              <w:contextualSpacing/>
            </w:pPr>
            <w:r w:rsidRPr="008B0B84">
              <w:t>Hibbing Taconite Co</w:t>
            </w:r>
          </w:p>
        </w:tc>
        <w:tc>
          <w:tcPr>
            <w:tcW w:w="392" w:type="pct"/>
            <w:tcBorders>
              <w:top w:val="nil"/>
              <w:left w:val="nil"/>
              <w:bottom w:val="single" w:sz="4" w:space="0" w:color="auto"/>
              <w:right w:val="single" w:sz="4" w:space="0" w:color="auto"/>
            </w:tcBorders>
            <w:shd w:val="clear" w:color="auto" w:fill="auto"/>
            <w:noWrap/>
            <w:vAlign w:val="center"/>
            <w:hideMark/>
          </w:tcPr>
          <w:p w14:paraId="15D26A49" w14:textId="77777777" w:rsidR="00867FDB" w:rsidRPr="008B0B84" w:rsidRDefault="647749C5" w:rsidP="3328C818">
            <w:pPr>
              <w:pStyle w:val="Table-Text"/>
              <w:spacing w:line="240" w:lineRule="auto"/>
              <w:contextualSpacing/>
              <w:jc w:val="center"/>
            </w:pPr>
            <w:r>
              <w:t>149</w:t>
            </w:r>
          </w:p>
        </w:tc>
        <w:tc>
          <w:tcPr>
            <w:tcW w:w="461" w:type="pct"/>
            <w:tcBorders>
              <w:top w:val="nil"/>
              <w:left w:val="nil"/>
              <w:bottom w:val="single" w:sz="4" w:space="0" w:color="auto"/>
              <w:right w:val="single" w:sz="4" w:space="0" w:color="auto"/>
            </w:tcBorders>
            <w:shd w:val="clear" w:color="auto" w:fill="auto"/>
            <w:noWrap/>
            <w:vAlign w:val="center"/>
            <w:hideMark/>
          </w:tcPr>
          <w:p w14:paraId="44443548" w14:textId="77777777" w:rsidR="00867FDB" w:rsidRPr="008B0B84" w:rsidRDefault="647749C5" w:rsidP="3328C818">
            <w:pPr>
              <w:pStyle w:val="Table-Text"/>
              <w:spacing w:line="240" w:lineRule="auto"/>
              <w:contextualSpacing/>
              <w:jc w:val="center"/>
            </w:pPr>
            <w:r>
              <w:t>3,981</w:t>
            </w:r>
          </w:p>
        </w:tc>
        <w:tc>
          <w:tcPr>
            <w:tcW w:w="346" w:type="pct"/>
            <w:tcBorders>
              <w:top w:val="nil"/>
              <w:left w:val="nil"/>
              <w:bottom w:val="single" w:sz="4" w:space="0" w:color="auto"/>
              <w:right w:val="single" w:sz="4" w:space="0" w:color="auto"/>
            </w:tcBorders>
            <w:shd w:val="clear" w:color="auto" w:fill="auto"/>
            <w:noWrap/>
            <w:vAlign w:val="center"/>
            <w:hideMark/>
          </w:tcPr>
          <w:p w14:paraId="07BCDEEE" w14:textId="77777777" w:rsidR="00867FDB" w:rsidRPr="008B0B84" w:rsidRDefault="647749C5" w:rsidP="3328C818">
            <w:pPr>
              <w:pStyle w:val="Table-Text"/>
              <w:spacing w:line="240" w:lineRule="auto"/>
              <w:contextualSpacing/>
              <w:jc w:val="center"/>
            </w:pPr>
            <w:r>
              <w:t>1,567</w:t>
            </w:r>
          </w:p>
        </w:tc>
        <w:tc>
          <w:tcPr>
            <w:tcW w:w="417" w:type="pct"/>
            <w:tcBorders>
              <w:top w:val="nil"/>
              <w:left w:val="nil"/>
              <w:bottom w:val="single" w:sz="4" w:space="0" w:color="auto"/>
              <w:right w:val="single" w:sz="4" w:space="0" w:color="auto"/>
            </w:tcBorders>
            <w:shd w:val="clear" w:color="auto" w:fill="auto"/>
            <w:noWrap/>
            <w:vAlign w:val="center"/>
            <w:hideMark/>
          </w:tcPr>
          <w:p w14:paraId="73C106C8" w14:textId="77777777" w:rsidR="00867FDB" w:rsidRPr="008B0B84" w:rsidRDefault="647749C5" w:rsidP="3328C818">
            <w:pPr>
              <w:pStyle w:val="Table-Text"/>
              <w:spacing w:line="240" w:lineRule="auto"/>
              <w:contextualSpacing/>
              <w:jc w:val="center"/>
            </w:pPr>
            <w:r>
              <w:t>400</w:t>
            </w:r>
          </w:p>
        </w:tc>
        <w:tc>
          <w:tcPr>
            <w:tcW w:w="418" w:type="pct"/>
            <w:tcBorders>
              <w:top w:val="nil"/>
              <w:left w:val="nil"/>
              <w:bottom w:val="single" w:sz="4" w:space="0" w:color="auto"/>
              <w:right w:val="single" w:sz="4" w:space="0" w:color="auto"/>
            </w:tcBorders>
            <w:shd w:val="clear" w:color="auto" w:fill="auto"/>
            <w:noWrap/>
            <w:vAlign w:val="center"/>
            <w:hideMark/>
          </w:tcPr>
          <w:p w14:paraId="4F2E1AF2" w14:textId="77777777" w:rsidR="00867FDB" w:rsidRPr="008B0B84" w:rsidRDefault="647749C5" w:rsidP="3328C818">
            <w:pPr>
              <w:pStyle w:val="Table-Text"/>
              <w:spacing w:line="240" w:lineRule="auto"/>
              <w:contextualSpacing/>
              <w:jc w:val="center"/>
            </w:pPr>
            <w:r>
              <w:t>824</w:t>
            </w:r>
          </w:p>
        </w:tc>
        <w:tc>
          <w:tcPr>
            <w:tcW w:w="415" w:type="pct"/>
            <w:tcBorders>
              <w:top w:val="nil"/>
              <w:left w:val="nil"/>
              <w:bottom w:val="single" w:sz="4" w:space="0" w:color="auto"/>
              <w:right w:val="single" w:sz="4" w:space="0" w:color="auto"/>
            </w:tcBorders>
            <w:shd w:val="clear" w:color="auto" w:fill="auto"/>
            <w:noWrap/>
            <w:vAlign w:val="center"/>
            <w:hideMark/>
          </w:tcPr>
          <w:p w14:paraId="36CC8C28" w14:textId="77777777" w:rsidR="00867FDB" w:rsidRPr="008B0B84" w:rsidRDefault="647749C5" w:rsidP="3328C818">
            <w:pPr>
              <w:pStyle w:val="Table-Text"/>
              <w:spacing w:line="240" w:lineRule="auto"/>
              <w:contextualSpacing/>
              <w:jc w:val="center"/>
            </w:pPr>
            <w:r>
              <w:t>6,372</w:t>
            </w:r>
          </w:p>
        </w:tc>
        <w:tc>
          <w:tcPr>
            <w:tcW w:w="567" w:type="pct"/>
            <w:tcBorders>
              <w:top w:val="nil"/>
              <w:left w:val="nil"/>
              <w:bottom w:val="single" w:sz="4" w:space="0" w:color="auto"/>
              <w:right w:val="single" w:sz="4" w:space="0" w:color="auto"/>
            </w:tcBorders>
            <w:shd w:val="clear" w:color="auto" w:fill="auto"/>
            <w:noWrap/>
            <w:vAlign w:val="center"/>
            <w:hideMark/>
          </w:tcPr>
          <w:p w14:paraId="6029B6FE" w14:textId="77777777" w:rsidR="00867FDB" w:rsidRPr="008B0B84" w:rsidRDefault="647749C5" w:rsidP="3328C818">
            <w:pPr>
              <w:pStyle w:val="Table-Text"/>
              <w:spacing w:line="240" w:lineRule="auto"/>
              <w:contextualSpacing/>
              <w:jc w:val="center"/>
            </w:pPr>
            <w:r>
              <w:t>100</w:t>
            </w:r>
          </w:p>
        </w:tc>
        <w:tc>
          <w:tcPr>
            <w:tcW w:w="519" w:type="pct"/>
            <w:tcBorders>
              <w:top w:val="nil"/>
              <w:left w:val="nil"/>
              <w:bottom w:val="single" w:sz="4" w:space="0" w:color="auto"/>
              <w:right w:val="single" w:sz="8" w:space="0" w:color="auto"/>
            </w:tcBorders>
            <w:shd w:val="clear" w:color="auto" w:fill="auto"/>
            <w:noWrap/>
            <w:vAlign w:val="center"/>
            <w:hideMark/>
          </w:tcPr>
          <w:p w14:paraId="3B5E0DA8" w14:textId="77777777" w:rsidR="00867FDB" w:rsidRPr="008B0B84" w:rsidRDefault="647749C5" w:rsidP="3328C818">
            <w:pPr>
              <w:pStyle w:val="Table-Text"/>
              <w:spacing w:line="240" w:lineRule="auto"/>
              <w:contextualSpacing/>
              <w:jc w:val="center"/>
            </w:pPr>
            <w:r>
              <w:t>64</w:t>
            </w:r>
          </w:p>
        </w:tc>
      </w:tr>
      <w:tr w:rsidR="00867FDB" w:rsidRPr="008B0B84" w14:paraId="3377F80C" w14:textId="77777777" w:rsidTr="3328C818">
        <w:trPr>
          <w:trHeight w:hRule="exact" w:val="288"/>
        </w:trPr>
        <w:tc>
          <w:tcPr>
            <w:tcW w:w="1465" w:type="pct"/>
            <w:tcBorders>
              <w:top w:val="nil"/>
              <w:left w:val="single" w:sz="8" w:space="0" w:color="auto"/>
              <w:bottom w:val="single" w:sz="4" w:space="0" w:color="auto"/>
              <w:right w:val="single" w:sz="4" w:space="0" w:color="auto"/>
            </w:tcBorders>
            <w:shd w:val="clear" w:color="auto" w:fill="auto"/>
            <w:noWrap/>
            <w:vAlign w:val="center"/>
            <w:hideMark/>
          </w:tcPr>
          <w:p w14:paraId="5DA3F08D" w14:textId="77777777" w:rsidR="00867FDB" w:rsidRPr="008B0B84" w:rsidRDefault="00867FDB" w:rsidP="00B1738B">
            <w:pPr>
              <w:pStyle w:val="Table-Text"/>
              <w:spacing w:line="240" w:lineRule="auto"/>
              <w:contextualSpacing/>
            </w:pPr>
            <w:r w:rsidRPr="008B0B84">
              <w:t>ArcelorMittal Minorca Mine Inc</w:t>
            </w:r>
          </w:p>
        </w:tc>
        <w:tc>
          <w:tcPr>
            <w:tcW w:w="392" w:type="pct"/>
            <w:tcBorders>
              <w:top w:val="nil"/>
              <w:left w:val="nil"/>
              <w:bottom w:val="single" w:sz="4" w:space="0" w:color="auto"/>
              <w:right w:val="single" w:sz="4" w:space="0" w:color="auto"/>
            </w:tcBorders>
            <w:shd w:val="clear" w:color="auto" w:fill="auto"/>
            <w:noWrap/>
            <w:vAlign w:val="center"/>
            <w:hideMark/>
          </w:tcPr>
          <w:p w14:paraId="75503B2B" w14:textId="77777777" w:rsidR="00867FDB" w:rsidRPr="008B0B84" w:rsidRDefault="647749C5" w:rsidP="3328C818">
            <w:pPr>
              <w:pStyle w:val="Table-Text"/>
              <w:spacing w:line="240" w:lineRule="auto"/>
              <w:contextualSpacing/>
              <w:jc w:val="center"/>
            </w:pPr>
            <w:r>
              <w:t>75</w:t>
            </w:r>
          </w:p>
        </w:tc>
        <w:tc>
          <w:tcPr>
            <w:tcW w:w="461" w:type="pct"/>
            <w:tcBorders>
              <w:top w:val="nil"/>
              <w:left w:val="nil"/>
              <w:bottom w:val="single" w:sz="4" w:space="0" w:color="auto"/>
              <w:right w:val="single" w:sz="4" w:space="0" w:color="auto"/>
            </w:tcBorders>
            <w:shd w:val="clear" w:color="auto" w:fill="auto"/>
            <w:noWrap/>
            <w:vAlign w:val="center"/>
            <w:hideMark/>
          </w:tcPr>
          <w:p w14:paraId="21FADAAE" w14:textId="77777777" w:rsidR="00867FDB" w:rsidRPr="008B0B84" w:rsidRDefault="647749C5" w:rsidP="3328C818">
            <w:pPr>
              <w:pStyle w:val="Table-Text"/>
              <w:spacing w:line="240" w:lineRule="auto"/>
              <w:contextualSpacing/>
              <w:jc w:val="center"/>
            </w:pPr>
            <w:r>
              <w:t>3,063</w:t>
            </w:r>
          </w:p>
        </w:tc>
        <w:tc>
          <w:tcPr>
            <w:tcW w:w="346" w:type="pct"/>
            <w:tcBorders>
              <w:top w:val="nil"/>
              <w:left w:val="nil"/>
              <w:bottom w:val="single" w:sz="4" w:space="0" w:color="auto"/>
              <w:right w:val="single" w:sz="4" w:space="0" w:color="auto"/>
            </w:tcBorders>
            <w:shd w:val="clear" w:color="auto" w:fill="auto"/>
            <w:noWrap/>
            <w:vAlign w:val="center"/>
            <w:hideMark/>
          </w:tcPr>
          <w:p w14:paraId="2FA41B01" w14:textId="77777777" w:rsidR="00867FDB" w:rsidRPr="008B0B84" w:rsidRDefault="647749C5" w:rsidP="3328C818">
            <w:pPr>
              <w:pStyle w:val="Table-Text"/>
              <w:spacing w:line="240" w:lineRule="auto"/>
              <w:contextualSpacing/>
              <w:jc w:val="center"/>
            </w:pPr>
            <w:r>
              <w:t>567</w:t>
            </w:r>
          </w:p>
        </w:tc>
        <w:tc>
          <w:tcPr>
            <w:tcW w:w="417" w:type="pct"/>
            <w:tcBorders>
              <w:top w:val="nil"/>
              <w:left w:val="nil"/>
              <w:bottom w:val="single" w:sz="4" w:space="0" w:color="auto"/>
              <w:right w:val="single" w:sz="4" w:space="0" w:color="auto"/>
            </w:tcBorders>
            <w:shd w:val="clear" w:color="auto" w:fill="auto"/>
            <w:noWrap/>
            <w:vAlign w:val="center"/>
            <w:hideMark/>
          </w:tcPr>
          <w:p w14:paraId="45ACCE61" w14:textId="77777777" w:rsidR="00867FDB" w:rsidRPr="008B0B84" w:rsidRDefault="647749C5" w:rsidP="3328C818">
            <w:pPr>
              <w:pStyle w:val="Table-Text"/>
              <w:spacing w:line="240" w:lineRule="auto"/>
              <w:contextualSpacing/>
              <w:jc w:val="center"/>
            </w:pPr>
            <w:r>
              <w:t>173</w:t>
            </w:r>
          </w:p>
        </w:tc>
        <w:tc>
          <w:tcPr>
            <w:tcW w:w="418" w:type="pct"/>
            <w:tcBorders>
              <w:top w:val="nil"/>
              <w:left w:val="nil"/>
              <w:bottom w:val="single" w:sz="4" w:space="0" w:color="auto"/>
              <w:right w:val="single" w:sz="4" w:space="0" w:color="auto"/>
            </w:tcBorders>
            <w:shd w:val="clear" w:color="auto" w:fill="auto"/>
            <w:noWrap/>
            <w:vAlign w:val="center"/>
            <w:hideMark/>
          </w:tcPr>
          <w:p w14:paraId="117630FD" w14:textId="77777777" w:rsidR="00867FDB" w:rsidRPr="008B0B84" w:rsidRDefault="647749C5" w:rsidP="3328C818">
            <w:pPr>
              <w:pStyle w:val="Table-Text"/>
              <w:spacing w:line="240" w:lineRule="auto"/>
              <w:contextualSpacing/>
              <w:jc w:val="center"/>
            </w:pPr>
            <w:r>
              <w:t>136</w:t>
            </w:r>
          </w:p>
        </w:tc>
        <w:tc>
          <w:tcPr>
            <w:tcW w:w="415" w:type="pct"/>
            <w:tcBorders>
              <w:top w:val="nil"/>
              <w:left w:val="nil"/>
              <w:bottom w:val="single" w:sz="4" w:space="0" w:color="auto"/>
              <w:right w:val="single" w:sz="4" w:space="0" w:color="auto"/>
            </w:tcBorders>
            <w:shd w:val="clear" w:color="auto" w:fill="auto"/>
            <w:noWrap/>
            <w:vAlign w:val="center"/>
            <w:hideMark/>
          </w:tcPr>
          <w:p w14:paraId="7E4213E7" w14:textId="77777777" w:rsidR="00867FDB" w:rsidRPr="008B0B84" w:rsidRDefault="647749C5" w:rsidP="3328C818">
            <w:pPr>
              <w:pStyle w:val="Table-Text"/>
              <w:spacing w:line="240" w:lineRule="auto"/>
              <w:contextualSpacing/>
              <w:jc w:val="center"/>
            </w:pPr>
            <w:r>
              <w:t>3,766</w:t>
            </w:r>
          </w:p>
        </w:tc>
        <w:tc>
          <w:tcPr>
            <w:tcW w:w="567" w:type="pct"/>
            <w:tcBorders>
              <w:top w:val="nil"/>
              <w:left w:val="nil"/>
              <w:bottom w:val="single" w:sz="4" w:space="0" w:color="auto"/>
              <w:right w:val="single" w:sz="4" w:space="0" w:color="auto"/>
            </w:tcBorders>
            <w:shd w:val="clear" w:color="auto" w:fill="auto"/>
            <w:noWrap/>
            <w:vAlign w:val="center"/>
            <w:hideMark/>
          </w:tcPr>
          <w:p w14:paraId="48027563" w14:textId="77777777" w:rsidR="00867FDB" w:rsidRPr="008B0B84" w:rsidRDefault="647749C5" w:rsidP="3328C818">
            <w:pPr>
              <w:pStyle w:val="Table-Text"/>
              <w:spacing w:line="240" w:lineRule="auto"/>
              <w:contextualSpacing/>
              <w:jc w:val="center"/>
            </w:pPr>
            <w:r>
              <w:t>85</w:t>
            </w:r>
          </w:p>
        </w:tc>
        <w:tc>
          <w:tcPr>
            <w:tcW w:w="519" w:type="pct"/>
            <w:tcBorders>
              <w:top w:val="nil"/>
              <w:left w:val="nil"/>
              <w:bottom w:val="single" w:sz="4" w:space="0" w:color="auto"/>
              <w:right w:val="single" w:sz="8" w:space="0" w:color="auto"/>
            </w:tcBorders>
            <w:shd w:val="clear" w:color="auto" w:fill="auto"/>
            <w:noWrap/>
            <w:vAlign w:val="center"/>
            <w:hideMark/>
          </w:tcPr>
          <w:p w14:paraId="215E232B" w14:textId="77777777" w:rsidR="00867FDB" w:rsidRPr="008B0B84" w:rsidRDefault="647749C5" w:rsidP="3328C818">
            <w:pPr>
              <w:pStyle w:val="Table-Text"/>
              <w:spacing w:line="240" w:lineRule="auto"/>
              <w:contextualSpacing/>
              <w:jc w:val="center"/>
            </w:pPr>
            <w:r>
              <w:t>44</w:t>
            </w:r>
          </w:p>
        </w:tc>
      </w:tr>
      <w:tr w:rsidR="00867FDB" w:rsidRPr="008B0B84" w14:paraId="7453E2B1" w14:textId="77777777" w:rsidTr="3328C818">
        <w:trPr>
          <w:trHeight w:hRule="exact" w:val="288"/>
        </w:trPr>
        <w:tc>
          <w:tcPr>
            <w:tcW w:w="1465" w:type="pct"/>
            <w:tcBorders>
              <w:top w:val="nil"/>
              <w:left w:val="single" w:sz="8" w:space="0" w:color="auto"/>
              <w:bottom w:val="single" w:sz="4" w:space="0" w:color="auto"/>
              <w:right w:val="single" w:sz="4" w:space="0" w:color="auto"/>
            </w:tcBorders>
            <w:shd w:val="clear" w:color="auto" w:fill="auto"/>
            <w:noWrap/>
            <w:vAlign w:val="center"/>
            <w:hideMark/>
          </w:tcPr>
          <w:p w14:paraId="1C73AC85" w14:textId="77777777" w:rsidR="00867FDB" w:rsidRPr="008B0B84" w:rsidRDefault="00867FDB" w:rsidP="00B1738B">
            <w:pPr>
              <w:pStyle w:val="Table-Text"/>
              <w:spacing w:line="240" w:lineRule="auto"/>
              <w:contextualSpacing/>
            </w:pPr>
            <w:r w:rsidRPr="008B0B84">
              <w:t>United Taconite LLC - Fairlane Plant</w:t>
            </w:r>
          </w:p>
        </w:tc>
        <w:tc>
          <w:tcPr>
            <w:tcW w:w="392" w:type="pct"/>
            <w:tcBorders>
              <w:top w:val="nil"/>
              <w:left w:val="nil"/>
              <w:bottom w:val="single" w:sz="4" w:space="0" w:color="auto"/>
              <w:right w:val="single" w:sz="4" w:space="0" w:color="auto"/>
            </w:tcBorders>
            <w:shd w:val="clear" w:color="auto" w:fill="auto"/>
            <w:noWrap/>
            <w:vAlign w:val="center"/>
            <w:hideMark/>
          </w:tcPr>
          <w:p w14:paraId="1CAE1AB9" w14:textId="77777777" w:rsidR="00867FDB" w:rsidRPr="008B0B84" w:rsidRDefault="647749C5" w:rsidP="3328C818">
            <w:pPr>
              <w:pStyle w:val="Table-Text"/>
              <w:spacing w:line="240" w:lineRule="auto"/>
              <w:contextualSpacing/>
              <w:jc w:val="center"/>
            </w:pPr>
            <w:r>
              <w:t>190</w:t>
            </w:r>
          </w:p>
        </w:tc>
        <w:tc>
          <w:tcPr>
            <w:tcW w:w="461" w:type="pct"/>
            <w:tcBorders>
              <w:top w:val="nil"/>
              <w:left w:val="nil"/>
              <w:bottom w:val="single" w:sz="4" w:space="0" w:color="auto"/>
              <w:right w:val="single" w:sz="4" w:space="0" w:color="auto"/>
            </w:tcBorders>
            <w:shd w:val="clear" w:color="auto" w:fill="auto"/>
            <w:noWrap/>
            <w:vAlign w:val="center"/>
            <w:hideMark/>
          </w:tcPr>
          <w:p w14:paraId="5E43EBB8" w14:textId="77777777" w:rsidR="00867FDB" w:rsidRPr="008B0B84" w:rsidRDefault="647749C5" w:rsidP="3328C818">
            <w:pPr>
              <w:pStyle w:val="Table-Text"/>
              <w:spacing w:line="240" w:lineRule="auto"/>
              <w:contextualSpacing/>
              <w:jc w:val="center"/>
            </w:pPr>
            <w:r>
              <w:t>3,743</w:t>
            </w:r>
          </w:p>
        </w:tc>
        <w:tc>
          <w:tcPr>
            <w:tcW w:w="346" w:type="pct"/>
            <w:tcBorders>
              <w:top w:val="nil"/>
              <w:left w:val="nil"/>
              <w:bottom w:val="single" w:sz="4" w:space="0" w:color="auto"/>
              <w:right w:val="single" w:sz="4" w:space="0" w:color="auto"/>
            </w:tcBorders>
            <w:shd w:val="clear" w:color="auto" w:fill="auto"/>
            <w:noWrap/>
            <w:vAlign w:val="center"/>
            <w:hideMark/>
          </w:tcPr>
          <w:p w14:paraId="6EB6DABE" w14:textId="77777777" w:rsidR="00867FDB" w:rsidRPr="008B0B84" w:rsidRDefault="647749C5" w:rsidP="3328C818">
            <w:pPr>
              <w:pStyle w:val="Table-Text"/>
              <w:spacing w:line="240" w:lineRule="auto"/>
              <w:contextualSpacing/>
              <w:jc w:val="center"/>
            </w:pPr>
            <w:r>
              <w:t>595</w:t>
            </w:r>
          </w:p>
        </w:tc>
        <w:tc>
          <w:tcPr>
            <w:tcW w:w="417" w:type="pct"/>
            <w:tcBorders>
              <w:top w:val="nil"/>
              <w:left w:val="nil"/>
              <w:bottom w:val="single" w:sz="4" w:space="0" w:color="auto"/>
              <w:right w:val="single" w:sz="4" w:space="0" w:color="auto"/>
            </w:tcBorders>
            <w:shd w:val="clear" w:color="auto" w:fill="auto"/>
            <w:noWrap/>
            <w:vAlign w:val="center"/>
            <w:hideMark/>
          </w:tcPr>
          <w:p w14:paraId="77F29040" w14:textId="77777777" w:rsidR="00867FDB" w:rsidRPr="008B0B84" w:rsidRDefault="647749C5" w:rsidP="3328C818">
            <w:pPr>
              <w:pStyle w:val="Table-Text"/>
              <w:spacing w:line="240" w:lineRule="auto"/>
              <w:contextualSpacing/>
              <w:jc w:val="center"/>
            </w:pPr>
            <w:r>
              <w:t>412</w:t>
            </w:r>
          </w:p>
        </w:tc>
        <w:tc>
          <w:tcPr>
            <w:tcW w:w="418" w:type="pct"/>
            <w:tcBorders>
              <w:top w:val="nil"/>
              <w:left w:val="nil"/>
              <w:bottom w:val="single" w:sz="4" w:space="0" w:color="auto"/>
              <w:right w:val="single" w:sz="4" w:space="0" w:color="auto"/>
            </w:tcBorders>
            <w:shd w:val="clear" w:color="auto" w:fill="auto"/>
            <w:noWrap/>
            <w:vAlign w:val="center"/>
            <w:hideMark/>
          </w:tcPr>
          <w:p w14:paraId="2F94D060" w14:textId="77777777" w:rsidR="00867FDB" w:rsidRPr="008B0B84" w:rsidRDefault="647749C5" w:rsidP="3328C818">
            <w:pPr>
              <w:pStyle w:val="Table-Text"/>
              <w:spacing w:line="240" w:lineRule="auto"/>
              <w:contextualSpacing/>
              <w:jc w:val="center"/>
            </w:pPr>
            <w:r>
              <w:t>275</w:t>
            </w:r>
          </w:p>
        </w:tc>
        <w:tc>
          <w:tcPr>
            <w:tcW w:w="415" w:type="pct"/>
            <w:tcBorders>
              <w:top w:val="nil"/>
              <w:left w:val="nil"/>
              <w:bottom w:val="single" w:sz="4" w:space="0" w:color="auto"/>
              <w:right w:val="single" w:sz="4" w:space="0" w:color="auto"/>
            </w:tcBorders>
            <w:shd w:val="clear" w:color="auto" w:fill="auto"/>
            <w:noWrap/>
            <w:vAlign w:val="center"/>
            <w:hideMark/>
          </w:tcPr>
          <w:p w14:paraId="7B0AC6B7" w14:textId="77777777" w:rsidR="00867FDB" w:rsidRPr="008B0B84" w:rsidRDefault="647749C5" w:rsidP="3328C818">
            <w:pPr>
              <w:pStyle w:val="Table-Text"/>
              <w:spacing w:line="240" w:lineRule="auto"/>
              <w:contextualSpacing/>
              <w:jc w:val="center"/>
            </w:pPr>
            <w:r>
              <w:t>4,613</w:t>
            </w:r>
          </w:p>
        </w:tc>
        <w:tc>
          <w:tcPr>
            <w:tcW w:w="567" w:type="pct"/>
            <w:tcBorders>
              <w:top w:val="nil"/>
              <w:left w:val="nil"/>
              <w:bottom w:val="single" w:sz="4" w:space="0" w:color="auto"/>
              <w:right w:val="single" w:sz="4" w:space="0" w:color="auto"/>
            </w:tcBorders>
            <w:shd w:val="clear" w:color="auto" w:fill="auto"/>
            <w:noWrap/>
            <w:vAlign w:val="center"/>
            <w:hideMark/>
          </w:tcPr>
          <w:p w14:paraId="6776647F" w14:textId="77777777" w:rsidR="00867FDB" w:rsidRPr="008B0B84" w:rsidRDefault="647749C5" w:rsidP="3328C818">
            <w:pPr>
              <w:pStyle w:val="Table-Text"/>
              <w:spacing w:line="240" w:lineRule="auto"/>
              <w:contextualSpacing/>
              <w:jc w:val="center"/>
            </w:pPr>
            <w:r>
              <w:t>108</w:t>
            </w:r>
          </w:p>
        </w:tc>
        <w:tc>
          <w:tcPr>
            <w:tcW w:w="519" w:type="pct"/>
            <w:tcBorders>
              <w:top w:val="nil"/>
              <w:left w:val="nil"/>
              <w:bottom w:val="single" w:sz="4" w:space="0" w:color="auto"/>
              <w:right w:val="single" w:sz="8" w:space="0" w:color="auto"/>
            </w:tcBorders>
            <w:shd w:val="clear" w:color="auto" w:fill="auto"/>
            <w:noWrap/>
            <w:vAlign w:val="center"/>
            <w:hideMark/>
          </w:tcPr>
          <w:p w14:paraId="43FA4C74" w14:textId="77777777" w:rsidR="00867FDB" w:rsidRPr="008B0B84" w:rsidRDefault="647749C5" w:rsidP="3328C818">
            <w:pPr>
              <w:pStyle w:val="Table-Text"/>
              <w:spacing w:line="240" w:lineRule="auto"/>
              <w:contextualSpacing/>
              <w:jc w:val="center"/>
            </w:pPr>
            <w:r>
              <w:t>43</w:t>
            </w:r>
          </w:p>
        </w:tc>
      </w:tr>
      <w:tr w:rsidR="00867FDB" w:rsidRPr="008B0B84" w14:paraId="5E5F6E33" w14:textId="77777777" w:rsidTr="3328C818">
        <w:trPr>
          <w:trHeight w:hRule="exact" w:val="288"/>
        </w:trPr>
        <w:tc>
          <w:tcPr>
            <w:tcW w:w="1465" w:type="pct"/>
            <w:tcBorders>
              <w:top w:val="nil"/>
              <w:left w:val="single" w:sz="8" w:space="0" w:color="auto"/>
              <w:bottom w:val="single" w:sz="4" w:space="0" w:color="auto"/>
              <w:right w:val="single" w:sz="4" w:space="0" w:color="auto"/>
            </w:tcBorders>
            <w:shd w:val="clear" w:color="auto" w:fill="auto"/>
            <w:noWrap/>
            <w:vAlign w:val="center"/>
            <w:hideMark/>
          </w:tcPr>
          <w:p w14:paraId="512C975C" w14:textId="69BDB2FF" w:rsidR="00867FDB" w:rsidRPr="008B0B84" w:rsidRDefault="00867FDB" w:rsidP="00B1738B">
            <w:pPr>
              <w:pStyle w:val="Table-Text"/>
              <w:spacing w:line="240" w:lineRule="auto"/>
              <w:contextualSpacing/>
            </w:pPr>
            <w:r w:rsidRPr="008B0B84">
              <w:t>Northshore Mining Co</w:t>
            </w:r>
            <w:r>
              <w:t>–</w:t>
            </w:r>
            <w:r w:rsidRPr="008B0B84">
              <w:t>Silver Bay</w:t>
            </w:r>
          </w:p>
        </w:tc>
        <w:tc>
          <w:tcPr>
            <w:tcW w:w="392" w:type="pct"/>
            <w:tcBorders>
              <w:top w:val="nil"/>
              <w:left w:val="nil"/>
              <w:bottom w:val="single" w:sz="4" w:space="0" w:color="auto"/>
              <w:right w:val="single" w:sz="4" w:space="0" w:color="auto"/>
            </w:tcBorders>
            <w:shd w:val="clear" w:color="auto" w:fill="auto"/>
            <w:noWrap/>
            <w:vAlign w:val="center"/>
            <w:hideMark/>
          </w:tcPr>
          <w:p w14:paraId="36B79664" w14:textId="77777777" w:rsidR="00867FDB" w:rsidRPr="008B0B84" w:rsidRDefault="647749C5" w:rsidP="3328C818">
            <w:pPr>
              <w:pStyle w:val="Table-Text"/>
              <w:spacing w:line="240" w:lineRule="auto"/>
              <w:contextualSpacing/>
              <w:jc w:val="center"/>
            </w:pPr>
            <w:r>
              <w:t>22</w:t>
            </w:r>
          </w:p>
        </w:tc>
        <w:tc>
          <w:tcPr>
            <w:tcW w:w="461" w:type="pct"/>
            <w:tcBorders>
              <w:top w:val="nil"/>
              <w:left w:val="nil"/>
              <w:bottom w:val="single" w:sz="4" w:space="0" w:color="auto"/>
              <w:right w:val="single" w:sz="4" w:space="0" w:color="auto"/>
            </w:tcBorders>
            <w:shd w:val="clear" w:color="auto" w:fill="auto"/>
            <w:noWrap/>
            <w:vAlign w:val="center"/>
            <w:hideMark/>
          </w:tcPr>
          <w:p w14:paraId="3C11385F" w14:textId="77777777" w:rsidR="00867FDB" w:rsidRPr="008B0B84" w:rsidRDefault="647749C5" w:rsidP="3328C818">
            <w:pPr>
              <w:pStyle w:val="Table-Text"/>
              <w:spacing w:line="240" w:lineRule="auto"/>
              <w:contextualSpacing/>
              <w:jc w:val="center"/>
            </w:pPr>
            <w:r>
              <w:t>2,169</w:t>
            </w:r>
          </w:p>
        </w:tc>
        <w:tc>
          <w:tcPr>
            <w:tcW w:w="346" w:type="pct"/>
            <w:tcBorders>
              <w:top w:val="nil"/>
              <w:left w:val="nil"/>
              <w:bottom w:val="single" w:sz="4" w:space="0" w:color="auto"/>
              <w:right w:val="single" w:sz="4" w:space="0" w:color="auto"/>
            </w:tcBorders>
            <w:shd w:val="clear" w:color="auto" w:fill="auto"/>
            <w:noWrap/>
            <w:vAlign w:val="center"/>
            <w:hideMark/>
          </w:tcPr>
          <w:p w14:paraId="7BAC5745" w14:textId="77777777" w:rsidR="00867FDB" w:rsidRPr="008B0B84" w:rsidRDefault="647749C5" w:rsidP="3328C818">
            <w:pPr>
              <w:pStyle w:val="Table-Text"/>
              <w:spacing w:line="240" w:lineRule="auto"/>
              <w:contextualSpacing/>
              <w:jc w:val="center"/>
            </w:pPr>
            <w:r>
              <w:t>461</w:t>
            </w:r>
          </w:p>
        </w:tc>
        <w:tc>
          <w:tcPr>
            <w:tcW w:w="417" w:type="pct"/>
            <w:tcBorders>
              <w:top w:val="nil"/>
              <w:left w:val="nil"/>
              <w:bottom w:val="single" w:sz="4" w:space="0" w:color="auto"/>
              <w:right w:val="single" w:sz="4" w:space="0" w:color="auto"/>
            </w:tcBorders>
            <w:shd w:val="clear" w:color="auto" w:fill="auto"/>
            <w:noWrap/>
            <w:vAlign w:val="center"/>
            <w:hideMark/>
          </w:tcPr>
          <w:p w14:paraId="1D9CEC34" w14:textId="77777777" w:rsidR="00867FDB" w:rsidRPr="008B0B84" w:rsidRDefault="647749C5" w:rsidP="3328C818">
            <w:pPr>
              <w:pStyle w:val="Table-Text"/>
              <w:spacing w:line="240" w:lineRule="auto"/>
              <w:contextualSpacing/>
              <w:jc w:val="center"/>
            </w:pPr>
            <w:r>
              <w:t>327</w:t>
            </w:r>
          </w:p>
        </w:tc>
        <w:tc>
          <w:tcPr>
            <w:tcW w:w="418" w:type="pct"/>
            <w:tcBorders>
              <w:top w:val="nil"/>
              <w:left w:val="nil"/>
              <w:bottom w:val="single" w:sz="4" w:space="0" w:color="auto"/>
              <w:right w:val="single" w:sz="4" w:space="0" w:color="auto"/>
            </w:tcBorders>
            <w:shd w:val="clear" w:color="auto" w:fill="auto"/>
            <w:noWrap/>
            <w:vAlign w:val="center"/>
            <w:hideMark/>
          </w:tcPr>
          <w:p w14:paraId="281E3D5E" w14:textId="77777777" w:rsidR="00867FDB" w:rsidRPr="008B0B84" w:rsidRDefault="647749C5" w:rsidP="3328C818">
            <w:pPr>
              <w:pStyle w:val="Table-Text"/>
              <w:spacing w:line="240" w:lineRule="auto"/>
              <w:contextualSpacing/>
              <w:jc w:val="center"/>
            </w:pPr>
            <w:r>
              <w:t>1,539</w:t>
            </w:r>
          </w:p>
        </w:tc>
        <w:tc>
          <w:tcPr>
            <w:tcW w:w="415" w:type="pct"/>
            <w:tcBorders>
              <w:top w:val="nil"/>
              <w:left w:val="nil"/>
              <w:bottom w:val="single" w:sz="4" w:space="0" w:color="auto"/>
              <w:right w:val="single" w:sz="4" w:space="0" w:color="auto"/>
            </w:tcBorders>
            <w:shd w:val="clear" w:color="auto" w:fill="auto"/>
            <w:noWrap/>
            <w:vAlign w:val="center"/>
            <w:hideMark/>
          </w:tcPr>
          <w:p w14:paraId="2B24F4A6" w14:textId="77777777" w:rsidR="00867FDB" w:rsidRPr="008B0B84" w:rsidRDefault="647749C5" w:rsidP="3328C818">
            <w:pPr>
              <w:pStyle w:val="Table-Text"/>
              <w:spacing w:line="240" w:lineRule="auto"/>
              <w:contextualSpacing/>
              <w:jc w:val="center"/>
            </w:pPr>
            <w:r>
              <w:t>4,169</w:t>
            </w:r>
          </w:p>
        </w:tc>
        <w:tc>
          <w:tcPr>
            <w:tcW w:w="567" w:type="pct"/>
            <w:tcBorders>
              <w:top w:val="nil"/>
              <w:left w:val="nil"/>
              <w:bottom w:val="single" w:sz="4" w:space="0" w:color="auto"/>
              <w:right w:val="single" w:sz="4" w:space="0" w:color="auto"/>
            </w:tcBorders>
            <w:shd w:val="clear" w:color="auto" w:fill="auto"/>
            <w:noWrap/>
            <w:vAlign w:val="center"/>
            <w:hideMark/>
          </w:tcPr>
          <w:p w14:paraId="43CA524E" w14:textId="77777777" w:rsidR="00867FDB" w:rsidRPr="008B0B84" w:rsidRDefault="647749C5" w:rsidP="3328C818">
            <w:pPr>
              <w:pStyle w:val="Table-Text"/>
              <w:spacing w:line="240" w:lineRule="auto"/>
              <w:contextualSpacing/>
              <w:jc w:val="center"/>
            </w:pPr>
            <w:r>
              <w:t>147</w:t>
            </w:r>
          </w:p>
        </w:tc>
        <w:tc>
          <w:tcPr>
            <w:tcW w:w="519" w:type="pct"/>
            <w:tcBorders>
              <w:top w:val="nil"/>
              <w:left w:val="nil"/>
              <w:bottom w:val="single" w:sz="4" w:space="0" w:color="auto"/>
              <w:right w:val="single" w:sz="8" w:space="0" w:color="auto"/>
            </w:tcBorders>
            <w:shd w:val="clear" w:color="auto" w:fill="auto"/>
            <w:noWrap/>
            <w:vAlign w:val="center"/>
            <w:hideMark/>
          </w:tcPr>
          <w:p w14:paraId="43C4578C" w14:textId="77777777" w:rsidR="00867FDB" w:rsidRPr="008B0B84" w:rsidRDefault="647749C5" w:rsidP="3328C818">
            <w:pPr>
              <w:pStyle w:val="Table-Text"/>
              <w:spacing w:line="240" w:lineRule="auto"/>
              <w:contextualSpacing/>
              <w:jc w:val="center"/>
            </w:pPr>
            <w:r>
              <w:t>28</w:t>
            </w:r>
          </w:p>
        </w:tc>
      </w:tr>
      <w:tr w:rsidR="00867FDB" w:rsidRPr="008B0B84" w14:paraId="16C0BCEE" w14:textId="77777777" w:rsidTr="3328C818">
        <w:trPr>
          <w:trHeight w:hRule="exact" w:val="288"/>
        </w:trPr>
        <w:tc>
          <w:tcPr>
            <w:tcW w:w="1465" w:type="pct"/>
            <w:tcBorders>
              <w:top w:val="nil"/>
              <w:left w:val="single" w:sz="8" w:space="0" w:color="auto"/>
              <w:bottom w:val="single" w:sz="4" w:space="0" w:color="auto"/>
              <w:right w:val="single" w:sz="4" w:space="0" w:color="auto"/>
            </w:tcBorders>
            <w:shd w:val="clear" w:color="auto" w:fill="auto"/>
            <w:noWrap/>
            <w:vAlign w:val="center"/>
            <w:hideMark/>
          </w:tcPr>
          <w:p w14:paraId="0E137A4A" w14:textId="7343D685" w:rsidR="00867FDB" w:rsidRPr="008B0B84" w:rsidRDefault="00867FDB" w:rsidP="00B1738B">
            <w:pPr>
              <w:pStyle w:val="Table-Text"/>
              <w:spacing w:line="240" w:lineRule="auto"/>
              <w:contextualSpacing/>
            </w:pPr>
            <w:r w:rsidRPr="008B0B84">
              <w:t>US Steel Corp</w:t>
            </w:r>
            <w:r>
              <w:t>–</w:t>
            </w:r>
            <w:proofErr w:type="spellStart"/>
            <w:r w:rsidRPr="008B0B84">
              <w:t>Minntac</w:t>
            </w:r>
            <w:proofErr w:type="spellEnd"/>
          </w:p>
        </w:tc>
        <w:tc>
          <w:tcPr>
            <w:tcW w:w="392" w:type="pct"/>
            <w:tcBorders>
              <w:top w:val="nil"/>
              <w:left w:val="nil"/>
              <w:bottom w:val="single" w:sz="4" w:space="0" w:color="auto"/>
              <w:right w:val="single" w:sz="4" w:space="0" w:color="auto"/>
            </w:tcBorders>
            <w:shd w:val="clear" w:color="auto" w:fill="auto"/>
            <w:noWrap/>
            <w:vAlign w:val="center"/>
            <w:hideMark/>
          </w:tcPr>
          <w:p w14:paraId="1C47219B" w14:textId="77777777" w:rsidR="00867FDB" w:rsidRPr="008B0B84" w:rsidRDefault="647749C5" w:rsidP="3328C818">
            <w:pPr>
              <w:pStyle w:val="Table-Text"/>
              <w:spacing w:line="240" w:lineRule="auto"/>
              <w:contextualSpacing/>
              <w:jc w:val="center"/>
            </w:pPr>
            <w:r>
              <w:t>173</w:t>
            </w:r>
          </w:p>
        </w:tc>
        <w:tc>
          <w:tcPr>
            <w:tcW w:w="461" w:type="pct"/>
            <w:tcBorders>
              <w:top w:val="nil"/>
              <w:left w:val="nil"/>
              <w:bottom w:val="single" w:sz="4" w:space="0" w:color="auto"/>
              <w:right w:val="single" w:sz="4" w:space="0" w:color="auto"/>
            </w:tcBorders>
            <w:shd w:val="clear" w:color="auto" w:fill="auto"/>
            <w:noWrap/>
            <w:vAlign w:val="center"/>
            <w:hideMark/>
          </w:tcPr>
          <w:p w14:paraId="6FE0FE0A" w14:textId="77777777" w:rsidR="00867FDB" w:rsidRPr="008B0B84" w:rsidRDefault="647749C5" w:rsidP="3328C818">
            <w:pPr>
              <w:pStyle w:val="Table-Text"/>
              <w:spacing w:line="240" w:lineRule="auto"/>
              <w:contextualSpacing/>
              <w:jc w:val="center"/>
            </w:pPr>
            <w:r>
              <w:t>6,481</w:t>
            </w:r>
          </w:p>
        </w:tc>
        <w:tc>
          <w:tcPr>
            <w:tcW w:w="346" w:type="pct"/>
            <w:tcBorders>
              <w:top w:val="nil"/>
              <w:left w:val="nil"/>
              <w:bottom w:val="single" w:sz="4" w:space="0" w:color="auto"/>
              <w:right w:val="single" w:sz="4" w:space="0" w:color="auto"/>
            </w:tcBorders>
            <w:shd w:val="clear" w:color="auto" w:fill="auto"/>
            <w:noWrap/>
            <w:vAlign w:val="center"/>
            <w:hideMark/>
          </w:tcPr>
          <w:p w14:paraId="257EB175" w14:textId="77777777" w:rsidR="00867FDB" w:rsidRPr="008B0B84" w:rsidRDefault="647749C5" w:rsidP="3328C818">
            <w:pPr>
              <w:pStyle w:val="Table-Text"/>
              <w:spacing w:line="240" w:lineRule="auto"/>
              <w:contextualSpacing/>
              <w:jc w:val="center"/>
            </w:pPr>
            <w:r>
              <w:t>2,788</w:t>
            </w:r>
          </w:p>
        </w:tc>
        <w:tc>
          <w:tcPr>
            <w:tcW w:w="417" w:type="pct"/>
            <w:tcBorders>
              <w:top w:val="nil"/>
              <w:left w:val="nil"/>
              <w:bottom w:val="single" w:sz="4" w:space="0" w:color="auto"/>
              <w:right w:val="single" w:sz="4" w:space="0" w:color="auto"/>
            </w:tcBorders>
            <w:shd w:val="clear" w:color="auto" w:fill="auto"/>
            <w:noWrap/>
            <w:vAlign w:val="center"/>
            <w:hideMark/>
          </w:tcPr>
          <w:p w14:paraId="086A97AB" w14:textId="77777777" w:rsidR="00867FDB" w:rsidRPr="008B0B84" w:rsidRDefault="647749C5" w:rsidP="3328C818">
            <w:pPr>
              <w:pStyle w:val="Table-Text"/>
              <w:spacing w:line="240" w:lineRule="auto"/>
              <w:contextualSpacing/>
              <w:jc w:val="center"/>
            </w:pPr>
            <w:r>
              <w:t>2,084</w:t>
            </w:r>
          </w:p>
        </w:tc>
        <w:tc>
          <w:tcPr>
            <w:tcW w:w="418" w:type="pct"/>
            <w:tcBorders>
              <w:top w:val="nil"/>
              <w:left w:val="nil"/>
              <w:bottom w:val="single" w:sz="4" w:space="0" w:color="auto"/>
              <w:right w:val="single" w:sz="4" w:space="0" w:color="auto"/>
            </w:tcBorders>
            <w:shd w:val="clear" w:color="auto" w:fill="auto"/>
            <w:noWrap/>
            <w:vAlign w:val="center"/>
            <w:hideMark/>
          </w:tcPr>
          <w:p w14:paraId="7C493D81" w14:textId="77777777" w:rsidR="00867FDB" w:rsidRPr="008B0B84" w:rsidRDefault="647749C5" w:rsidP="3328C818">
            <w:pPr>
              <w:pStyle w:val="Table-Text"/>
              <w:spacing w:line="240" w:lineRule="auto"/>
              <w:contextualSpacing/>
              <w:jc w:val="center"/>
            </w:pPr>
            <w:r>
              <w:t>1,207</w:t>
            </w:r>
          </w:p>
        </w:tc>
        <w:tc>
          <w:tcPr>
            <w:tcW w:w="415" w:type="pct"/>
            <w:tcBorders>
              <w:top w:val="nil"/>
              <w:left w:val="nil"/>
              <w:bottom w:val="single" w:sz="4" w:space="0" w:color="auto"/>
              <w:right w:val="single" w:sz="4" w:space="0" w:color="auto"/>
            </w:tcBorders>
            <w:shd w:val="clear" w:color="auto" w:fill="auto"/>
            <w:noWrap/>
            <w:vAlign w:val="center"/>
            <w:hideMark/>
          </w:tcPr>
          <w:p w14:paraId="20C97B85" w14:textId="77777777" w:rsidR="00867FDB" w:rsidRPr="008B0B84" w:rsidRDefault="647749C5" w:rsidP="3328C818">
            <w:pPr>
              <w:pStyle w:val="Table-Text"/>
              <w:spacing w:line="240" w:lineRule="auto"/>
              <w:contextualSpacing/>
              <w:jc w:val="center"/>
            </w:pPr>
            <w:r>
              <w:t>10,476</w:t>
            </w:r>
          </w:p>
        </w:tc>
        <w:tc>
          <w:tcPr>
            <w:tcW w:w="567" w:type="pct"/>
            <w:tcBorders>
              <w:top w:val="nil"/>
              <w:left w:val="nil"/>
              <w:bottom w:val="single" w:sz="4" w:space="0" w:color="auto"/>
              <w:right w:val="single" w:sz="4" w:space="0" w:color="auto"/>
            </w:tcBorders>
            <w:shd w:val="clear" w:color="auto" w:fill="auto"/>
            <w:noWrap/>
            <w:vAlign w:val="center"/>
            <w:hideMark/>
          </w:tcPr>
          <w:p w14:paraId="6C946851" w14:textId="77777777" w:rsidR="00867FDB" w:rsidRPr="008B0B84" w:rsidRDefault="647749C5" w:rsidP="3328C818">
            <w:pPr>
              <w:pStyle w:val="Table-Text"/>
              <w:spacing w:line="240" w:lineRule="auto"/>
              <w:contextualSpacing/>
              <w:jc w:val="center"/>
            </w:pPr>
            <w:r>
              <w:t>85</w:t>
            </w:r>
          </w:p>
        </w:tc>
        <w:tc>
          <w:tcPr>
            <w:tcW w:w="519" w:type="pct"/>
            <w:tcBorders>
              <w:top w:val="nil"/>
              <w:left w:val="nil"/>
              <w:bottom w:val="single" w:sz="4" w:space="0" w:color="auto"/>
              <w:right w:val="single" w:sz="8" w:space="0" w:color="auto"/>
            </w:tcBorders>
            <w:shd w:val="clear" w:color="auto" w:fill="auto"/>
            <w:noWrap/>
            <w:vAlign w:val="center"/>
            <w:hideMark/>
          </w:tcPr>
          <w:p w14:paraId="1472E4D0" w14:textId="77777777" w:rsidR="00867FDB" w:rsidRPr="008B0B84" w:rsidRDefault="647749C5" w:rsidP="3328C818">
            <w:pPr>
              <w:pStyle w:val="Table-Text"/>
              <w:spacing w:line="240" w:lineRule="auto"/>
              <w:contextualSpacing/>
              <w:jc w:val="center"/>
            </w:pPr>
            <w:r>
              <w:t>123</w:t>
            </w:r>
          </w:p>
        </w:tc>
      </w:tr>
      <w:tr w:rsidR="00867FDB" w:rsidRPr="008B0B84" w14:paraId="094C5B23" w14:textId="77777777" w:rsidTr="3328C818">
        <w:trPr>
          <w:trHeight w:hRule="exact" w:val="288"/>
        </w:trPr>
        <w:tc>
          <w:tcPr>
            <w:tcW w:w="1465" w:type="pct"/>
            <w:tcBorders>
              <w:top w:val="nil"/>
              <w:left w:val="single" w:sz="8" w:space="0" w:color="auto"/>
              <w:bottom w:val="single" w:sz="8" w:space="0" w:color="auto"/>
              <w:right w:val="single" w:sz="4" w:space="0" w:color="auto"/>
            </w:tcBorders>
            <w:shd w:val="clear" w:color="auto" w:fill="auto"/>
            <w:noWrap/>
            <w:vAlign w:val="center"/>
            <w:hideMark/>
          </w:tcPr>
          <w:p w14:paraId="7B1CC73B" w14:textId="199231B8" w:rsidR="00867FDB" w:rsidRPr="008B0B84" w:rsidRDefault="00867FDB" w:rsidP="00B1738B">
            <w:pPr>
              <w:pStyle w:val="Table-Text"/>
              <w:spacing w:line="240" w:lineRule="auto"/>
              <w:contextualSpacing/>
            </w:pPr>
            <w:r w:rsidRPr="008B0B84">
              <w:t>US Steel Corp</w:t>
            </w:r>
            <w:r>
              <w:t>–</w:t>
            </w:r>
            <w:proofErr w:type="spellStart"/>
            <w:r w:rsidRPr="008B0B84">
              <w:t>Keetac</w:t>
            </w:r>
            <w:proofErr w:type="spellEnd"/>
          </w:p>
        </w:tc>
        <w:tc>
          <w:tcPr>
            <w:tcW w:w="392" w:type="pct"/>
            <w:tcBorders>
              <w:top w:val="nil"/>
              <w:left w:val="nil"/>
              <w:bottom w:val="single" w:sz="8" w:space="0" w:color="auto"/>
              <w:right w:val="single" w:sz="4" w:space="0" w:color="auto"/>
            </w:tcBorders>
            <w:shd w:val="clear" w:color="auto" w:fill="auto"/>
            <w:noWrap/>
            <w:vAlign w:val="center"/>
            <w:hideMark/>
          </w:tcPr>
          <w:p w14:paraId="1A141B4C" w14:textId="77777777" w:rsidR="00867FDB" w:rsidRPr="008B0B84" w:rsidRDefault="647749C5" w:rsidP="3328C818">
            <w:pPr>
              <w:pStyle w:val="Table-Text"/>
              <w:spacing w:line="240" w:lineRule="auto"/>
              <w:contextualSpacing/>
              <w:jc w:val="center"/>
            </w:pPr>
            <w:r>
              <w:t>90</w:t>
            </w:r>
          </w:p>
        </w:tc>
        <w:tc>
          <w:tcPr>
            <w:tcW w:w="461" w:type="pct"/>
            <w:tcBorders>
              <w:top w:val="nil"/>
              <w:left w:val="nil"/>
              <w:bottom w:val="single" w:sz="8" w:space="0" w:color="auto"/>
              <w:right w:val="single" w:sz="4" w:space="0" w:color="auto"/>
            </w:tcBorders>
            <w:shd w:val="clear" w:color="auto" w:fill="auto"/>
            <w:noWrap/>
            <w:vAlign w:val="center"/>
            <w:hideMark/>
          </w:tcPr>
          <w:p w14:paraId="1067E5A4" w14:textId="77777777" w:rsidR="00867FDB" w:rsidRPr="008B0B84" w:rsidRDefault="647749C5" w:rsidP="3328C818">
            <w:pPr>
              <w:pStyle w:val="Table-Text"/>
              <w:spacing w:line="240" w:lineRule="auto"/>
              <w:contextualSpacing/>
              <w:jc w:val="center"/>
            </w:pPr>
            <w:r>
              <w:t>5,009</w:t>
            </w:r>
          </w:p>
        </w:tc>
        <w:tc>
          <w:tcPr>
            <w:tcW w:w="346" w:type="pct"/>
            <w:tcBorders>
              <w:top w:val="nil"/>
              <w:left w:val="nil"/>
              <w:bottom w:val="single" w:sz="8" w:space="0" w:color="auto"/>
              <w:right w:val="single" w:sz="4" w:space="0" w:color="auto"/>
            </w:tcBorders>
            <w:shd w:val="clear" w:color="auto" w:fill="auto"/>
            <w:noWrap/>
            <w:vAlign w:val="center"/>
            <w:hideMark/>
          </w:tcPr>
          <w:p w14:paraId="7CE16C70" w14:textId="77777777" w:rsidR="00867FDB" w:rsidRPr="008B0B84" w:rsidRDefault="647749C5" w:rsidP="3328C818">
            <w:pPr>
              <w:pStyle w:val="Table-Text"/>
              <w:spacing w:line="240" w:lineRule="auto"/>
              <w:contextualSpacing/>
              <w:jc w:val="center"/>
            </w:pPr>
            <w:r>
              <w:t>533</w:t>
            </w:r>
          </w:p>
        </w:tc>
        <w:tc>
          <w:tcPr>
            <w:tcW w:w="417" w:type="pct"/>
            <w:tcBorders>
              <w:top w:val="nil"/>
              <w:left w:val="nil"/>
              <w:bottom w:val="single" w:sz="8" w:space="0" w:color="auto"/>
              <w:right w:val="single" w:sz="4" w:space="0" w:color="auto"/>
            </w:tcBorders>
            <w:shd w:val="clear" w:color="auto" w:fill="auto"/>
            <w:noWrap/>
            <w:vAlign w:val="center"/>
            <w:hideMark/>
          </w:tcPr>
          <w:p w14:paraId="6F09F6CD" w14:textId="77777777" w:rsidR="00867FDB" w:rsidRPr="008B0B84" w:rsidRDefault="647749C5" w:rsidP="3328C818">
            <w:pPr>
              <w:pStyle w:val="Table-Text"/>
              <w:spacing w:line="240" w:lineRule="auto"/>
              <w:contextualSpacing/>
              <w:jc w:val="center"/>
            </w:pPr>
            <w:r>
              <w:t>411</w:t>
            </w:r>
          </w:p>
        </w:tc>
        <w:tc>
          <w:tcPr>
            <w:tcW w:w="418" w:type="pct"/>
            <w:tcBorders>
              <w:top w:val="nil"/>
              <w:left w:val="nil"/>
              <w:bottom w:val="single" w:sz="8" w:space="0" w:color="auto"/>
              <w:right w:val="single" w:sz="4" w:space="0" w:color="auto"/>
            </w:tcBorders>
            <w:shd w:val="clear" w:color="auto" w:fill="auto"/>
            <w:noWrap/>
            <w:vAlign w:val="center"/>
            <w:hideMark/>
          </w:tcPr>
          <w:p w14:paraId="6C4E08E3" w14:textId="77777777" w:rsidR="00867FDB" w:rsidRPr="008B0B84" w:rsidRDefault="647749C5" w:rsidP="3328C818">
            <w:pPr>
              <w:pStyle w:val="Table-Text"/>
              <w:spacing w:line="240" w:lineRule="auto"/>
              <w:contextualSpacing/>
              <w:jc w:val="center"/>
            </w:pPr>
            <w:r>
              <w:t>533</w:t>
            </w:r>
          </w:p>
        </w:tc>
        <w:tc>
          <w:tcPr>
            <w:tcW w:w="415" w:type="pct"/>
            <w:tcBorders>
              <w:top w:val="nil"/>
              <w:left w:val="nil"/>
              <w:bottom w:val="single" w:sz="8" w:space="0" w:color="auto"/>
              <w:right w:val="single" w:sz="4" w:space="0" w:color="auto"/>
            </w:tcBorders>
            <w:shd w:val="clear" w:color="auto" w:fill="auto"/>
            <w:noWrap/>
            <w:vAlign w:val="center"/>
            <w:hideMark/>
          </w:tcPr>
          <w:p w14:paraId="08B7D465" w14:textId="77777777" w:rsidR="00867FDB" w:rsidRPr="008B0B84" w:rsidRDefault="647749C5" w:rsidP="3328C818">
            <w:pPr>
              <w:pStyle w:val="Table-Text"/>
              <w:spacing w:line="240" w:lineRule="auto"/>
              <w:contextualSpacing/>
              <w:jc w:val="center"/>
            </w:pPr>
            <w:r>
              <w:t>6,075</w:t>
            </w:r>
          </w:p>
        </w:tc>
        <w:tc>
          <w:tcPr>
            <w:tcW w:w="567" w:type="pct"/>
            <w:tcBorders>
              <w:top w:val="nil"/>
              <w:left w:val="nil"/>
              <w:bottom w:val="single" w:sz="8" w:space="0" w:color="auto"/>
              <w:right w:val="single" w:sz="4" w:space="0" w:color="auto"/>
            </w:tcBorders>
            <w:shd w:val="clear" w:color="auto" w:fill="auto"/>
            <w:noWrap/>
            <w:vAlign w:val="center"/>
            <w:hideMark/>
          </w:tcPr>
          <w:p w14:paraId="0F5BD7C6" w14:textId="77777777" w:rsidR="00867FDB" w:rsidRPr="008B0B84" w:rsidRDefault="647749C5" w:rsidP="3328C818">
            <w:pPr>
              <w:pStyle w:val="Table-Text"/>
              <w:spacing w:line="240" w:lineRule="auto"/>
              <w:contextualSpacing/>
              <w:jc w:val="center"/>
            </w:pPr>
            <w:r>
              <w:t>109</w:t>
            </w:r>
          </w:p>
        </w:tc>
        <w:tc>
          <w:tcPr>
            <w:tcW w:w="519" w:type="pct"/>
            <w:tcBorders>
              <w:top w:val="nil"/>
              <w:left w:val="nil"/>
              <w:bottom w:val="single" w:sz="8" w:space="0" w:color="auto"/>
              <w:right w:val="single" w:sz="8" w:space="0" w:color="auto"/>
            </w:tcBorders>
            <w:shd w:val="clear" w:color="auto" w:fill="auto"/>
            <w:noWrap/>
            <w:vAlign w:val="center"/>
            <w:hideMark/>
          </w:tcPr>
          <w:p w14:paraId="5171796E" w14:textId="77777777" w:rsidR="00867FDB" w:rsidRPr="008B0B84" w:rsidRDefault="647749C5" w:rsidP="3328C818">
            <w:pPr>
              <w:pStyle w:val="Table-Text"/>
              <w:spacing w:line="240" w:lineRule="auto"/>
              <w:contextualSpacing/>
              <w:jc w:val="center"/>
            </w:pPr>
            <w:r>
              <w:t>56</w:t>
            </w:r>
          </w:p>
        </w:tc>
      </w:tr>
      <w:tr w:rsidR="00867FDB" w:rsidRPr="008B0B84" w14:paraId="6E605B41" w14:textId="77777777" w:rsidTr="3328C818">
        <w:trPr>
          <w:trHeight w:hRule="exact" w:val="288"/>
        </w:trPr>
        <w:tc>
          <w:tcPr>
            <w:tcW w:w="1465" w:type="pct"/>
            <w:tcBorders>
              <w:top w:val="nil"/>
              <w:left w:val="single" w:sz="8" w:space="0" w:color="auto"/>
              <w:bottom w:val="single" w:sz="8" w:space="0" w:color="auto"/>
              <w:right w:val="single" w:sz="4" w:space="0" w:color="auto"/>
            </w:tcBorders>
            <w:shd w:val="clear" w:color="auto" w:fill="auto"/>
            <w:noWrap/>
            <w:vAlign w:val="center"/>
            <w:hideMark/>
          </w:tcPr>
          <w:p w14:paraId="51510FF3" w14:textId="77777777" w:rsidR="00867FDB" w:rsidRPr="008B0B84" w:rsidRDefault="00867FDB" w:rsidP="00B1738B">
            <w:pPr>
              <w:pStyle w:val="Table-Text"/>
              <w:spacing w:line="240" w:lineRule="auto"/>
              <w:contextualSpacing/>
            </w:pPr>
            <w:r w:rsidRPr="008B0B84">
              <w:t>Totals</w:t>
            </w:r>
          </w:p>
        </w:tc>
        <w:tc>
          <w:tcPr>
            <w:tcW w:w="392" w:type="pct"/>
            <w:tcBorders>
              <w:top w:val="nil"/>
              <w:left w:val="nil"/>
              <w:bottom w:val="single" w:sz="8" w:space="0" w:color="auto"/>
              <w:right w:val="nil"/>
            </w:tcBorders>
            <w:shd w:val="clear" w:color="auto" w:fill="auto"/>
            <w:noWrap/>
            <w:vAlign w:val="center"/>
            <w:hideMark/>
          </w:tcPr>
          <w:p w14:paraId="2DDDCCFF" w14:textId="77777777" w:rsidR="00867FDB" w:rsidRPr="008B0B84" w:rsidRDefault="647749C5" w:rsidP="3328C818">
            <w:pPr>
              <w:pStyle w:val="Table-Text"/>
              <w:spacing w:line="240" w:lineRule="auto"/>
              <w:contextualSpacing/>
              <w:jc w:val="center"/>
            </w:pPr>
            <w:r>
              <w:t>700</w:t>
            </w:r>
          </w:p>
        </w:tc>
        <w:tc>
          <w:tcPr>
            <w:tcW w:w="461" w:type="pct"/>
            <w:tcBorders>
              <w:top w:val="nil"/>
              <w:left w:val="nil"/>
              <w:bottom w:val="single" w:sz="8" w:space="0" w:color="auto"/>
              <w:right w:val="nil"/>
            </w:tcBorders>
            <w:shd w:val="clear" w:color="auto" w:fill="auto"/>
            <w:noWrap/>
            <w:vAlign w:val="center"/>
            <w:hideMark/>
          </w:tcPr>
          <w:p w14:paraId="310E25CF" w14:textId="77777777" w:rsidR="00867FDB" w:rsidRPr="008B0B84" w:rsidRDefault="647749C5" w:rsidP="3328C818">
            <w:pPr>
              <w:pStyle w:val="Table-Text"/>
              <w:spacing w:line="240" w:lineRule="auto"/>
              <w:contextualSpacing/>
              <w:jc w:val="center"/>
            </w:pPr>
            <w:r>
              <w:t>24,446</w:t>
            </w:r>
          </w:p>
        </w:tc>
        <w:tc>
          <w:tcPr>
            <w:tcW w:w="346" w:type="pct"/>
            <w:tcBorders>
              <w:top w:val="nil"/>
              <w:left w:val="nil"/>
              <w:bottom w:val="single" w:sz="8" w:space="0" w:color="auto"/>
              <w:right w:val="nil"/>
            </w:tcBorders>
            <w:shd w:val="clear" w:color="auto" w:fill="auto"/>
            <w:noWrap/>
            <w:vAlign w:val="center"/>
            <w:hideMark/>
          </w:tcPr>
          <w:p w14:paraId="06CD4182" w14:textId="77777777" w:rsidR="00867FDB" w:rsidRPr="008B0B84" w:rsidRDefault="647749C5" w:rsidP="3328C818">
            <w:pPr>
              <w:pStyle w:val="Table-Text"/>
              <w:spacing w:line="240" w:lineRule="auto"/>
              <w:contextualSpacing/>
              <w:jc w:val="center"/>
            </w:pPr>
            <w:r>
              <w:t>6,511</w:t>
            </w:r>
          </w:p>
        </w:tc>
        <w:tc>
          <w:tcPr>
            <w:tcW w:w="417" w:type="pct"/>
            <w:tcBorders>
              <w:top w:val="nil"/>
              <w:left w:val="nil"/>
              <w:bottom w:val="single" w:sz="8" w:space="0" w:color="auto"/>
              <w:right w:val="nil"/>
            </w:tcBorders>
            <w:shd w:val="clear" w:color="auto" w:fill="auto"/>
            <w:noWrap/>
            <w:vAlign w:val="center"/>
            <w:hideMark/>
          </w:tcPr>
          <w:p w14:paraId="0B56BA66" w14:textId="77777777" w:rsidR="00867FDB" w:rsidRPr="008B0B84" w:rsidRDefault="647749C5" w:rsidP="3328C818">
            <w:pPr>
              <w:pStyle w:val="Table-Text"/>
              <w:spacing w:line="240" w:lineRule="auto"/>
              <w:contextualSpacing/>
              <w:jc w:val="center"/>
            </w:pPr>
            <w:r>
              <w:t>3,807</w:t>
            </w:r>
          </w:p>
        </w:tc>
        <w:tc>
          <w:tcPr>
            <w:tcW w:w="418" w:type="pct"/>
            <w:tcBorders>
              <w:top w:val="nil"/>
              <w:left w:val="nil"/>
              <w:bottom w:val="single" w:sz="8" w:space="0" w:color="auto"/>
              <w:right w:val="nil"/>
            </w:tcBorders>
            <w:shd w:val="clear" w:color="auto" w:fill="auto"/>
            <w:noWrap/>
            <w:vAlign w:val="center"/>
            <w:hideMark/>
          </w:tcPr>
          <w:p w14:paraId="193987F0" w14:textId="77777777" w:rsidR="00867FDB" w:rsidRPr="008B0B84" w:rsidRDefault="647749C5" w:rsidP="3328C818">
            <w:pPr>
              <w:pStyle w:val="Table-Text"/>
              <w:spacing w:line="240" w:lineRule="auto"/>
              <w:contextualSpacing/>
              <w:jc w:val="center"/>
            </w:pPr>
            <w:r>
              <w:t>4,514</w:t>
            </w:r>
          </w:p>
        </w:tc>
        <w:tc>
          <w:tcPr>
            <w:tcW w:w="415" w:type="pct"/>
            <w:tcBorders>
              <w:top w:val="nil"/>
              <w:left w:val="nil"/>
              <w:bottom w:val="single" w:sz="8" w:space="0" w:color="auto"/>
              <w:right w:val="nil"/>
            </w:tcBorders>
            <w:shd w:val="clear" w:color="auto" w:fill="auto"/>
            <w:noWrap/>
            <w:vAlign w:val="center"/>
            <w:hideMark/>
          </w:tcPr>
          <w:p w14:paraId="4F20D475" w14:textId="77777777" w:rsidR="00867FDB" w:rsidRPr="008B0B84" w:rsidRDefault="647749C5" w:rsidP="3328C818">
            <w:pPr>
              <w:pStyle w:val="Table-Text"/>
              <w:spacing w:line="240" w:lineRule="auto"/>
              <w:contextualSpacing/>
              <w:jc w:val="center"/>
            </w:pPr>
            <w:r>
              <w:t>35,471</w:t>
            </w:r>
          </w:p>
        </w:tc>
        <w:tc>
          <w:tcPr>
            <w:tcW w:w="567" w:type="pct"/>
            <w:tcBorders>
              <w:top w:val="nil"/>
              <w:left w:val="nil"/>
              <w:bottom w:val="single" w:sz="8" w:space="0" w:color="auto"/>
              <w:right w:val="nil"/>
            </w:tcBorders>
            <w:shd w:val="clear" w:color="auto" w:fill="auto"/>
            <w:noWrap/>
            <w:vAlign w:val="center"/>
            <w:hideMark/>
          </w:tcPr>
          <w:p w14:paraId="39837747" w14:textId="77777777" w:rsidR="00867FDB" w:rsidRPr="008B0B84" w:rsidRDefault="00867FDB" w:rsidP="3328C818">
            <w:pPr>
              <w:pStyle w:val="Table-Text"/>
              <w:spacing w:line="240" w:lineRule="auto"/>
              <w:contextualSpacing/>
              <w:jc w:val="center"/>
            </w:pPr>
          </w:p>
        </w:tc>
        <w:tc>
          <w:tcPr>
            <w:tcW w:w="519" w:type="pct"/>
            <w:tcBorders>
              <w:top w:val="nil"/>
              <w:left w:val="nil"/>
              <w:bottom w:val="single" w:sz="8" w:space="0" w:color="auto"/>
              <w:right w:val="single" w:sz="8" w:space="0" w:color="auto"/>
            </w:tcBorders>
            <w:shd w:val="clear" w:color="auto" w:fill="auto"/>
            <w:noWrap/>
            <w:vAlign w:val="center"/>
            <w:hideMark/>
          </w:tcPr>
          <w:p w14:paraId="0383B26B" w14:textId="77777777" w:rsidR="00867FDB" w:rsidRPr="008B0B84" w:rsidRDefault="647749C5" w:rsidP="3328C818">
            <w:pPr>
              <w:pStyle w:val="Table-Text"/>
              <w:spacing w:line="240" w:lineRule="auto"/>
              <w:contextualSpacing/>
              <w:jc w:val="center"/>
            </w:pPr>
            <w:r>
              <w:t>358</w:t>
            </w:r>
          </w:p>
        </w:tc>
      </w:tr>
    </w:tbl>
    <w:p w14:paraId="0199C926" w14:textId="77777777" w:rsidR="00867FDB" w:rsidRPr="008B0B84" w:rsidRDefault="00867FDB" w:rsidP="00B1738B">
      <w:pPr>
        <w:spacing w:line="240" w:lineRule="auto"/>
        <w:contextualSpacing/>
        <w:rPr>
          <w:bCs/>
        </w:rPr>
      </w:pPr>
    </w:p>
    <w:p w14:paraId="03C66617" w14:textId="7FCF50F2" w:rsidR="00867FDB" w:rsidRDefault="00867FDB" w:rsidP="00B1738B">
      <w:pPr>
        <w:spacing w:line="240" w:lineRule="auto"/>
        <w:contextualSpacing/>
        <w:rPr>
          <w:bCs/>
        </w:rPr>
      </w:pPr>
      <w:r>
        <w:rPr>
          <w:bCs/>
        </w:rPr>
        <w:t>Based on e</w:t>
      </w:r>
      <w:r w:rsidRPr="008B0B84">
        <w:rPr>
          <w:bCs/>
        </w:rPr>
        <w:t>mission</w:t>
      </w:r>
      <w:r>
        <w:rPr>
          <w:bCs/>
        </w:rPr>
        <w:t>s</w:t>
      </w:r>
      <w:r w:rsidRPr="008B0B84">
        <w:rPr>
          <w:bCs/>
        </w:rPr>
        <w:t xml:space="preserve"> relative to distance to </w:t>
      </w:r>
      <w:r>
        <w:rPr>
          <w:bCs/>
        </w:rPr>
        <w:t>NPS managed</w:t>
      </w:r>
      <w:r w:rsidRPr="008B0B84">
        <w:rPr>
          <w:bCs/>
        </w:rPr>
        <w:t xml:space="preserve"> Class I areas, MN </w:t>
      </w:r>
      <w:r>
        <w:rPr>
          <w:bCs/>
        </w:rPr>
        <w:t>ranks</w:t>
      </w:r>
      <w:r w:rsidRPr="008B0B84">
        <w:rPr>
          <w:bCs/>
        </w:rPr>
        <w:t xml:space="preserve"> #9 in the US, with the taconite facilities comprising more than half of those impacts. (The taconite plants alone would rank #22 as a “state.”</w:t>
      </w:r>
    </w:p>
    <w:p w14:paraId="4F614B93" w14:textId="77777777" w:rsidR="00511CB4" w:rsidRPr="008B0B84" w:rsidRDefault="00511CB4" w:rsidP="00B1738B">
      <w:pPr>
        <w:spacing w:line="240" w:lineRule="auto"/>
        <w:contextualSpacing/>
        <w:rPr>
          <w:bCs/>
        </w:rPr>
      </w:pPr>
    </w:p>
    <w:p w14:paraId="5D660906" w14:textId="3DF44169" w:rsidR="00867FDB" w:rsidRPr="008B0B84" w:rsidRDefault="00867FDB" w:rsidP="00B1738B">
      <w:pPr>
        <w:spacing w:line="240" w:lineRule="auto"/>
        <w:contextualSpacing/>
        <w:rPr>
          <w:bCs/>
        </w:rPr>
      </w:pPr>
      <w:r w:rsidRPr="008B0B84">
        <w:rPr>
          <w:bCs/>
        </w:rPr>
        <w:t xml:space="preserve">MPCA subsequently decided that no </w:t>
      </w:r>
      <w:r>
        <w:rPr>
          <w:bCs/>
        </w:rPr>
        <w:t>four-factor analyses</w:t>
      </w:r>
      <w:r w:rsidRPr="008B0B84">
        <w:rPr>
          <w:bCs/>
        </w:rPr>
        <w:t xml:space="preserve"> </w:t>
      </w:r>
      <w:r w:rsidR="00C83CD9">
        <w:rPr>
          <w:bCs/>
        </w:rPr>
        <w:t xml:space="preserve">or emission reductions </w:t>
      </w:r>
      <w:r w:rsidRPr="008B0B84">
        <w:rPr>
          <w:bCs/>
        </w:rPr>
        <w:t>were required for any of these facilities. The paragraph below (United Taconite—Fairlane) is an example of MPCA’s rationale</w:t>
      </w:r>
      <w:r>
        <w:rPr>
          <w:bCs/>
        </w:rPr>
        <w:t xml:space="preserve"> from the draft SIP</w:t>
      </w:r>
      <w:r w:rsidRPr="008B0B84">
        <w:rPr>
          <w:bCs/>
        </w:rPr>
        <w:t>:</w:t>
      </w:r>
    </w:p>
    <w:p w14:paraId="2E7511E8" w14:textId="49C8C3BC" w:rsidR="00867FDB" w:rsidRPr="008B0B84" w:rsidRDefault="00867FDB" w:rsidP="00B1738B">
      <w:pPr>
        <w:pStyle w:val="Quote"/>
        <w:spacing w:line="240" w:lineRule="auto"/>
        <w:contextualSpacing/>
      </w:pPr>
      <w:r w:rsidRPr="008B0B84">
        <w:t xml:space="preserve">These circumstances are specific, or similar to, examples U.S. EPA identifies in its August 2019 Guidance where it may be reasonable to not select a source for further analysis. Regarding </w:t>
      </w:r>
      <w:r w:rsidRPr="00A9462F">
        <w:t>NO</w:t>
      </w:r>
      <w:r>
        <w:rPr>
          <w:vertAlign w:val="subscript"/>
        </w:rPr>
        <w:t>x</w:t>
      </w:r>
      <w:r w:rsidRPr="008B0B84">
        <w:t xml:space="preserve"> emissions, the emission units installed and began operating controls to meet BART emission limits for the first implementation period. Regarding </w:t>
      </w:r>
      <w:r w:rsidRPr="00A9462F">
        <w:t>SO</w:t>
      </w:r>
      <w:r w:rsidRPr="00A9462F">
        <w:rPr>
          <w:vertAlign w:val="subscript"/>
        </w:rPr>
        <w:t>2</w:t>
      </w:r>
      <w:r w:rsidRPr="008B0B84">
        <w:t xml:space="preserve"> emissions, while the existing controls for the emission units were determined to be BART, meaning no add-on controls were required, both emission units are subject to an hourly </w:t>
      </w:r>
      <w:r w:rsidRPr="00A9462F">
        <w:t>SO</w:t>
      </w:r>
      <w:r w:rsidRPr="00A9462F">
        <w:rPr>
          <w:vertAlign w:val="subscript"/>
        </w:rPr>
        <w:t>2</w:t>
      </w:r>
      <w:r w:rsidRPr="008B0B84">
        <w:t xml:space="preserve"> emission rate limit and fuel sulfur content requirements established in the Taconite FIP. Given the level of control required for these emissions units, the MPCA determined that it was unlikely that there are further available reasonable controls for these emission units and removed them from further analysis for this implementation period.</w:t>
      </w:r>
    </w:p>
    <w:p w14:paraId="237453FF" w14:textId="27472760" w:rsidR="00867FDB" w:rsidRPr="008B0B84" w:rsidRDefault="00867FDB" w:rsidP="00B1738B">
      <w:pPr>
        <w:spacing w:line="240" w:lineRule="auto"/>
        <w:contextualSpacing/>
        <w:rPr>
          <w:bCs/>
        </w:rPr>
      </w:pPr>
      <w:r w:rsidRPr="001969BE">
        <w:rPr>
          <w:bCs/>
        </w:rPr>
        <w:t>NPS review and analysis demonstrates</w:t>
      </w:r>
      <w:r w:rsidRPr="008B0B84">
        <w:rPr>
          <w:bCs/>
        </w:rPr>
        <w:t xml:space="preserve"> that controls that are more effective than the current controls are technically feasible, cost-effective, and </w:t>
      </w:r>
      <w:r>
        <w:rPr>
          <w:bCs/>
        </w:rPr>
        <w:t xml:space="preserve">may be considered </w:t>
      </w:r>
      <w:r w:rsidRPr="008B0B84">
        <w:rPr>
          <w:bCs/>
        </w:rPr>
        <w:t>reasonable.</w:t>
      </w:r>
    </w:p>
    <w:p w14:paraId="416376C4" w14:textId="77777777" w:rsidR="00511CB4" w:rsidRDefault="00511CB4" w:rsidP="00B1738B">
      <w:pPr>
        <w:spacing w:line="240" w:lineRule="auto"/>
        <w:contextualSpacing/>
        <w:rPr>
          <w:bCs/>
        </w:rPr>
      </w:pPr>
    </w:p>
    <w:p w14:paraId="32131E40" w14:textId="629D2363" w:rsidR="00867FDB" w:rsidRPr="008B0B84" w:rsidRDefault="00867FDB" w:rsidP="00B1738B">
      <w:pPr>
        <w:spacing w:line="240" w:lineRule="auto"/>
        <w:contextualSpacing/>
        <w:rPr>
          <w:bCs/>
        </w:rPr>
      </w:pPr>
      <w:r w:rsidRPr="008B0B84">
        <w:rPr>
          <w:bCs/>
        </w:rPr>
        <w:t>MPCA may also be relying upon two other issues related to the taconite companies:</w:t>
      </w:r>
    </w:p>
    <w:p w14:paraId="227C3A8B" w14:textId="7011476C" w:rsidR="00867FDB" w:rsidRPr="008B0B84" w:rsidRDefault="00867FDB" w:rsidP="00B1738B">
      <w:pPr>
        <w:numPr>
          <w:ilvl w:val="0"/>
          <w:numId w:val="27"/>
        </w:numPr>
        <w:spacing w:line="240" w:lineRule="auto"/>
        <w:contextualSpacing/>
      </w:pPr>
      <w:r>
        <w:t>A</w:t>
      </w:r>
      <w:r w:rsidRPr="008B0B84">
        <w:t xml:space="preserve">nalyses conducted by U.S. EPA that determined what emission reductions were BART for the indurating furnaces at taconite facilities in Minnesota, as discussed earlier in Section </w:t>
      </w:r>
      <w:r w:rsidRPr="008B0B84">
        <w:fldChar w:fldCharType="begin"/>
      </w:r>
      <w:r w:rsidRPr="008B0B84">
        <w:instrText xml:space="preserve"> REF _Ref101815035 \w \h  \* MERGEFORMAT </w:instrText>
      </w:r>
      <w:r w:rsidRPr="008B0B84">
        <w:fldChar w:fldCharType="separate"/>
      </w:r>
      <w:r w:rsidRPr="008B0B84">
        <w:t>2.3.5</w:t>
      </w:r>
      <w:r w:rsidRPr="008B0B84">
        <w:fldChar w:fldCharType="end"/>
      </w:r>
      <w:r w:rsidRPr="008B0B84">
        <w:t xml:space="preserve"> regarding sources that are effectively controlled</w:t>
      </w:r>
      <w:r>
        <w:t xml:space="preserve"> are referenced and relied on</w:t>
      </w:r>
      <w:r w:rsidRPr="008B0B84">
        <w:t xml:space="preserve">. The BART analyses conducted by U.S. EPA were included in the Taconite Regional Haze FIPs promulgated in 2013 and 2016. </w:t>
      </w:r>
    </w:p>
    <w:p w14:paraId="398706C0" w14:textId="77777777" w:rsidR="00867FDB" w:rsidRPr="008B0B84" w:rsidRDefault="00867FDB" w:rsidP="00B1738B">
      <w:pPr>
        <w:numPr>
          <w:ilvl w:val="0"/>
          <w:numId w:val="27"/>
        </w:numPr>
        <w:spacing w:line="240" w:lineRule="auto"/>
        <w:contextualSpacing/>
      </w:pPr>
      <w:r>
        <w:t xml:space="preserve">According to MPCA, </w:t>
      </w:r>
      <w:r w:rsidRPr="008B0B84">
        <w:t xml:space="preserve">U.S. EPA and the Minnesota taconite facilities have been in continued settlement discussions since the promulgation of these FIPs, as discussed in </w:t>
      </w:r>
      <w:r>
        <w:t xml:space="preserve">SIP </w:t>
      </w:r>
      <w:r w:rsidRPr="008B0B84">
        <w:t xml:space="preserve">Section </w:t>
      </w:r>
      <w:r w:rsidRPr="008B0B84">
        <w:fldChar w:fldCharType="begin"/>
      </w:r>
      <w:r w:rsidRPr="008B0B84">
        <w:instrText xml:space="preserve"> REF _Ref101814880 \w \h  \* MERGEFORMAT </w:instrText>
      </w:r>
      <w:r w:rsidRPr="008B0B84">
        <w:fldChar w:fldCharType="separate"/>
      </w:r>
      <w:r w:rsidRPr="008B0B84">
        <w:t>1.3</w:t>
      </w:r>
      <w:r w:rsidRPr="008B0B84">
        <w:fldChar w:fldCharType="end"/>
      </w:r>
      <w:r w:rsidRPr="008B0B84">
        <w:t>, most recently resulting in revisions to the FIP requirements for U.S. Steel</w:t>
      </w:r>
      <w:r>
        <w:t>–</w:t>
      </w:r>
      <w:proofErr w:type="spellStart"/>
      <w:r w:rsidRPr="008B0B84">
        <w:t>Minntac</w:t>
      </w:r>
      <w:proofErr w:type="spellEnd"/>
      <w:r w:rsidRPr="008B0B84">
        <w:t xml:space="preserve"> in 2020. While the MPCA is not included in the settlement discussions between U.S. EPA and the Minnesota taconite facilities, the MPCA expects that U.S. EPA’s current analysis is both sound and does not require an update for this implementation period given that U.S. EPA continues to evaluate the specific requirements of the FIP, including the associated BART emission limits.</w:t>
      </w:r>
    </w:p>
    <w:p w14:paraId="0A0E7555" w14:textId="77777777" w:rsidR="00511CB4" w:rsidRDefault="00511CB4" w:rsidP="00B1738B">
      <w:pPr>
        <w:spacing w:line="240" w:lineRule="auto"/>
        <w:contextualSpacing/>
        <w:rPr>
          <w:bCs/>
        </w:rPr>
      </w:pPr>
    </w:p>
    <w:p w14:paraId="1A0689CC" w14:textId="6345D885" w:rsidR="00867FDB" w:rsidRDefault="00867FDB" w:rsidP="00B1738B">
      <w:pPr>
        <w:spacing w:line="240" w:lineRule="auto"/>
        <w:contextualSpacing/>
        <w:rPr>
          <w:bCs/>
        </w:rPr>
      </w:pPr>
      <w:r w:rsidRPr="008B0B84">
        <w:rPr>
          <w:bCs/>
        </w:rPr>
        <w:t xml:space="preserve">EPA’s previous BART determinations are </w:t>
      </w:r>
      <w:r>
        <w:rPr>
          <w:bCs/>
        </w:rPr>
        <w:t>no longer current</w:t>
      </w:r>
      <w:r w:rsidRPr="008B0B84">
        <w:rPr>
          <w:bCs/>
        </w:rPr>
        <w:t xml:space="preserve"> (</w:t>
      </w:r>
      <w:r>
        <w:rPr>
          <w:bCs/>
        </w:rPr>
        <w:t>some</w:t>
      </w:r>
      <w:r w:rsidRPr="00FB2289">
        <w:rPr>
          <w:bCs/>
        </w:rPr>
        <w:t xml:space="preserve"> of the facilities may have changed fuel mixtures and/or pellet characteristics</w:t>
      </w:r>
      <w:r w:rsidRPr="008B0B84">
        <w:rPr>
          <w:bCs/>
        </w:rPr>
        <w:t xml:space="preserve">) and </w:t>
      </w:r>
      <w:r>
        <w:rPr>
          <w:bCs/>
        </w:rPr>
        <w:t>warrant revisiting</w:t>
      </w:r>
      <w:r w:rsidRPr="008B0B84">
        <w:rPr>
          <w:bCs/>
        </w:rPr>
        <w:t>, especially with respect to EPA’s 2016 comments regarding SCR with reheat.</w:t>
      </w:r>
    </w:p>
    <w:p w14:paraId="09905510" w14:textId="77777777" w:rsidR="00E916D0" w:rsidRPr="008B0B84" w:rsidRDefault="00E916D0" w:rsidP="00B1738B">
      <w:pPr>
        <w:spacing w:line="240" w:lineRule="auto"/>
        <w:contextualSpacing/>
        <w:rPr>
          <w:bCs/>
        </w:rPr>
      </w:pPr>
    </w:p>
    <w:p w14:paraId="62DDE5F1" w14:textId="77777777" w:rsidR="00867FDB" w:rsidRPr="008B0B84" w:rsidRDefault="00867FDB" w:rsidP="00B1738B">
      <w:pPr>
        <w:spacing w:line="240" w:lineRule="auto"/>
        <w:contextualSpacing/>
        <w:rPr>
          <w:bCs/>
        </w:rPr>
      </w:pPr>
      <w:r w:rsidRPr="008B0B84">
        <w:rPr>
          <w:bCs/>
        </w:rPr>
        <w:t>The ongoing negotiations among EPA and the Minnesota taconite facilities do not exempt the taconite facilities from review in this planning period. In its 11/01/2021 letter to Wyoming, EPA stated:</w:t>
      </w:r>
    </w:p>
    <w:p w14:paraId="75CB3EA4" w14:textId="77777777" w:rsidR="00867FDB" w:rsidRDefault="00867FDB" w:rsidP="00B1738B">
      <w:pPr>
        <w:pStyle w:val="Quote"/>
        <w:spacing w:line="240" w:lineRule="auto"/>
        <w:contextualSpacing/>
      </w:pPr>
      <w:r w:rsidRPr="008B0B84">
        <w:t xml:space="preserve">Wyoming states that it did not conduct a four-factor analysis for the </w:t>
      </w:r>
      <w:proofErr w:type="spellStart"/>
      <w:r w:rsidRPr="008B0B84">
        <w:t>Wyodak</w:t>
      </w:r>
      <w:proofErr w:type="spellEnd"/>
      <w:r w:rsidRPr="008B0B84">
        <w:t xml:space="preserve"> facility due to ongoing first planning period litigation. First planning period litigation is not a basis to forego a four-factor analysis for </w:t>
      </w:r>
      <w:proofErr w:type="spellStart"/>
      <w:r w:rsidRPr="008B0B84">
        <w:t>Wyodak</w:t>
      </w:r>
      <w:proofErr w:type="spellEnd"/>
      <w:r w:rsidRPr="008B0B84">
        <w:t xml:space="preserve"> for the second regional haze implementation period. Wyoming must perform a four-factor analysis or provide a reasonable explanation for excluding </w:t>
      </w:r>
      <w:proofErr w:type="spellStart"/>
      <w:r w:rsidRPr="008B0B84">
        <w:t>Wyodak</w:t>
      </w:r>
      <w:proofErr w:type="spellEnd"/>
      <w:r w:rsidRPr="008B0B84">
        <w:t xml:space="preserve"> consistent with the Regional Haze Rule, EPA’s Guidance, and the Clarifications Memo. </w:t>
      </w:r>
    </w:p>
    <w:p w14:paraId="5A5B03D4" w14:textId="417E1805" w:rsidR="00867FDB" w:rsidRDefault="00867FDB">
      <w:pPr>
        <w:pStyle w:val="Heading2"/>
      </w:pPr>
      <w:bookmarkStart w:id="47" w:name="_Toc115775436"/>
      <w:r w:rsidRPr="00226283">
        <w:t>United Taconite LLC</w:t>
      </w:r>
      <w:r>
        <w:t>–</w:t>
      </w:r>
      <w:r w:rsidRPr="00226283">
        <w:t>Fairlane Plant</w:t>
      </w:r>
      <w:bookmarkEnd w:id="47"/>
    </w:p>
    <w:p w14:paraId="4015DE96" w14:textId="5AE1D8B2" w:rsidR="00867FDB" w:rsidRDefault="00867FDB" w:rsidP="00B1738B">
      <w:pPr>
        <w:pStyle w:val="Heading3"/>
        <w:spacing w:line="240" w:lineRule="auto"/>
        <w:contextualSpacing/>
      </w:pPr>
      <w:r>
        <w:t xml:space="preserve">Summary of NPS Recommendations for </w:t>
      </w:r>
      <w:r w:rsidRPr="00226283">
        <w:t>United Taconite LLC</w:t>
      </w:r>
      <w:r>
        <w:t>–</w:t>
      </w:r>
      <w:r w:rsidRPr="00226283">
        <w:t>Fairlane Plant</w:t>
      </w:r>
    </w:p>
    <w:p w14:paraId="20A08095" w14:textId="156B507A" w:rsidR="00867FDB" w:rsidRDefault="00867FDB" w:rsidP="00B1738B">
      <w:pPr>
        <w:spacing w:line="240" w:lineRule="auto"/>
        <w:contextualSpacing/>
      </w:pPr>
      <w:r>
        <w:t xml:space="preserve">NPS review of the four-factor analysis conducted for </w:t>
      </w:r>
      <w:r w:rsidRPr="00C1278E">
        <w:t>Cleveland Cliffs’ United Taconite—Fairlane Plant (UTAC)</w:t>
      </w:r>
      <w:r>
        <w:t xml:space="preserve"> finds that </w:t>
      </w:r>
      <w:r w:rsidRPr="00A9462F">
        <w:t>NO</w:t>
      </w:r>
      <w:r>
        <w:rPr>
          <w:vertAlign w:val="subscript"/>
        </w:rPr>
        <w:t>x</w:t>
      </w:r>
      <w:r w:rsidRPr="000267C8">
        <w:t xml:space="preserve">, </w:t>
      </w:r>
      <w:r w:rsidRPr="00A9462F">
        <w:t>SO</w:t>
      </w:r>
      <w:r w:rsidRPr="00A9462F">
        <w:rPr>
          <w:vertAlign w:val="subscript"/>
        </w:rPr>
        <w:t>2</w:t>
      </w:r>
      <w:r w:rsidRPr="000267C8">
        <w:t>, and PM emissions from UTAC’s Lines #1 &amp; #2 are not effectively-controlled.</w:t>
      </w:r>
      <w:r w:rsidR="00511CB4">
        <w:t xml:space="preserve"> </w:t>
      </w:r>
      <w:r>
        <w:t>Further, NPS review finds that:</w:t>
      </w:r>
    </w:p>
    <w:p w14:paraId="15070D29" w14:textId="4E03A65A" w:rsidR="00867FDB" w:rsidRDefault="00867FDB" w:rsidP="00B1738B">
      <w:pPr>
        <w:pStyle w:val="ListParagraph"/>
      </w:pPr>
      <w:r>
        <w:t>Application of t</w:t>
      </w:r>
      <w:r w:rsidRPr="000D22D1">
        <w:t>ail-end SCR</w:t>
      </w:r>
      <w:r>
        <w:t xml:space="preserve"> (</w:t>
      </w:r>
      <w:r w:rsidRPr="00210A0A">
        <w:t>installed after the existing wet scrubbers</w:t>
      </w:r>
      <w:r>
        <w:t>)</w:t>
      </w:r>
      <w:r w:rsidRPr="000D22D1">
        <w:t xml:space="preserve"> </w:t>
      </w:r>
      <w:r>
        <w:t xml:space="preserve">at UTAC </w:t>
      </w:r>
      <w:r w:rsidRPr="000D22D1">
        <w:t xml:space="preserve">could </w:t>
      </w:r>
      <w:r w:rsidR="00455F5E">
        <w:t xml:space="preserve">cost-effectively </w:t>
      </w:r>
      <w:r w:rsidRPr="000D22D1">
        <w:t xml:space="preserve">reduce </w:t>
      </w:r>
      <w:r w:rsidRPr="00A9462F">
        <w:t>NO</w:t>
      </w:r>
      <w:r>
        <w:rPr>
          <w:vertAlign w:val="subscript"/>
        </w:rPr>
        <w:t>x</w:t>
      </w:r>
      <w:r w:rsidRPr="000D22D1">
        <w:t xml:space="preserve"> emissions by </w:t>
      </w:r>
      <w:r w:rsidR="00C83CD9">
        <w:t xml:space="preserve">over </w:t>
      </w:r>
      <w:r w:rsidR="00455F5E">
        <w:t>2,500</w:t>
      </w:r>
      <w:r w:rsidRPr="000D22D1">
        <w:t xml:space="preserve"> tons/yr.</w:t>
      </w:r>
    </w:p>
    <w:p w14:paraId="64DD08B2" w14:textId="06923858" w:rsidR="00867FDB" w:rsidRDefault="00867FDB" w:rsidP="00EA0940">
      <w:pPr>
        <w:pStyle w:val="ListParagraph"/>
      </w:pPr>
      <w:r>
        <w:t xml:space="preserve">On their own, opportunities to reduce </w:t>
      </w:r>
      <w:r w:rsidRPr="00A9462F">
        <w:t>SO</w:t>
      </w:r>
      <w:r w:rsidRPr="00511CB4">
        <w:rPr>
          <w:vertAlign w:val="subscript"/>
        </w:rPr>
        <w:t>2</w:t>
      </w:r>
      <w:r>
        <w:t xml:space="preserve"> emissions with a modern scrubber and fabric filter or ESP are well above the threshold for consideration even when adjusted for conformance with CCM methods. However, </w:t>
      </w:r>
      <w:r w:rsidRPr="00210A0A">
        <w:t xml:space="preserve">an integrated approach that precedes </w:t>
      </w:r>
      <w:r>
        <w:t xml:space="preserve">tail-end SCR </w:t>
      </w:r>
      <w:r w:rsidRPr="00210A0A">
        <w:t xml:space="preserve">with dry scrubbing and a fabric filter would minimize catalyst fouling (improving the technical feasibility of SCR) while drastically reducing PM emissions as well as reducing </w:t>
      </w:r>
      <w:r w:rsidRPr="00A9462F">
        <w:t>SO</w:t>
      </w:r>
      <w:r w:rsidRPr="00511CB4">
        <w:rPr>
          <w:vertAlign w:val="subscript"/>
        </w:rPr>
        <w:t>2</w:t>
      </w:r>
      <w:r w:rsidRPr="00210A0A">
        <w:t xml:space="preserve"> emissions. </w:t>
      </w:r>
      <w:r>
        <w:t xml:space="preserve">This would be a far superior approach from an emissions reduction and cost effectiveness perspective with the potential to reduce haze causing emissions </w:t>
      </w:r>
      <w:r w:rsidRPr="00210A0A">
        <w:t>by thousands of tons per year in a cost-effective manner</w:t>
      </w:r>
      <w:r>
        <w:t xml:space="preserve"> (Table 20)</w:t>
      </w:r>
      <w:r w:rsidRPr="00210A0A">
        <w:t>.</w:t>
      </w:r>
    </w:p>
    <w:p w14:paraId="552C3D08" w14:textId="77A82648" w:rsidR="00867FDB" w:rsidRDefault="00867FDB" w:rsidP="00B1738B">
      <w:pPr>
        <w:spacing w:line="240" w:lineRule="auto"/>
        <w:contextualSpacing/>
      </w:pPr>
      <w:r>
        <w:t xml:space="preserve">The NPS recommends that MPCA require all taconite facilities originally selected for four-factor analysis to conduct four-factor analyses evaluating how an </w:t>
      </w:r>
      <w:r w:rsidRPr="00210A0A">
        <w:t xml:space="preserve">integrated approach </w:t>
      </w:r>
      <w:r>
        <w:t xml:space="preserve">to emission control improvements </w:t>
      </w:r>
      <w:r w:rsidRPr="00210A0A">
        <w:t>could reduce visibility-impairing emissions</w:t>
      </w:r>
      <w:r>
        <w:t>. Given both the scale and proximity of haze</w:t>
      </w:r>
      <w:r w:rsidR="00E916D0">
        <w:t>-</w:t>
      </w:r>
      <w:r>
        <w:t>causing emissions from taconite facilities</w:t>
      </w:r>
      <w:r w:rsidR="00511CB4">
        <w:t>,</w:t>
      </w:r>
      <w:r>
        <w:t xml:space="preserve"> this may be the single best strategy available to MPCA for r</w:t>
      </w:r>
      <w:r w:rsidRPr="00085F0B">
        <w:t>educing haze</w:t>
      </w:r>
      <w:r w:rsidR="00E916D0">
        <w:t>-</w:t>
      </w:r>
      <w:r w:rsidRPr="00085F0B">
        <w:t>causing emissions and advancing incremental improvement of visibility at Voyageurs and Isle Royale National Parks as well as other Class I areas in the region.</w:t>
      </w:r>
    </w:p>
    <w:p w14:paraId="26C31B87" w14:textId="64D2F602" w:rsidR="00867FDB" w:rsidRDefault="00867FDB" w:rsidP="00B1738B">
      <w:pPr>
        <w:pStyle w:val="Heading3"/>
        <w:spacing w:line="240" w:lineRule="auto"/>
        <w:contextualSpacing/>
      </w:pPr>
      <w:r>
        <w:t>Facility Characteristics</w:t>
      </w:r>
    </w:p>
    <w:p w14:paraId="4AF939B6" w14:textId="3038AE2D" w:rsidR="00867FDB" w:rsidRPr="00C1278E" w:rsidRDefault="00867FDB" w:rsidP="00B1738B">
      <w:pPr>
        <w:spacing w:line="240" w:lineRule="auto"/>
        <w:contextualSpacing/>
        <w:rPr>
          <w:bCs/>
        </w:rPr>
      </w:pPr>
      <w:r w:rsidRPr="00C1278E">
        <w:t xml:space="preserve">UTAC is located 108 km southwest of Voyageurs National Park. </w:t>
      </w:r>
      <w:r w:rsidRPr="00C1278E">
        <w:rPr>
          <w:bCs/>
        </w:rPr>
        <w:t xml:space="preserve">Of the six taconite facilities identified by MPCA for </w:t>
      </w:r>
      <w:r>
        <w:rPr>
          <w:bCs/>
        </w:rPr>
        <w:t>four-factor analysis</w:t>
      </w:r>
      <w:r w:rsidRPr="00C1278E">
        <w:rPr>
          <w:bCs/>
        </w:rPr>
        <w:t xml:space="preserve">, only Cleveland Cliffs submitted </w:t>
      </w:r>
      <w:r>
        <w:rPr>
          <w:bCs/>
        </w:rPr>
        <w:t>one</w:t>
      </w:r>
      <w:r w:rsidRPr="00C1278E">
        <w:rPr>
          <w:bCs/>
        </w:rPr>
        <w:t xml:space="preserve"> for its UTAC plant. In that submittal, the company included this disclaimer:</w:t>
      </w:r>
    </w:p>
    <w:p w14:paraId="5627DF25" w14:textId="3D64EE9E" w:rsidR="00867FDB" w:rsidRPr="00C1278E" w:rsidRDefault="00867FDB" w:rsidP="000D3D01">
      <w:pPr>
        <w:pStyle w:val="Quote"/>
        <w:rPr>
          <w:bCs/>
        </w:rPr>
      </w:pPr>
      <w:r w:rsidRPr="000D3D01">
        <w:rPr>
          <w:rStyle w:val="QuoteChar"/>
          <w:i/>
        </w:rPr>
        <w:t xml:space="preserve">The </w:t>
      </w:r>
      <w:r w:rsidRPr="00A9462F">
        <w:t>NO</w:t>
      </w:r>
      <w:r w:rsidRPr="000D3D01">
        <w:t>x</w:t>
      </w:r>
      <w:r w:rsidRPr="000D3D01">
        <w:rPr>
          <w:rStyle w:val="QuoteChar"/>
          <w:i/>
        </w:rPr>
        <w:t xml:space="preserve"> Four-Factor analysis evaluated Selective Catalytic Reduction (SCR) with reheating of the exhaust gases using a conventional duct burner. It is important to note that the use of SCR with reheat has not been demonstrated on taconite furnaces or similar sources. Therefore, this technology does not meet the definition of technically feasible. However, according to EPA’s 2016 Final Federal Implementation Plan (FIP),</w:t>
      </w:r>
      <w:r w:rsidRPr="000D3D01">
        <w:rPr>
          <w:rStyle w:val="QuoteChar"/>
          <w:i/>
        </w:rPr>
        <w:footnoteReference w:id="23"/>
      </w:r>
      <w:r w:rsidRPr="000D3D01">
        <w:rPr>
          <w:rStyle w:val="QuoteChar"/>
          <w:i/>
        </w:rPr>
        <w:t xml:space="preserve"> EPA expects Minnesota to reevaluate SCR with reheat as a potential option for reasonable progress in future planning periods. It is only due to this statement by EPA that the SCR with reheat control technology is included in the analysis; UTAC does not concur that SCR with reheat is considered technically feasible</w:t>
      </w:r>
      <w:r w:rsidRPr="00C1278E">
        <w:t>.</w:t>
      </w:r>
      <w:r w:rsidRPr="000D3D01">
        <w:footnoteReference w:id="24"/>
      </w:r>
    </w:p>
    <w:p w14:paraId="60275FEC" w14:textId="77777777" w:rsidR="00511CB4" w:rsidRDefault="00511CB4" w:rsidP="00B1738B">
      <w:pPr>
        <w:spacing w:line="240" w:lineRule="auto"/>
        <w:contextualSpacing/>
      </w:pPr>
    </w:p>
    <w:p w14:paraId="52A87B16" w14:textId="6197C9DB" w:rsidR="00867FDB" w:rsidRPr="00C1278E" w:rsidRDefault="00867FDB" w:rsidP="00B1738B">
      <w:pPr>
        <w:spacing w:line="240" w:lineRule="auto"/>
        <w:contextualSpacing/>
      </w:pPr>
      <w:r w:rsidRPr="00C1278E">
        <w:t>The NPS observes that</w:t>
      </w:r>
      <w:r w:rsidR="00511CB4">
        <w:t>,</w:t>
      </w:r>
      <w:r w:rsidRPr="00C1278E">
        <w:t xml:space="preserve"> for the purposes of four factor analysis, a technology need not have been demonstrated on a specific industry to be “technically feasible”—it must only be available (which SCR is) and applicable (which SCR may be).</w:t>
      </w:r>
    </w:p>
    <w:p w14:paraId="6D7DF2FC" w14:textId="77777777" w:rsidR="00511CB4" w:rsidRDefault="00511CB4" w:rsidP="00B1738B">
      <w:pPr>
        <w:spacing w:line="240" w:lineRule="auto"/>
        <w:contextualSpacing/>
        <w:rPr>
          <w:bCs/>
        </w:rPr>
      </w:pPr>
    </w:p>
    <w:p w14:paraId="2486E35F" w14:textId="1727D0B2" w:rsidR="00867FDB" w:rsidRPr="00C1278E" w:rsidRDefault="00867FDB" w:rsidP="00B1738B">
      <w:pPr>
        <w:spacing w:line="240" w:lineRule="auto"/>
        <w:contextualSpacing/>
        <w:rPr>
          <w:bCs/>
        </w:rPr>
      </w:pPr>
      <w:r w:rsidRPr="00C1278E">
        <w:rPr>
          <w:bCs/>
        </w:rPr>
        <w:t xml:space="preserve">According to MPCA, lines 1 and 2 at UTAC were BART-eligible emission units and BART emission limits on </w:t>
      </w:r>
      <w:r w:rsidRPr="00A9462F">
        <w:t>NO</w:t>
      </w:r>
      <w:r>
        <w:rPr>
          <w:vertAlign w:val="subscript"/>
        </w:rPr>
        <w:t>x</w:t>
      </w:r>
      <w:r w:rsidRPr="00C1278E">
        <w:rPr>
          <w:bCs/>
        </w:rPr>
        <w:t xml:space="preserve"> and </w:t>
      </w:r>
      <w:r w:rsidRPr="00A9462F">
        <w:t>SO</w:t>
      </w:r>
      <w:r w:rsidRPr="00A9462F">
        <w:rPr>
          <w:vertAlign w:val="subscript"/>
        </w:rPr>
        <w:t>2</w:t>
      </w:r>
      <w:r w:rsidRPr="00C1278E">
        <w:rPr>
          <w:bCs/>
        </w:rPr>
        <w:t xml:space="preserve"> were established by U.S. EPA in the Regional Haze Taconite FIP promulgated during the first Regional Haze Implementation Period. Lines 3, 4, and 5 can burn coal, petroleum coke, natural gas and distillate oil. These emission units utilize existing wet scrubbers for </w:t>
      </w:r>
      <w:r w:rsidRPr="00A9462F">
        <w:t>SO</w:t>
      </w:r>
      <w:r w:rsidRPr="00A9462F">
        <w:rPr>
          <w:vertAlign w:val="subscript"/>
        </w:rPr>
        <w:t>2</w:t>
      </w:r>
      <w:r w:rsidRPr="00C1278E">
        <w:rPr>
          <w:bCs/>
        </w:rPr>
        <w:t xml:space="preserve"> control.</w:t>
      </w:r>
    </w:p>
    <w:p w14:paraId="055064FD" w14:textId="77777777" w:rsidR="00511CB4" w:rsidRDefault="00511CB4" w:rsidP="00B1738B">
      <w:pPr>
        <w:spacing w:line="240" w:lineRule="auto"/>
        <w:contextualSpacing/>
      </w:pPr>
    </w:p>
    <w:p w14:paraId="141A27E7" w14:textId="08D19DAF" w:rsidR="00867FDB" w:rsidRPr="00C1278E" w:rsidRDefault="00867FDB" w:rsidP="00B1738B">
      <w:pPr>
        <w:spacing w:line="240" w:lineRule="auto"/>
        <w:contextualSpacing/>
      </w:pPr>
      <w:r>
        <w:t>E</w:t>
      </w:r>
      <w:r w:rsidRPr="00C1278E">
        <w:t xml:space="preserve">mission units are subject to a </w:t>
      </w:r>
      <w:r w:rsidRPr="00A9462F">
        <w:t>NO</w:t>
      </w:r>
      <w:r>
        <w:rPr>
          <w:vertAlign w:val="subscript"/>
        </w:rPr>
        <w:t>x</w:t>
      </w:r>
      <w:r w:rsidRPr="00C1278E">
        <w:t xml:space="preserve"> emissions limit (1.5-3.0 </w:t>
      </w:r>
      <w:proofErr w:type="spellStart"/>
      <w:r w:rsidRPr="00C1278E">
        <w:t>lb</w:t>
      </w:r>
      <w:proofErr w:type="spellEnd"/>
      <w:r w:rsidRPr="00C1278E">
        <w:t xml:space="preserve"> </w:t>
      </w:r>
      <w:r w:rsidRPr="00A9462F">
        <w:t>NO</w:t>
      </w:r>
      <w:r>
        <w:rPr>
          <w:vertAlign w:val="subscript"/>
        </w:rPr>
        <w:t>x</w:t>
      </w:r>
      <w:r w:rsidRPr="00C1278E">
        <w:t>/MMBtu for each line, fuel dependent, as a 30-day rolling average) established in the Taconite FIP dated April 12, 2016. These emission units required add-on controls, low</w:t>
      </w:r>
      <w:r w:rsidR="00E916D0">
        <w:t>-</w:t>
      </w:r>
      <w:r w:rsidRPr="00A9462F">
        <w:t>NO</w:t>
      </w:r>
      <w:r>
        <w:rPr>
          <w:vertAlign w:val="subscript"/>
        </w:rPr>
        <w:t>x</w:t>
      </w:r>
      <w:r w:rsidRPr="00C1278E">
        <w:t xml:space="preserve"> burners, to meet the </w:t>
      </w:r>
      <w:r w:rsidRPr="00A9462F">
        <w:t>NO</w:t>
      </w:r>
      <w:r>
        <w:rPr>
          <w:vertAlign w:val="subscript"/>
        </w:rPr>
        <w:t>x</w:t>
      </w:r>
      <w:r w:rsidRPr="00C1278E">
        <w:t xml:space="preserve"> limits. </w:t>
      </w:r>
    </w:p>
    <w:p w14:paraId="2223D01D" w14:textId="77777777" w:rsidR="00511CB4" w:rsidRDefault="00511CB4" w:rsidP="00B1738B">
      <w:pPr>
        <w:spacing w:line="240" w:lineRule="auto"/>
        <w:contextualSpacing/>
      </w:pPr>
      <w:bookmarkStart w:id="49" w:name="_Hlk106895329"/>
    </w:p>
    <w:p w14:paraId="4DC01E0C" w14:textId="783EF401" w:rsidR="00867FDB" w:rsidRPr="00C1278E" w:rsidRDefault="00867FDB" w:rsidP="00B1738B">
      <w:pPr>
        <w:spacing w:line="240" w:lineRule="auto"/>
        <w:contextualSpacing/>
      </w:pPr>
      <w:r w:rsidRPr="00C1278E">
        <w:t xml:space="preserve">Based upon data submitted by UTAC, annual average </w:t>
      </w:r>
      <w:r w:rsidRPr="00A9462F">
        <w:t>NO</w:t>
      </w:r>
      <w:r>
        <w:rPr>
          <w:vertAlign w:val="subscript"/>
        </w:rPr>
        <w:t>x</w:t>
      </w:r>
      <w:r w:rsidRPr="00C1278E">
        <w:t xml:space="preserve"> emission rates were 1,325 tons @ 1.83 </w:t>
      </w:r>
      <w:proofErr w:type="spellStart"/>
      <w:r w:rsidRPr="00C1278E">
        <w:t>lb</w:t>
      </w:r>
      <w:proofErr w:type="spellEnd"/>
      <w:r w:rsidRPr="00C1278E">
        <w:t>/</w:t>
      </w:r>
      <w:proofErr w:type="spellStart"/>
      <w:r w:rsidRPr="00C1278E">
        <w:t>mmBtu</w:t>
      </w:r>
      <w:proofErr w:type="spellEnd"/>
      <w:r w:rsidRPr="00C1278E">
        <w:t xml:space="preserve"> for Line 1 and 1,874 tons @ 1.22 </w:t>
      </w:r>
      <w:proofErr w:type="spellStart"/>
      <w:r w:rsidRPr="00C1278E">
        <w:t>lb</w:t>
      </w:r>
      <w:proofErr w:type="spellEnd"/>
      <w:r w:rsidRPr="00C1278E">
        <w:t>/</w:t>
      </w:r>
      <w:proofErr w:type="spellStart"/>
      <w:r w:rsidRPr="00C1278E">
        <w:t>mmBtu</w:t>
      </w:r>
      <w:proofErr w:type="spellEnd"/>
      <w:r w:rsidRPr="00C1278E">
        <w:t xml:space="preserve"> for Line 2</w:t>
      </w:r>
      <w:bookmarkEnd w:id="49"/>
      <w:r w:rsidRPr="00C1278E">
        <w:t xml:space="preserve">. </w:t>
      </w:r>
      <w:r>
        <w:t>Additionally, t</w:t>
      </w:r>
      <w:r w:rsidRPr="00C1278E">
        <w:t xml:space="preserve">hese emission units are subject to an </w:t>
      </w:r>
      <w:r w:rsidRPr="00A9462F">
        <w:t>SO</w:t>
      </w:r>
      <w:r w:rsidRPr="00A9462F">
        <w:rPr>
          <w:vertAlign w:val="subscript"/>
        </w:rPr>
        <w:t>2</w:t>
      </w:r>
      <w:r w:rsidRPr="00C1278E">
        <w:t xml:space="preserve"> emissions limit (529 </w:t>
      </w:r>
      <w:proofErr w:type="spellStart"/>
      <w:r w:rsidRPr="00C1278E">
        <w:t>lb</w:t>
      </w:r>
      <w:proofErr w:type="spellEnd"/>
      <w:r w:rsidRPr="00C1278E">
        <w:t xml:space="preserve"> </w:t>
      </w:r>
      <w:r w:rsidRPr="00A9462F">
        <w:t>SO</w:t>
      </w:r>
      <w:r w:rsidRPr="00A9462F">
        <w:rPr>
          <w:vertAlign w:val="subscript"/>
        </w:rPr>
        <w:t>2</w:t>
      </w:r>
      <w:r w:rsidRPr="00C1278E">
        <w:t>/</w:t>
      </w:r>
      <w:proofErr w:type="spellStart"/>
      <w:r w:rsidRPr="00C1278E">
        <w:t>hr</w:t>
      </w:r>
      <w:proofErr w:type="spellEnd"/>
      <w:r w:rsidRPr="00C1278E">
        <w:t xml:space="preserve">, averaged across both lines as a 30-day rolling average and a 1.50 percent sulfur content limit for any coal burned as a monthly block average) established in the Taconite FIP dated April 12, 2016. In the 2016 Taconite FIP, U.S. EPA determined that additional </w:t>
      </w:r>
      <w:r w:rsidRPr="00A9462F">
        <w:t>SO</w:t>
      </w:r>
      <w:r w:rsidRPr="00A9462F">
        <w:rPr>
          <w:vertAlign w:val="subscript"/>
        </w:rPr>
        <w:t>2</w:t>
      </w:r>
      <w:r w:rsidRPr="00C1278E">
        <w:t xml:space="preserve"> controls were not economically reasonable and were not necessary for BART.</w:t>
      </w:r>
    </w:p>
    <w:p w14:paraId="68082180" w14:textId="77777777" w:rsidR="00511CB4" w:rsidRDefault="00511CB4" w:rsidP="00B1738B">
      <w:pPr>
        <w:spacing w:line="240" w:lineRule="auto"/>
        <w:contextualSpacing/>
      </w:pPr>
    </w:p>
    <w:p w14:paraId="5E4D7F02" w14:textId="3C648A51" w:rsidR="00867FDB" w:rsidRPr="00C1278E" w:rsidRDefault="00867FDB" w:rsidP="00B1738B">
      <w:pPr>
        <w:spacing w:line="240" w:lineRule="auto"/>
        <w:contextualSpacing/>
      </w:pPr>
      <w:r w:rsidRPr="00C1278E">
        <w:t xml:space="preserve">UTAC </w:t>
      </w:r>
      <w:r>
        <w:t>reports</w:t>
      </w:r>
      <w:r w:rsidRPr="00C1278E">
        <w:t xml:space="preserve"> that the existing wet scrubbers are 25% effective at reducing </w:t>
      </w:r>
      <w:r w:rsidRPr="00A9462F">
        <w:t>SO</w:t>
      </w:r>
      <w:r w:rsidRPr="00A9462F">
        <w:rPr>
          <w:vertAlign w:val="subscript"/>
        </w:rPr>
        <w:t>2</w:t>
      </w:r>
      <w:r>
        <w:t xml:space="preserve">. </w:t>
      </w:r>
      <w:r w:rsidRPr="00C1278E">
        <w:t xml:space="preserve">Based upon data submitted by UTAC, annual average </w:t>
      </w:r>
      <w:r w:rsidRPr="00A9462F">
        <w:t>SO</w:t>
      </w:r>
      <w:r w:rsidRPr="00A9462F">
        <w:rPr>
          <w:vertAlign w:val="subscript"/>
        </w:rPr>
        <w:t>2</w:t>
      </w:r>
      <w:r w:rsidRPr="00C1278E">
        <w:t xml:space="preserve"> emission rates were 59.7 tons @ 0.08 </w:t>
      </w:r>
      <w:proofErr w:type="spellStart"/>
      <w:r w:rsidRPr="00C1278E">
        <w:t>lb</w:t>
      </w:r>
      <w:proofErr w:type="spellEnd"/>
      <w:r w:rsidRPr="00C1278E">
        <w:t>/</w:t>
      </w:r>
      <w:proofErr w:type="spellStart"/>
      <w:r w:rsidRPr="00C1278E">
        <w:t>mmBtu</w:t>
      </w:r>
      <w:proofErr w:type="spellEnd"/>
      <w:r w:rsidRPr="00C1278E">
        <w:t xml:space="preserve"> for Line 1 and 215.4 tons</w:t>
      </w:r>
      <w:r>
        <w:t xml:space="preserve"> at</w:t>
      </w:r>
      <w:r w:rsidRPr="00C1278E">
        <w:rPr>
          <w:vertAlign w:val="subscript"/>
        </w:rPr>
        <w:t xml:space="preserve"> </w:t>
      </w:r>
      <w:r w:rsidRPr="00C1278E">
        <w:t xml:space="preserve">0.18 </w:t>
      </w:r>
      <w:proofErr w:type="spellStart"/>
      <w:r w:rsidRPr="00C1278E">
        <w:t>lb</w:t>
      </w:r>
      <w:proofErr w:type="spellEnd"/>
      <w:r w:rsidRPr="00C1278E">
        <w:t>/</w:t>
      </w:r>
      <w:proofErr w:type="spellStart"/>
      <w:r w:rsidRPr="00C1278E">
        <w:t>mmBtu</w:t>
      </w:r>
      <w:proofErr w:type="spellEnd"/>
      <w:r w:rsidRPr="00C1278E">
        <w:t xml:space="preserve"> for Line 2. The existing wet scrubbers are also 94% effective at reducing PM. </w:t>
      </w:r>
      <w:r>
        <w:t>(These NPS calculated values are</w:t>
      </w:r>
      <w:r w:rsidRPr="00C1278E">
        <w:t xml:space="preserve"> based upon Appendix B of UTAC’s </w:t>
      </w:r>
      <w:r>
        <w:t>four</w:t>
      </w:r>
      <w:r w:rsidR="00511CB4">
        <w:t>-</w:t>
      </w:r>
      <w:r>
        <w:t>factor</w:t>
      </w:r>
      <w:r w:rsidRPr="00C1278E">
        <w:t xml:space="preserve"> estimate that </w:t>
      </w:r>
      <w:bookmarkStart w:id="50" w:name="_Hlk106895854"/>
      <w:r w:rsidRPr="00C1278E">
        <w:t xml:space="preserve">Line 1 PM emissions are almost 1,500 </w:t>
      </w:r>
      <w:r>
        <w:t>tons/year</w:t>
      </w:r>
      <w:r w:rsidRPr="00C1278E">
        <w:t xml:space="preserve"> and Line 2 PM emissions exceed 3,400 </w:t>
      </w:r>
      <w:bookmarkEnd w:id="50"/>
      <w:r>
        <w:t>tons/year</w:t>
      </w:r>
      <w:r w:rsidRPr="00C1278E">
        <w:t xml:space="preserve">. MPCA </w:t>
      </w:r>
      <w:r>
        <w:t>reports</w:t>
      </w:r>
      <w:r w:rsidRPr="00C1278E">
        <w:t xml:space="preserve"> that Line 2 emitted 94 tons of PM</w:t>
      </w:r>
      <w:r w:rsidRPr="00C1278E">
        <w:rPr>
          <w:vertAlign w:val="subscript"/>
        </w:rPr>
        <w:t xml:space="preserve">2.5 </w:t>
      </w:r>
      <w:r w:rsidRPr="00C1278E">
        <w:t>in 2017.)</w:t>
      </w:r>
    </w:p>
    <w:p w14:paraId="69DD7B28" w14:textId="61378B9B" w:rsidR="00867FDB" w:rsidRDefault="00867FDB" w:rsidP="00B1738B">
      <w:pPr>
        <w:spacing w:line="240" w:lineRule="auto"/>
        <w:contextualSpacing/>
      </w:pPr>
      <w:r w:rsidRPr="00C1278E">
        <w:t xml:space="preserve">Considering that modern particulate controls can remove 99.9% of emissions and modern </w:t>
      </w:r>
      <w:r w:rsidRPr="00A9462F">
        <w:t>SO</w:t>
      </w:r>
      <w:r w:rsidRPr="00A9462F">
        <w:rPr>
          <w:vertAlign w:val="subscript"/>
        </w:rPr>
        <w:t>2</w:t>
      </w:r>
      <w:r w:rsidRPr="00C1278E">
        <w:t xml:space="preserve"> scrubbers can achieve up to 99% control, it is </w:t>
      </w:r>
      <w:r>
        <w:t>reasonable to conclude</w:t>
      </w:r>
      <w:r w:rsidRPr="00C1278E">
        <w:t xml:space="preserve"> that more-effective controls for these pollutants </w:t>
      </w:r>
      <w:r>
        <w:t>may be</w:t>
      </w:r>
      <w:r w:rsidRPr="00C1278E">
        <w:t xml:space="preserve"> feasible.</w:t>
      </w:r>
    </w:p>
    <w:p w14:paraId="79780E31" w14:textId="1F159F8D" w:rsidR="00867FDB" w:rsidRDefault="00867FDB" w:rsidP="00B1738B">
      <w:pPr>
        <w:pStyle w:val="Heading3"/>
        <w:spacing w:line="240" w:lineRule="auto"/>
        <w:contextualSpacing/>
      </w:pPr>
      <w:r w:rsidRPr="00A9462F">
        <w:t>NO</w:t>
      </w:r>
      <w:r>
        <w:rPr>
          <w:vertAlign w:val="subscript"/>
        </w:rPr>
        <w:t>x</w:t>
      </w:r>
      <w:r>
        <w:t xml:space="preserve"> Four-factor Analysis</w:t>
      </w:r>
    </w:p>
    <w:p w14:paraId="0DC5646A" w14:textId="77777777" w:rsidR="00867FDB" w:rsidRDefault="00867FDB" w:rsidP="00B1738B">
      <w:pPr>
        <w:pStyle w:val="Heading4"/>
        <w:spacing w:line="240" w:lineRule="auto"/>
        <w:contextualSpacing/>
      </w:pPr>
      <w:r w:rsidRPr="00B30A3A">
        <w:t>SCR – Post-Scrubber with Conventional Duct Burner Reheat</w:t>
      </w:r>
    </w:p>
    <w:p w14:paraId="68A9FEA9" w14:textId="77777777" w:rsidR="00867FDB" w:rsidRPr="00751AEE" w:rsidRDefault="00867FDB" w:rsidP="00B1738B">
      <w:pPr>
        <w:spacing w:line="240" w:lineRule="auto"/>
        <w:contextualSpacing/>
      </w:pPr>
      <w:r>
        <w:t xml:space="preserve">UTAC states that: </w:t>
      </w:r>
      <w:r w:rsidRPr="00751AEE">
        <w:t>According to EPA’s 2016 Final FIP, a taconite facility in Sweden, LKAB, has implemented and operated an SCR with reheat through a conventional duct burner on a taconite indurating furnace. However, EPA has stated the following:</w:t>
      </w:r>
    </w:p>
    <w:p w14:paraId="5C9B9686" w14:textId="7CAAEFA9" w:rsidR="00867FDB" w:rsidRPr="00751AEE" w:rsidRDefault="00867FDB" w:rsidP="00B1738B">
      <w:pPr>
        <w:pStyle w:val="Quote"/>
        <w:spacing w:line="240" w:lineRule="auto"/>
        <w:contextualSpacing/>
      </w:pPr>
      <w:r w:rsidRPr="00751AEE">
        <w:t xml:space="preserve">Alstom, the SCR vendor for LKAB, declined twice to bid on an SCR with reheat at </w:t>
      </w:r>
      <w:proofErr w:type="spellStart"/>
      <w:r w:rsidRPr="00751AEE">
        <w:t>Minntac</w:t>
      </w:r>
      <w:proofErr w:type="spellEnd"/>
      <w:r w:rsidRPr="00751AEE">
        <w:t xml:space="preserve">, citing technical difficulties with the SCR with reheat at LKAB. These difficulties included operating within the narrow temperature range required by SCR with reheat. Further, LKAB is looking into process optimization and better burners to reduce </w:t>
      </w:r>
      <w:r w:rsidRPr="00A9462F">
        <w:t>NO</w:t>
      </w:r>
      <w:r>
        <w:rPr>
          <w:vertAlign w:val="subscript"/>
        </w:rPr>
        <w:t>x</w:t>
      </w:r>
      <w:r w:rsidRPr="00751AEE">
        <w:t xml:space="preserve"> as opposed to installing another SCR with reheat in the future.</w:t>
      </w:r>
    </w:p>
    <w:p w14:paraId="57EA798E" w14:textId="61450759" w:rsidR="00867FDB" w:rsidRDefault="00867FDB" w:rsidP="00B1738B">
      <w:pPr>
        <w:tabs>
          <w:tab w:val="left" w:pos="7580"/>
        </w:tabs>
        <w:spacing w:line="240" w:lineRule="auto"/>
        <w:contextualSpacing/>
      </w:pPr>
      <w:r>
        <w:t>Th</w:t>
      </w:r>
      <w:r w:rsidR="00511CB4">
        <w:t>at</w:t>
      </w:r>
      <w:r>
        <w:t xml:space="preserve"> information was specific to a different facility that burned different fuels over nine years ago and may very well be outdated or inapplicable. The NPS recommends contacting a SCR vendor regarding application to current UTAC operations. </w:t>
      </w:r>
    </w:p>
    <w:p w14:paraId="3037C656" w14:textId="77777777" w:rsidR="00511CB4" w:rsidRDefault="00511CB4" w:rsidP="00B1738B">
      <w:pPr>
        <w:tabs>
          <w:tab w:val="left" w:pos="7580"/>
        </w:tabs>
        <w:spacing w:line="240" w:lineRule="auto"/>
        <w:contextualSpacing/>
      </w:pPr>
    </w:p>
    <w:p w14:paraId="5946257C" w14:textId="37EB806A" w:rsidR="00867FDB" w:rsidRDefault="00867FDB" w:rsidP="00B1738B">
      <w:pPr>
        <w:spacing w:line="240" w:lineRule="auto"/>
        <w:contextualSpacing/>
      </w:pPr>
      <w:r>
        <w:t>UTAC also raises concerns regarding the application of SCR on taconite furnaces due to the differences from utility boilers with respect to gas composition, dust loading, and chemistry. Specifically, UTAC states that:</w:t>
      </w:r>
    </w:p>
    <w:p w14:paraId="7318EB46" w14:textId="77777777" w:rsidR="00867FDB" w:rsidRPr="009B2A6B" w:rsidRDefault="00867FDB" w:rsidP="00B1738B">
      <w:pPr>
        <w:pStyle w:val="Quote"/>
        <w:spacing w:line="240" w:lineRule="auto"/>
        <w:contextualSpacing/>
      </w:pPr>
      <w:r w:rsidRPr="009B2A6B">
        <w:t xml:space="preserve">The most serious issues yet to be </w:t>
      </w:r>
      <w:r w:rsidRPr="009B2A6B">
        <w:rPr>
          <w:position w:val="2"/>
        </w:rPr>
        <w:t>resolved</w:t>
      </w:r>
      <w:r w:rsidRPr="009B2A6B">
        <w:rPr>
          <w:spacing w:val="-3"/>
          <w:position w:val="2"/>
        </w:rPr>
        <w:t xml:space="preserve"> </w:t>
      </w:r>
      <w:r w:rsidRPr="009B2A6B">
        <w:rPr>
          <w:position w:val="2"/>
        </w:rPr>
        <w:t>with</w:t>
      </w:r>
      <w:r w:rsidRPr="009B2A6B">
        <w:rPr>
          <w:spacing w:val="-3"/>
          <w:position w:val="2"/>
        </w:rPr>
        <w:t xml:space="preserve"> </w:t>
      </w:r>
      <w:r w:rsidRPr="009B2A6B">
        <w:rPr>
          <w:position w:val="2"/>
        </w:rPr>
        <w:t>SCR</w:t>
      </w:r>
      <w:r w:rsidRPr="009B2A6B">
        <w:rPr>
          <w:spacing w:val="-2"/>
          <w:position w:val="2"/>
        </w:rPr>
        <w:t xml:space="preserve"> </w:t>
      </w:r>
      <w:r w:rsidRPr="009B2A6B">
        <w:rPr>
          <w:position w:val="2"/>
        </w:rPr>
        <w:t>on</w:t>
      </w:r>
      <w:r w:rsidRPr="009B2A6B">
        <w:rPr>
          <w:spacing w:val="-3"/>
          <w:position w:val="2"/>
        </w:rPr>
        <w:t xml:space="preserve"> </w:t>
      </w:r>
      <w:r w:rsidRPr="009B2A6B">
        <w:rPr>
          <w:position w:val="2"/>
        </w:rPr>
        <w:t>furnaces</w:t>
      </w:r>
      <w:r w:rsidRPr="009B2A6B">
        <w:rPr>
          <w:spacing w:val="-3"/>
          <w:position w:val="2"/>
        </w:rPr>
        <w:t xml:space="preserve"> </w:t>
      </w:r>
      <w:r w:rsidRPr="009B2A6B">
        <w:rPr>
          <w:position w:val="2"/>
        </w:rPr>
        <w:t>include</w:t>
      </w:r>
      <w:r w:rsidRPr="009B2A6B">
        <w:rPr>
          <w:spacing w:val="-4"/>
          <w:position w:val="2"/>
        </w:rPr>
        <w:t xml:space="preserve"> </w:t>
      </w:r>
      <w:r w:rsidRPr="009B2A6B">
        <w:rPr>
          <w:position w:val="2"/>
        </w:rPr>
        <w:t>the</w:t>
      </w:r>
      <w:r w:rsidRPr="009B2A6B">
        <w:rPr>
          <w:spacing w:val="-4"/>
          <w:position w:val="2"/>
        </w:rPr>
        <w:t xml:space="preserve"> </w:t>
      </w:r>
      <w:r w:rsidRPr="009B2A6B">
        <w:rPr>
          <w:position w:val="2"/>
        </w:rPr>
        <w:t>formation</w:t>
      </w:r>
      <w:r w:rsidRPr="009B2A6B">
        <w:rPr>
          <w:spacing w:val="-3"/>
          <w:position w:val="2"/>
        </w:rPr>
        <w:t xml:space="preserve"> </w:t>
      </w:r>
      <w:r w:rsidRPr="009B2A6B">
        <w:rPr>
          <w:position w:val="2"/>
        </w:rPr>
        <w:t>of</w:t>
      </w:r>
      <w:r w:rsidRPr="009B2A6B">
        <w:rPr>
          <w:spacing w:val="-3"/>
          <w:position w:val="2"/>
        </w:rPr>
        <w:t xml:space="preserve"> </w:t>
      </w:r>
      <w:r w:rsidRPr="009B2A6B">
        <w:rPr>
          <w:position w:val="2"/>
        </w:rPr>
        <w:t>SO</w:t>
      </w:r>
      <w:r w:rsidRPr="009B2A6B">
        <w:t>3</w:t>
      </w:r>
      <w:r w:rsidRPr="009B2A6B">
        <w:rPr>
          <w:spacing w:val="15"/>
        </w:rPr>
        <w:t xml:space="preserve"> </w:t>
      </w:r>
      <w:r w:rsidRPr="009B2A6B">
        <w:rPr>
          <w:position w:val="2"/>
        </w:rPr>
        <w:t>in</w:t>
      </w:r>
      <w:r w:rsidRPr="009B2A6B">
        <w:rPr>
          <w:spacing w:val="-3"/>
          <w:position w:val="2"/>
        </w:rPr>
        <w:t xml:space="preserve"> </w:t>
      </w:r>
      <w:r w:rsidRPr="009B2A6B">
        <w:rPr>
          <w:position w:val="2"/>
        </w:rPr>
        <w:t>the</w:t>
      </w:r>
      <w:r w:rsidRPr="009B2A6B">
        <w:rPr>
          <w:spacing w:val="-4"/>
          <w:position w:val="2"/>
        </w:rPr>
        <w:t xml:space="preserve"> </w:t>
      </w:r>
      <w:r w:rsidRPr="009B2A6B">
        <w:rPr>
          <w:position w:val="2"/>
        </w:rPr>
        <w:t>reactor,</w:t>
      </w:r>
      <w:r w:rsidRPr="009B2A6B">
        <w:rPr>
          <w:spacing w:val="-3"/>
          <w:position w:val="2"/>
        </w:rPr>
        <w:t xml:space="preserve"> </w:t>
      </w:r>
      <w:r w:rsidRPr="009B2A6B">
        <w:rPr>
          <w:position w:val="2"/>
        </w:rPr>
        <w:t>the</w:t>
      </w:r>
      <w:r w:rsidRPr="009B2A6B">
        <w:rPr>
          <w:spacing w:val="-2"/>
          <w:position w:val="2"/>
        </w:rPr>
        <w:t xml:space="preserve"> </w:t>
      </w:r>
      <w:r w:rsidRPr="009B2A6B">
        <w:rPr>
          <w:position w:val="2"/>
        </w:rPr>
        <w:t>ability</w:t>
      </w:r>
      <w:r w:rsidRPr="009B2A6B">
        <w:rPr>
          <w:spacing w:val="-3"/>
          <w:position w:val="2"/>
        </w:rPr>
        <w:t xml:space="preserve"> </w:t>
      </w:r>
      <w:r w:rsidRPr="009B2A6B">
        <w:rPr>
          <w:position w:val="2"/>
        </w:rPr>
        <w:t>to</w:t>
      </w:r>
      <w:r w:rsidRPr="009B2A6B">
        <w:rPr>
          <w:spacing w:val="-2"/>
          <w:position w:val="2"/>
        </w:rPr>
        <w:t xml:space="preserve"> </w:t>
      </w:r>
      <w:r w:rsidRPr="009B2A6B">
        <w:rPr>
          <w:position w:val="2"/>
        </w:rPr>
        <w:t>inject</w:t>
      </w:r>
      <w:r w:rsidRPr="009B2A6B">
        <w:rPr>
          <w:spacing w:val="-1"/>
          <w:position w:val="2"/>
        </w:rPr>
        <w:t xml:space="preserve"> </w:t>
      </w:r>
      <w:r w:rsidRPr="009B2A6B">
        <w:rPr>
          <w:position w:val="2"/>
        </w:rPr>
        <w:t>ammonia</w:t>
      </w:r>
      <w:r w:rsidRPr="009B2A6B">
        <w:rPr>
          <w:spacing w:val="-4"/>
          <w:position w:val="2"/>
        </w:rPr>
        <w:t xml:space="preserve"> </w:t>
      </w:r>
      <w:r w:rsidRPr="009B2A6B">
        <w:rPr>
          <w:position w:val="2"/>
        </w:rPr>
        <w:t xml:space="preserve">at </w:t>
      </w:r>
      <w:r w:rsidRPr="009B2A6B">
        <w:t>proper molar ratio under non-steady state conditions, the creation of visibility impairing pollutants, the increased</w:t>
      </w:r>
      <w:r w:rsidRPr="009B2A6B">
        <w:rPr>
          <w:spacing w:val="-3"/>
        </w:rPr>
        <w:t xml:space="preserve"> </w:t>
      </w:r>
      <w:r w:rsidRPr="009B2A6B">
        <w:t>oxidation</w:t>
      </w:r>
      <w:r w:rsidRPr="009B2A6B">
        <w:rPr>
          <w:spacing w:val="-3"/>
        </w:rPr>
        <w:t xml:space="preserve"> </w:t>
      </w:r>
      <w:r w:rsidRPr="009B2A6B">
        <w:t>of</w:t>
      </w:r>
      <w:r w:rsidRPr="009B2A6B">
        <w:rPr>
          <w:spacing w:val="-3"/>
        </w:rPr>
        <w:t xml:space="preserve"> </w:t>
      </w:r>
      <w:r w:rsidRPr="009B2A6B">
        <w:t>mercury,</w:t>
      </w:r>
      <w:r w:rsidRPr="009B2A6B">
        <w:rPr>
          <w:spacing w:val="-3"/>
        </w:rPr>
        <w:t xml:space="preserve"> </w:t>
      </w:r>
      <w:r w:rsidRPr="009B2A6B">
        <w:t>the</w:t>
      </w:r>
      <w:r w:rsidRPr="009B2A6B">
        <w:rPr>
          <w:spacing w:val="-2"/>
        </w:rPr>
        <w:t xml:space="preserve"> </w:t>
      </w:r>
      <w:r w:rsidRPr="009B2A6B">
        <w:t>creation</w:t>
      </w:r>
      <w:r w:rsidRPr="009B2A6B">
        <w:rPr>
          <w:spacing w:val="-3"/>
        </w:rPr>
        <w:t xml:space="preserve"> </w:t>
      </w:r>
      <w:r w:rsidRPr="009B2A6B">
        <w:t>of</w:t>
      </w:r>
      <w:r w:rsidRPr="009B2A6B">
        <w:rPr>
          <w:spacing w:val="-3"/>
        </w:rPr>
        <w:t xml:space="preserve"> </w:t>
      </w:r>
      <w:r w:rsidRPr="009B2A6B">
        <w:t>a</w:t>
      </w:r>
      <w:r w:rsidRPr="009B2A6B">
        <w:rPr>
          <w:spacing w:val="-4"/>
        </w:rPr>
        <w:t xml:space="preserve"> </w:t>
      </w:r>
      <w:r w:rsidRPr="009B2A6B">
        <w:t>detached</w:t>
      </w:r>
      <w:r w:rsidRPr="009B2A6B">
        <w:rPr>
          <w:spacing w:val="-3"/>
        </w:rPr>
        <w:t xml:space="preserve"> </w:t>
      </w:r>
      <w:r w:rsidRPr="009B2A6B">
        <w:t>plume,</w:t>
      </w:r>
      <w:r w:rsidRPr="009B2A6B">
        <w:rPr>
          <w:spacing w:val="-1"/>
        </w:rPr>
        <w:t xml:space="preserve"> </w:t>
      </w:r>
      <w:r w:rsidRPr="009B2A6B">
        <w:t>catalyst</w:t>
      </w:r>
      <w:r w:rsidRPr="009B2A6B">
        <w:rPr>
          <w:spacing w:val="-3"/>
        </w:rPr>
        <w:t xml:space="preserve"> </w:t>
      </w:r>
      <w:r w:rsidRPr="009B2A6B">
        <w:t>life,</w:t>
      </w:r>
      <w:r w:rsidRPr="009B2A6B">
        <w:rPr>
          <w:spacing w:val="-3"/>
        </w:rPr>
        <w:t xml:space="preserve"> </w:t>
      </w:r>
      <w:r w:rsidRPr="009B2A6B">
        <w:t>catalyst</w:t>
      </w:r>
      <w:r w:rsidRPr="009B2A6B">
        <w:rPr>
          <w:spacing w:val="-3"/>
        </w:rPr>
        <w:t xml:space="preserve"> </w:t>
      </w:r>
      <w:r w:rsidRPr="009B2A6B">
        <w:t>poisoning,</w:t>
      </w:r>
      <w:r w:rsidRPr="009B2A6B">
        <w:rPr>
          <w:spacing w:val="-3"/>
        </w:rPr>
        <w:t xml:space="preserve"> </w:t>
      </w:r>
      <w:r w:rsidRPr="009B2A6B">
        <w:t>fouling of the bed, and system resistance. Some of these issues, discussed in more detail below, could affect the validity of SCR with reheat control technology and would require extensive testing prior to installation and operation on an existing indurating furnace.</w:t>
      </w:r>
    </w:p>
    <w:p w14:paraId="1E06C57B" w14:textId="77777777" w:rsidR="00867FDB" w:rsidRDefault="00867FDB" w:rsidP="00B1738B">
      <w:pPr>
        <w:pStyle w:val="Heading5"/>
        <w:spacing w:line="240" w:lineRule="auto"/>
        <w:contextualSpacing/>
      </w:pPr>
      <w:r w:rsidRPr="0080324E">
        <w:t>Sulfur Dioxide and Sulfuric Acid</w:t>
      </w:r>
    </w:p>
    <w:p w14:paraId="04D2CCA4" w14:textId="72EF0216" w:rsidR="00867FDB" w:rsidRDefault="647749C5" w:rsidP="00B1738B">
      <w:pPr>
        <w:spacing w:line="240" w:lineRule="auto"/>
        <w:contextualSpacing/>
      </w:pPr>
      <w:r>
        <w:t>NPS review finds that the SO</w:t>
      </w:r>
      <w:r w:rsidRPr="3328C818">
        <w:rPr>
          <w:vertAlign w:val="subscript"/>
        </w:rPr>
        <w:t>2</w:t>
      </w:r>
      <w:r>
        <w:t xml:space="preserve"> concentrations in the gas stream exiting the existing 25%-efficient wet scrubbers is an order of magnitude lower than encountered by SCR on a typical coal-fired boiler. SCR in a tail-end configuration would also be exposed to much lower concentration of particulate and the reheated gas stream exiting the SCR would be well above the acid </w:t>
      </w:r>
      <w:r w:rsidR="044B2207">
        <w:t>dewpoint</w:t>
      </w:r>
      <w:r>
        <w:t>.</w:t>
      </w:r>
    </w:p>
    <w:p w14:paraId="26015199" w14:textId="0C21E351" w:rsidR="00867FDB" w:rsidRDefault="00867FDB" w:rsidP="00B1738B">
      <w:pPr>
        <w:pStyle w:val="Heading5"/>
        <w:spacing w:line="240" w:lineRule="auto"/>
        <w:contextualSpacing/>
      </w:pPr>
      <w:r w:rsidRPr="00A9462F">
        <w:t>NO</w:t>
      </w:r>
      <w:r>
        <w:rPr>
          <w:vertAlign w:val="subscript"/>
        </w:rPr>
        <w:t>x</w:t>
      </w:r>
      <w:r w:rsidRPr="006B24AF">
        <w:t xml:space="preserve"> Variability and Ammonia Slip</w:t>
      </w:r>
    </w:p>
    <w:p w14:paraId="1BA41FE5" w14:textId="48485204" w:rsidR="00867FDB" w:rsidRPr="005A5436" w:rsidRDefault="00867FDB" w:rsidP="00B1738B">
      <w:pPr>
        <w:spacing w:line="240" w:lineRule="auto"/>
        <w:contextualSpacing/>
      </w:pPr>
      <w:r>
        <w:t>With respect to concerns raised by UT</w:t>
      </w:r>
      <w:r w:rsidR="0008620D">
        <w:t>A</w:t>
      </w:r>
      <w:r>
        <w:t xml:space="preserve">C regarding </w:t>
      </w:r>
      <w:r w:rsidRPr="00A9462F">
        <w:t>NO</w:t>
      </w:r>
      <w:r>
        <w:rPr>
          <w:vertAlign w:val="subscript"/>
        </w:rPr>
        <w:t>x</w:t>
      </w:r>
      <w:r>
        <w:t xml:space="preserve"> variability and ammonia slip, the NPS notes that the reference cited is from 2006 and </w:t>
      </w:r>
      <w:r w:rsidR="008E5161">
        <w:t>is based upon</w:t>
      </w:r>
      <w:r>
        <w:t xml:space="preserve"> a high dust configuration SCR</w:t>
      </w:r>
      <w:r w:rsidR="008E5161">
        <w:t xml:space="preserve"> at a cement plant</w:t>
      </w:r>
      <w:r>
        <w:t xml:space="preserve">. As such it may not be relevant. </w:t>
      </w:r>
      <w:r w:rsidRPr="005A5436">
        <w:t>Modern process controls and a much cleaner tail-end SCR location should be capable of better performance. The EPA Control Cost Manual (CCM) provides this more up-to-date information:</w:t>
      </w:r>
    </w:p>
    <w:p w14:paraId="02684858" w14:textId="7E1D4C70" w:rsidR="00867FDB" w:rsidRPr="005A5436" w:rsidRDefault="00867FDB" w:rsidP="00B1738B">
      <w:pPr>
        <w:pStyle w:val="Quote"/>
        <w:spacing w:line="240" w:lineRule="auto"/>
        <w:contextualSpacing/>
      </w:pPr>
      <w:r w:rsidRPr="005A5436">
        <w:t xml:space="preserve">In the cement industry, pilot tests in the 1970s and 1990s showed that SCR could be a feasible control technology for cement kilns. Building on that experience, SCRs were first installed in Europe in 2001. Today, SCR has been successfully implemented at seven European cement plants in </w:t>
      </w:r>
      <w:proofErr w:type="spellStart"/>
      <w:r w:rsidRPr="005A5436">
        <w:t>Solnhofer</w:t>
      </w:r>
      <w:proofErr w:type="spellEnd"/>
      <w:r w:rsidRPr="005A5436">
        <w:t xml:space="preserve">, Germany (operated from 2001 until 2006), Bergamo, Italy (2006), </w:t>
      </w:r>
      <w:proofErr w:type="spellStart"/>
      <w:r w:rsidRPr="005A5436">
        <w:t>Sarchi</w:t>
      </w:r>
      <w:proofErr w:type="spellEnd"/>
      <w:r w:rsidRPr="005A5436">
        <w:t xml:space="preserve">, Italy (2007), </w:t>
      </w:r>
      <w:proofErr w:type="spellStart"/>
      <w:r w:rsidRPr="005A5436">
        <w:t>Mergelstetten</w:t>
      </w:r>
      <w:proofErr w:type="spellEnd"/>
      <w:r w:rsidRPr="005A5436">
        <w:t xml:space="preserve">, Germany (2010), </w:t>
      </w:r>
      <w:proofErr w:type="spellStart"/>
      <w:r w:rsidRPr="005A5436">
        <w:t>Rohrdorf</w:t>
      </w:r>
      <w:proofErr w:type="spellEnd"/>
      <w:r w:rsidRPr="005A5436">
        <w:t xml:space="preserve">, Germany (2011), </w:t>
      </w:r>
      <w:proofErr w:type="spellStart"/>
      <w:r w:rsidRPr="005A5436">
        <w:t>Mannersdorf</w:t>
      </w:r>
      <w:proofErr w:type="spellEnd"/>
      <w:r w:rsidRPr="005A5436">
        <w:t xml:space="preserve">, Austria (2012), and </w:t>
      </w:r>
      <w:proofErr w:type="spellStart"/>
      <w:r w:rsidRPr="005A5436">
        <w:t>Rezatto</w:t>
      </w:r>
      <w:proofErr w:type="spellEnd"/>
      <w:r w:rsidRPr="005A5436">
        <w:t xml:space="preserve">, Italy (2015). As of 2015, there is only one cement plant in the U.S. that has installed an SCR. This SCR began operation in 2013 and is installed after an electrostatic precipitator. The control efficiency for the system is reported to be about 80 percent, which is consistent with SCR applications on European kilns. SCRs have not seen widespread use in the U.S. cement industry mainly due to industry concerns regarding potential problems caused by high-dust levels and catalyst deactivation by high sulfur trioxide (SO3) concentrations from pyritic sulfur found in the raw materials used by U.S. cement plants. The SO3 could react with calcium oxide in the flue gas to form calcium sulfate and with ammonia to form ammonium bisulfate. The calcium sulfate could deactivate the catalyst, while the ammonium bisulfate could cause catalyst plugging. There have been concerns expressed about the potential for catalyst poisoning by sodium, potassium, and arsenic trioxide. Finally, other concerns expressed are that dioxins and furans may form in the SCR due to combustion gases remaining at temperatures between 450 degrees Fahrenheit (°F) and 750°F. These and other concerns regarding the implementation of SCR to the cement industry are discussed in detail in “Alternative Control Techniques Document Update – </w:t>
      </w:r>
      <w:r w:rsidRPr="00A9462F">
        <w:t>NO</w:t>
      </w:r>
      <w:r>
        <w:rPr>
          <w:vertAlign w:val="subscript"/>
        </w:rPr>
        <w:t>x</w:t>
      </w:r>
      <w:r w:rsidRPr="005A5436">
        <w:t xml:space="preserve"> Emissions from New Cement Kilns”. Due to the small number of SCRs installed at cement plants, information on capital and operating costs for SCRs at cement plants is limited. The installation and operating costs for the SCR installed at the U.S. plant in 2013 are not publicly available at this time. In general, </w:t>
      </w:r>
      <w:r w:rsidR="005202A6">
        <w:t>we</w:t>
      </w:r>
      <w:r w:rsidRPr="005A5436">
        <w:t xml:space="preserve"> expect the capital and operating costs would be higher than for low-dust applications due to the need to install catalyst cleaning equipment for SCR systems installed in high-dust configurations and for heating the flue gas in low-dust, tail-end configurations.</w:t>
      </w:r>
    </w:p>
    <w:p w14:paraId="75AC1BA0" w14:textId="77777777" w:rsidR="00867FDB" w:rsidRDefault="00867FDB" w:rsidP="00B1738B">
      <w:pPr>
        <w:pStyle w:val="Heading5"/>
        <w:spacing w:line="240" w:lineRule="auto"/>
        <w:contextualSpacing/>
      </w:pPr>
      <w:r>
        <w:t>Mercury Oxidation</w:t>
      </w:r>
    </w:p>
    <w:p w14:paraId="66ACCA27" w14:textId="77777777" w:rsidR="00867FDB" w:rsidRDefault="00867FDB" w:rsidP="00B1738B">
      <w:pPr>
        <w:spacing w:line="240" w:lineRule="auto"/>
        <w:contextualSpacing/>
      </w:pPr>
      <w:r>
        <w:t>UTAC raises mercury oxidation as a potential concern saying:</w:t>
      </w:r>
    </w:p>
    <w:p w14:paraId="0DD422D9" w14:textId="77777777" w:rsidR="00867FDB" w:rsidRPr="00512C8C" w:rsidRDefault="00867FDB" w:rsidP="00B1738B">
      <w:pPr>
        <w:pStyle w:val="Quote"/>
        <w:spacing w:line="240" w:lineRule="auto"/>
        <w:contextualSpacing/>
      </w:pPr>
      <w:r w:rsidRPr="00512C8C">
        <w:t>In the case of mercury, the SCR oxidizes mercury from its elemental form. Given the propensity for oxidized mercury to deposit near its emission point, the increase in mass of oxidized mercury emissions is expected to result in more local deposition (i.e., increased loading of mercury) and most certainly within northeast Minnesota. An increase in mercury loading to northeast Minnesota is inconsistent with the Statewide Mercury Total Maximum Daily Load (TMDL) study that requires a reduction in loading in order to reduce fish tissue mercury concentrations in the area. In addition, a wet scrubber would be required to control the oxidized mercury formed in the SCR.</w:t>
      </w:r>
    </w:p>
    <w:p w14:paraId="1E4988CB" w14:textId="4684F6A9" w:rsidR="00867FDB" w:rsidRDefault="00867FDB" w:rsidP="00B1738B">
      <w:pPr>
        <w:tabs>
          <w:tab w:val="left" w:pos="1580"/>
        </w:tabs>
        <w:spacing w:line="240" w:lineRule="auto"/>
        <w:contextualSpacing/>
      </w:pPr>
      <w:r>
        <w:t xml:space="preserve">NPS review finds that </w:t>
      </w:r>
      <w:r w:rsidRPr="00B44B4D">
        <w:t>UTAC emitted 190 pounds of mercury</w:t>
      </w:r>
      <w:r>
        <w:t xml:space="preserve"> in 2017</w:t>
      </w:r>
      <w:r w:rsidRPr="00B44B4D">
        <w:t>, which ranked</w:t>
      </w:r>
      <w:r>
        <w:t xml:space="preserve"> </w:t>
      </w:r>
      <w:r w:rsidRPr="00B44B4D">
        <w:t>49</w:t>
      </w:r>
      <w:r w:rsidRPr="003B0F51">
        <w:rPr>
          <w:vertAlign w:val="superscript"/>
        </w:rPr>
        <w:t>th</w:t>
      </w:r>
      <w:r>
        <w:t xml:space="preserve"> highest</w:t>
      </w:r>
      <w:r w:rsidRPr="00B44B4D">
        <w:t xml:space="preserve"> in the US</w:t>
      </w:r>
      <w:r>
        <w:t xml:space="preserve"> (2017 NEI)</w:t>
      </w:r>
      <w:r w:rsidRPr="00B44B4D">
        <w:t xml:space="preserve">. </w:t>
      </w:r>
      <w:r>
        <w:t>A</w:t>
      </w:r>
      <w:r w:rsidRPr="00B44B4D">
        <w:t xml:space="preserve"> co-benefit of SCR is its ability to oxidize elemental mercury to a form that is more-easily captured in follow-on controls. </w:t>
      </w:r>
      <w:r>
        <w:t xml:space="preserve">The NPS recommends that </w:t>
      </w:r>
      <w:r w:rsidRPr="00B44B4D">
        <w:t xml:space="preserve">UTAC focus on </w:t>
      </w:r>
      <w:r>
        <w:t xml:space="preserve">the potential opportunity to </w:t>
      </w:r>
      <w:r w:rsidRPr="00B44B4D">
        <w:t>reduc</w:t>
      </w:r>
      <w:r>
        <w:t>e</w:t>
      </w:r>
      <w:r w:rsidRPr="00B44B4D">
        <w:t xml:space="preserve"> all forms of mercury emissions.</w:t>
      </w:r>
      <w:r>
        <w:t xml:space="preserve"> Continued dispersion of </w:t>
      </w:r>
      <w:r w:rsidRPr="00B44B4D">
        <w:t>mercury emissions over a wide area</w:t>
      </w:r>
      <w:r>
        <w:t xml:space="preserve"> is a significant and ongoing concern for current controls.</w:t>
      </w:r>
    </w:p>
    <w:p w14:paraId="0611A2CD" w14:textId="77777777" w:rsidR="00867FDB" w:rsidRPr="00B30A3A" w:rsidRDefault="00867FDB" w:rsidP="00B1738B">
      <w:pPr>
        <w:pStyle w:val="Heading5"/>
        <w:spacing w:line="240" w:lineRule="auto"/>
        <w:contextualSpacing/>
      </w:pPr>
      <w:r w:rsidRPr="00084CEE">
        <w:t>Indurating Furnace Exhaust Dust</w:t>
      </w:r>
    </w:p>
    <w:p w14:paraId="6D9F37C9" w14:textId="6BD827B9" w:rsidR="00867FDB" w:rsidRDefault="647749C5" w:rsidP="00B1738B">
      <w:pPr>
        <w:spacing w:line="240" w:lineRule="auto"/>
        <w:contextualSpacing/>
        <w:rPr>
          <w:rFonts w:cs="Times New Roman"/>
          <w:spacing w:val="-2"/>
          <w:szCs w:val="24"/>
        </w:rPr>
      </w:pPr>
      <w:r>
        <w:t>UTAC expressed concerns that c</w:t>
      </w:r>
      <w:r w:rsidRPr="005803AD">
        <w:t>onstituents in the indurating furnace exhaust gas stream could adversely affect the SCR catalyst and increase adverse pollutant introduction to the exhaust stream.</w:t>
      </w:r>
      <w:r>
        <w:t xml:space="preserve"> However, tail</w:t>
      </w:r>
      <w:r w:rsidR="2343ADB7">
        <w:t>-</w:t>
      </w:r>
      <w:r>
        <w:t xml:space="preserve">end SCR being evaluated in this case </w:t>
      </w:r>
      <w:r w:rsidRPr="3328C818">
        <w:rPr>
          <w:rFonts w:cs="Times New Roman"/>
          <w:spacing w:val="-2"/>
        </w:rPr>
        <w:t xml:space="preserve">is exposed to much lower concentrations of particulates and </w:t>
      </w:r>
      <w:r w:rsidRPr="00A9462F">
        <w:t>SO</w:t>
      </w:r>
      <w:r w:rsidRPr="00A9462F">
        <w:rPr>
          <w:vertAlign w:val="subscript"/>
        </w:rPr>
        <w:t>2</w:t>
      </w:r>
      <w:r w:rsidRPr="3328C818">
        <w:rPr>
          <w:rFonts w:cs="Times New Roman"/>
          <w:spacing w:val="-2"/>
        </w:rPr>
        <w:t xml:space="preserve"> than conventional SCR on a coal-fired boiler, for example.</w:t>
      </w:r>
    </w:p>
    <w:p w14:paraId="38896E42" w14:textId="3FA064E7" w:rsidR="3328C818" w:rsidRDefault="3328C818" w:rsidP="3328C818">
      <w:pPr>
        <w:spacing w:line="240" w:lineRule="auto"/>
        <w:rPr>
          <w:rFonts w:eastAsia="Calibri" w:cs="Arial"/>
          <w:szCs w:val="24"/>
        </w:rPr>
      </w:pPr>
    </w:p>
    <w:p w14:paraId="102C0565" w14:textId="6CF06F83" w:rsidR="00867FDB" w:rsidRDefault="00867FDB" w:rsidP="00B1738B">
      <w:pPr>
        <w:spacing w:line="240" w:lineRule="auto"/>
        <w:contextualSpacing/>
        <w:rPr>
          <w:rFonts w:cs="Times New Roman"/>
          <w:szCs w:val="24"/>
        </w:rPr>
      </w:pPr>
      <w:r>
        <w:rPr>
          <w:rFonts w:cs="Times New Roman"/>
          <w:spacing w:val="-2"/>
          <w:szCs w:val="24"/>
        </w:rPr>
        <w:t>The NPS appreciates that UTAC</w:t>
      </w:r>
      <w:r>
        <w:rPr>
          <w:rFonts w:cs="Times New Roman"/>
          <w:szCs w:val="24"/>
        </w:rPr>
        <w:t xml:space="preserve"> evaluated three </w:t>
      </w:r>
      <w:r w:rsidRPr="00A9462F">
        <w:t>SO</w:t>
      </w:r>
      <w:r w:rsidRPr="00A9462F">
        <w:rPr>
          <w:vertAlign w:val="subscript"/>
        </w:rPr>
        <w:t>2</w:t>
      </w:r>
      <w:r>
        <w:rPr>
          <w:rFonts w:cs="Times New Roman"/>
          <w:szCs w:val="24"/>
        </w:rPr>
        <w:t xml:space="preserve"> control scenarios that included enhanced particulate controls.</w:t>
      </w:r>
    </w:p>
    <w:p w14:paraId="5EF2E282" w14:textId="77777777" w:rsidR="00286FF2" w:rsidRDefault="00286FF2" w:rsidP="00B1738B">
      <w:pPr>
        <w:spacing w:line="240" w:lineRule="auto"/>
        <w:contextualSpacing/>
        <w:rPr>
          <w:rFonts w:cs="Times New Roman"/>
          <w:szCs w:val="24"/>
        </w:rPr>
      </w:pPr>
    </w:p>
    <w:p w14:paraId="03D7B269" w14:textId="77777777" w:rsidR="00867FDB" w:rsidRPr="00A9462F" w:rsidRDefault="00867FDB" w:rsidP="00286FF2">
      <w:pPr>
        <w:spacing w:line="240" w:lineRule="auto"/>
        <w:contextualSpacing/>
      </w:pPr>
      <w:r w:rsidRPr="00A9462F">
        <w:t>The advantages of tail-end SCR are described by the CCM:</w:t>
      </w:r>
    </w:p>
    <w:p w14:paraId="40AB91CF" w14:textId="6579A658" w:rsidR="00286FF2" w:rsidRDefault="00867FDB" w:rsidP="00286FF2">
      <w:pPr>
        <w:pStyle w:val="Quote"/>
        <w:spacing w:line="240" w:lineRule="auto"/>
        <w:contextualSpacing/>
      </w:pPr>
      <w:r w:rsidRPr="00A9462F">
        <w:t>An SCR reactor located downstream of the air heater, particulate control devices, and flue gas desulfurization (FGD) system (“low-dust” or “tail-end” configuration) is essentially dust- and sulfur-free but its temperature is generally below the acceptable range.</w:t>
      </w:r>
    </w:p>
    <w:p w14:paraId="3DE8983C" w14:textId="462FD360" w:rsidR="00867FDB" w:rsidRPr="00A9462F" w:rsidRDefault="00867FDB" w:rsidP="00286FF2">
      <w:pPr>
        <w:pStyle w:val="Quote"/>
        <w:spacing w:line="240" w:lineRule="auto"/>
        <w:contextualSpacing/>
      </w:pPr>
      <w:r w:rsidRPr="00A9462F">
        <w:t>A tail-end system may have higher capital and operating costs than the other SCR systems because of the additional equipment and operational costs associated with flue gas reheating and heat recovery. However, these costs are in part offset by reductions in catalyst costs. Tail-end units require less catalyst because they can use catalysts with smaller pitch and higher surface area per unit volume. Tail-end SCR typically require only 2 layers of catalyst, although some use four half-layers of catalyst to allow for greater flexibility for catalyst replacement. In addition, because there is less fly ash, catalyst poisons, and SO</w:t>
      </w:r>
      <w:r w:rsidRPr="00A9462F">
        <w:rPr>
          <w:vertAlign w:val="subscript"/>
        </w:rPr>
        <w:t>2</w:t>
      </w:r>
      <w:r w:rsidRPr="00A9462F">
        <w:t xml:space="preserve"> in the flue gas for tail-end units, the catalyst lifetime is significantly increased, and less expensive catalyst may be used. Some sources have reported catalyst lifetimes for tail-end SCRs to be over 100,000 hours. The tail-end SCRs may also have longer lifetimes due to the lower operating temperatures and lower levels of dust and SO3.</w:t>
      </w:r>
    </w:p>
    <w:p w14:paraId="1F2515DB" w14:textId="096439BE" w:rsidR="00867FDB" w:rsidRPr="00A9462F" w:rsidRDefault="00867FDB" w:rsidP="00B1738B">
      <w:pPr>
        <w:spacing w:line="240" w:lineRule="auto"/>
        <w:contextualSpacing/>
      </w:pPr>
      <w:r w:rsidRPr="00A9462F">
        <w:t xml:space="preserve">Addition of SCR with reheat in a tail-end configuration at UTAC would mitigate the concerns about catalyst fouling, poisoning, and degradation. </w:t>
      </w:r>
      <w:r w:rsidR="00286FF2">
        <w:t>Nevertheless</w:t>
      </w:r>
      <w:r w:rsidRPr="00A9462F">
        <w:t xml:space="preserve">, </w:t>
      </w:r>
      <w:r>
        <w:t>NPS analyses</w:t>
      </w:r>
      <w:r w:rsidRPr="00A9462F">
        <w:t xml:space="preserve"> assumed tail-end SCR life of 2</w:t>
      </w:r>
      <w:r w:rsidR="00286FF2">
        <w:t>0</w:t>
      </w:r>
      <w:r w:rsidRPr="00A9462F">
        <w:t xml:space="preserve"> years and catalyst life of </w:t>
      </w:r>
      <w:r w:rsidR="00286FF2">
        <w:t>16</w:t>
      </w:r>
      <w:r w:rsidRPr="00A9462F">
        <w:t xml:space="preserve">,000 hours (the </w:t>
      </w:r>
      <w:r w:rsidR="00286FF2">
        <w:t>lower</w:t>
      </w:r>
      <w:r w:rsidRPr="00A9462F">
        <w:t xml:space="preserve"> ends of the ranges recommended by the CCM for SCR on industrial boilers). </w:t>
      </w:r>
      <w:r w:rsidR="00286FF2">
        <w:t xml:space="preserve">NPS also applied the maximum recommended retrofit factor = 1.5. </w:t>
      </w:r>
      <w:r w:rsidRPr="00A9462F">
        <w:t xml:space="preserve">Considering the almost 5,000 tons of particulate emitted by UTAC annually, </w:t>
      </w:r>
      <w:r>
        <w:t xml:space="preserve">the NPS recommends </w:t>
      </w:r>
      <w:r w:rsidRPr="00A9462F">
        <w:t>an integrated approach (as evaluated by UTAC and discussed in the SO</w:t>
      </w:r>
      <w:r w:rsidRPr="00A9462F">
        <w:rPr>
          <w:vertAlign w:val="subscript"/>
        </w:rPr>
        <w:t>2</w:t>
      </w:r>
      <w:r w:rsidRPr="00A9462F">
        <w:t xml:space="preserve"> control section below) to reducing particulate, SO</w:t>
      </w:r>
      <w:r w:rsidRPr="00A9462F">
        <w:rPr>
          <w:vertAlign w:val="subscript"/>
        </w:rPr>
        <w:t>2</w:t>
      </w:r>
      <w:r w:rsidRPr="00A9462F">
        <w:t xml:space="preserve"> and NO</w:t>
      </w:r>
      <w:r>
        <w:rPr>
          <w:vertAlign w:val="subscript"/>
        </w:rPr>
        <w:t>x</w:t>
      </w:r>
      <w:r w:rsidRPr="00A9462F">
        <w:t>.</w:t>
      </w:r>
    </w:p>
    <w:p w14:paraId="6CC44726" w14:textId="77777777" w:rsidR="00867FDB" w:rsidRDefault="00867FDB" w:rsidP="00B1738B">
      <w:pPr>
        <w:pStyle w:val="Heading4"/>
        <w:spacing w:line="240" w:lineRule="auto"/>
        <w:contextualSpacing/>
      </w:pPr>
      <w:r>
        <w:t>Statutory Factor 1: Cost of Compliance</w:t>
      </w:r>
    </w:p>
    <w:p w14:paraId="40EA7FC8" w14:textId="09EA19F8" w:rsidR="00867FDB" w:rsidRDefault="00867FDB" w:rsidP="00B1738B">
      <w:pPr>
        <w:spacing w:line="240" w:lineRule="auto"/>
        <w:contextualSpacing/>
        <w:rPr>
          <w:bCs/>
        </w:rPr>
      </w:pPr>
      <w:r>
        <w:rPr>
          <w:bCs/>
        </w:rPr>
        <w:t xml:space="preserve">NPS review finds that </w:t>
      </w:r>
      <w:r w:rsidRPr="00A65A11">
        <w:rPr>
          <w:bCs/>
        </w:rPr>
        <w:t xml:space="preserve">UTAC has overestimated the capital costs by overestimating the system heat input. Instead, </w:t>
      </w:r>
      <w:r>
        <w:rPr>
          <w:bCs/>
        </w:rPr>
        <w:t>NPS calculations</w:t>
      </w:r>
      <w:r w:rsidRPr="00A65A11">
        <w:rPr>
          <w:bCs/>
        </w:rPr>
        <w:t xml:space="preserve"> included a 70%-efficient heat exchanger to reduce natural gas reheat requirements. Not only did this reduce operating costs dramatically, but the reduced system heat input also resulted in the much lower </w:t>
      </w:r>
      <w:r>
        <w:rPr>
          <w:bCs/>
        </w:rPr>
        <w:t xml:space="preserve">SCR </w:t>
      </w:r>
      <w:r w:rsidRPr="00A65A11">
        <w:rPr>
          <w:bCs/>
        </w:rPr>
        <w:t>capital costs.</w:t>
      </w:r>
    </w:p>
    <w:p w14:paraId="7AFDF62F" w14:textId="77777777" w:rsidR="00286FF2" w:rsidRPr="00A65A11" w:rsidRDefault="00286FF2" w:rsidP="00B1738B">
      <w:pPr>
        <w:spacing w:line="240" w:lineRule="auto"/>
        <w:contextualSpacing/>
        <w:rPr>
          <w:bCs/>
        </w:rPr>
      </w:pPr>
    </w:p>
    <w:p w14:paraId="2AE67B66" w14:textId="1005AACF" w:rsidR="00867FDB" w:rsidRPr="00A65A11" w:rsidRDefault="00867FDB" w:rsidP="00B1738B">
      <w:pPr>
        <w:spacing w:line="240" w:lineRule="auto"/>
        <w:contextualSpacing/>
      </w:pPr>
      <w:bookmarkStart w:id="51" w:name="_bookmark42"/>
      <w:bookmarkEnd w:id="51"/>
      <w:r>
        <w:t>The NPS</w:t>
      </w:r>
      <w:r w:rsidRPr="00A65A11">
        <w:t xml:space="preserve"> evaluated the addition of SCR with reheat by making the following </w:t>
      </w:r>
      <w:r w:rsidR="00286FF2">
        <w:t>assumptions</w:t>
      </w:r>
      <w:r w:rsidRPr="00A65A11">
        <w:t>:</w:t>
      </w:r>
    </w:p>
    <w:p w14:paraId="6718D44A" w14:textId="20241B80" w:rsidR="00867FDB" w:rsidRPr="00A65A11" w:rsidRDefault="647749C5" w:rsidP="00B1738B">
      <w:pPr>
        <w:pStyle w:val="ListParagraph"/>
        <w:rPr>
          <w:rFonts w:asciiTheme="minorHAnsi" w:eastAsiaTheme="minorEastAsia" w:hAnsiTheme="minorHAnsi" w:cstheme="minorBidi"/>
        </w:rPr>
      </w:pPr>
      <w:r>
        <w:t>Natural Gas = $</w:t>
      </w:r>
      <w:r w:rsidR="0E9B3FB6">
        <w:t>3.90</w:t>
      </w:r>
      <w:r>
        <w:t>/</w:t>
      </w:r>
      <w:proofErr w:type="spellStart"/>
      <w:r>
        <w:t>scf</w:t>
      </w:r>
      <w:proofErr w:type="spellEnd"/>
      <w:r>
        <w:t xml:space="preserve"> </w:t>
      </w:r>
      <w:r w:rsidR="4BB1A493">
        <w:t xml:space="preserve"> (</w:t>
      </w:r>
      <w:r w:rsidR="76781313">
        <w:t>used by MPCA in other analyses</w:t>
      </w:r>
      <w:r w:rsidR="4BB1A493">
        <w:t>)</w:t>
      </w:r>
    </w:p>
    <w:p w14:paraId="3E950BBA" w14:textId="12633051" w:rsidR="00867FDB" w:rsidRPr="00A65A11" w:rsidRDefault="00867FDB" w:rsidP="00B1738B">
      <w:pPr>
        <w:pStyle w:val="ListParagraph"/>
      </w:pPr>
      <w:r w:rsidRPr="00A65A11">
        <w:t>Urea 50% Solution = $</w:t>
      </w:r>
      <w:r w:rsidR="00286FF2">
        <w:t>1.66</w:t>
      </w:r>
      <w:r w:rsidRPr="00A65A11">
        <w:t>/gal (</w:t>
      </w:r>
      <w:r w:rsidR="00286FF2">
        <w:t>used by MPCA in other analyses</w:t>
      </w:r>
      <w:r w:rsidRPr="00A65A11">
        <w:t>)</w:t>
      </w:r>
    </w:p>
    <w:p w14:paraId="76EFA72C" w14:textId="0CA482E9" w:rsidR="00867FDB" w:rsidRPr="00A65A11" w:rsidRDefault="00867FDB" w:rsidP="00B1738B">
      <w:pPr>
        <w:pStyle w:val="ListParagraph"/>
      </w:pPr>
      <w:r w:rsidRPr="00A65A11">
        <w:t>Estimated operating life of the catalyst (</w:t>
      </w:r>
      <w:proofErr w:type="spellStart"/>
      <w:r w:rsidRPr="00A65A11">
        <w:t>H</w:t>
      </w:r>
      <w:r w:rsidRPr="00A65A11">
        <w:rPr>
          <w:vertAlign w:val="subscript"/>
        </w:rPr>
        <w:t>catalyst</w:t>
      </w:r>
      <w:proofErr w:type="spellEnd"/>
      <w:r w:rsidRPr="00A65A11">
        <w:t xml:space="preserve">) = </w:t>
      </w:r>
      <w:r w:rsidR="00286FF2">
        <w:t>16</w:t>
      </w:r>
      <w:r w:rsidRPr="00A65A11">
        <w:t xml:space="preserve">,000 </w:t>
      </w:r>
      <w:proofErr w:type="spellStart"/>
      <w:r w:rsidRPr="00A65A11">
        <w:t>hr</w:t>
      </w:r>
      <w:proofErr w:type="spellEnd"/>
      <w:r w:rsidRPr="00A65A11">
        <w:t xml:space="preserve"> </w:t>
      </w:r>
      <w:bookmarkStart w:id="52" w:name="_Hlk106866981"/>
      <w:r w:rsidRPr="00A65A11">
        <w:t>(</w:t>
      </w:r>
      <w:bookmarkEnd w:id="52"/>
      <w:r w:rsidR="005202A6">
        <w:rPr>
          <w:bCs/>
        </w:rPr>
        <w:t>NPS</w:t>
      </w:r>
      <w:r w:rsidRPr="00A65A11">
        <w:rPr>
          <w:bCs/>
        </w:rPr>
        <w:t xml:space="preserve"> used the </w:t>
      </w:r>
      <w:r w:rsidR="00286FF2">
        <w:rPr>
          <w:bCs/>
        </w:rPr>
        <w:t>lower</w:t>
      </w:r>
      <w:r w:rsidRPr="00A65A11">
        <w:rPr>
          <w:bCs/>
        </w:rPr>
        <w:t xml:space="preserve"> end of the CCM catalyst life estimate due to the </w:t>
      </w:r>
      <w:r w:rsidR="00286FF2">
        <w:rPr>
          <w:bCs/>
        </w:rPr>
        <w:t>unproven nature of this application</w:t>
      </w:r>
      <w:r w:rsidR="006F60E8">
        <w:rPr>
          <w:bCs/>
        </w:rPr>
        <w:t xml:space="preserve">. </w:t>
      </w:r>
      <w:r w:rsidRPr="00A65A11">
        <w:rPr>
          <w:bCs/>
        </w:rPr>
        <w:t xml:space="preserve">UTAC assumed 8,000 hours which is less than the </w:t>
      </w:r>
      <w:r w:rsidR="006F60E8">
        <w:rPr>
          <w:bCs/>
        </w:rPr>
        <w:t>16</w:t>
      </w:r>
      <w:r w:rsidRPr="00A65A11">
        <w:rPr>
          <w:bCs/>
        </w:rPr>
        <w:t>,000-hour lower end of the CCM range.)</w:t>
      </w:r>
    </w:p>
    <w:p w14:paraId="62ED438F" w14:textId="77777777" w:rsidR="00867FDB" w:rsidRPr="00A65A11" w:rsidRDefault="00867FDB" w:rsidP="00B1738B">
      <w:pPr>
        <w:pStyle w:val="ListParagraph"/>
      </w:pPr>
      <w:r w:rsidRPr="00A65A11">
        <w:t>Catalyst cost (</w:t>
      </w:r>
      <w:proofErr w:type="spellStart"/>
      <w:r w:rsidRPr="00A65A11">
        <w:t>CC</w:t>
      </w:r>
      <w:r w:rsidRPr="00A65A11">
        <w:rPr>
          <w:vertAlign w:val="subscript"/>
        </w:rPr>
        <w:t>replace</w:t>
      </w:r>
      <w:proofErr w:type="spellEnd"/>
      <w:r w:rsidRPr="00A65A11">
        <w:t>) = $227/</w:t>
      </w:r>
      <w:proofErr w:type="spellStart"/>
      <w:r w:rsidRPr="00A65A11">
        <w:t>cf</w:t>
      </w:r>
      <w:proofErr w:type="spellEnd"/>
      <w:r w:rsidRPr="00A65A11">
        <w:t xml:space="preserve"> (CCM default) (UTAC used $248.05 based on inflating the CCM value. Instead, UTAC should use an actual, site-specific current value.)</w:t>
      </w:r>
    </w:p>
    <w:p w14:paraId="4345B976" w14:textId="18117488" w:rsidR="00867FDB" w:rsidRPr="00A65A11" w:rsidRDefault="00867FDB" w:rsidP="00B1738B">
      <w:pPr>
        <w:pStyle w:val="ListParagraph"/>
      </w:pPr>
      <w:r w:rsidRPr="00A65A11">
        <w:t xml:space="preserve">Interest Rate = </w:t>
      </w:r>
      <w:r w:rsidR="006F60E8">
        <w:t>3.5% used by MPCA in other analyses</w:t>
      </w:r>
      <w:r w:rsidR="00C10F14">
        <w:t>--UTAC</w:t>
      </w:r>
      <w:r w:rsidR="00C10F14">
        <w:rPr>
          <w:bCs/>
        </w:rPr>
        <w:t xml:space="preserve"> used a 4.75% interest rate.</w:t>
      </w:r>
    </w:p>
    <w:p w14:paraId="525A9C8D" w14:textId="7ED223AF" w:rsidR="00867FDB" w:rsidRPr="00A65A11" w:rsidRDefault="00867FDB" w:rsidP="006F60E8">
      <w:pPr>
        <w:pStyle w:val="ListParagraph"/>
      </w:pPr>
      <w:r w:rsidRPr="00A65A11">
        <w:t xml:space="preserve">Markup on capital cost (Retrofit Factor) = </w:t>
      </w:r>
      <w:r w:rsidR="006F60E8">
        <w:t>5</w:t>
      </w:r>
      <w:r w:rsidRPr="00A65A11">
        <w:t xml:space="preserve">0% due to </w:t>
      </w:r>
      <w:r w:rsidR="006F60E8">
        <w:t>unproven application of SCR to taconite furnaces.</w:t>
      </w:r>
    </w:p>
    <w:p w14:paraId="7934ADBA" w14:textId="3D13072D" w:rsidR="00867FDB" w:rsidRPr="006F60E8" w:rsidRDefault="00867FDB" w:rsidP="00EA0940">
      <w:pPr>
        <w:pStyle w:val="ListParagraph"/>
        <w:rPr>
          <w:bCs/>
        </w:rPr>
      </w:pPr>
      <w:r w:rsidRPr="00A65A11">
        <w:t>Equipment Life = 2</w:t>
      </w:r>
      <w:r w:rsidR="006F60E8">
        <w:t>0</w:t>
      </w:r>
      <w:r w:rsidRPr="00A65A11">
        <w:t xml:space="preserve"> years</w:t>
      </w:r>
      <w:r w:rsidR="00321D17">
        <w:t>.</w:t>
      </w:r>
      <w:r w:rsidRPr="00A65A11">
        <w:t xml:space="preserve"> </w:t>
      </w:r>
      <w:r w:rsidR="005202A6" w:rsidRPr="006F60E8">
        <w:rPr>
          <w:bCs/>
        </w:rPr>
        <w:t>NPS</w:t>
      </w:r>
      <w:r w:rsidRPr="006F60E8">
        <w:rPr>
          <w:bCs/>
        </w:rPr>
        <w:t xml:space="preserve"> used the </w:t>
      </w:r>
      <w:r w:rsidR="006F60E8" w:rsidRPr="006F60E8">
        <w:rPr>
          <w:bCs/>
        </w:rPr>
        <w:t>lower</w:t>
      </w:r>
      <w:r w:rsidRPr="006F60E8">
        <w:rPr>
          <w:bCs/>
        </w:rPr>
        <w:t xml:space="preserve"> end of the CCM equipment life estimate due to the </w:t>
      </w:r>
      <w:r w:rsidR="006F60E8">
        <w:t>unproven application of SCR to taconite furnaces.</w:t>
      </w:r>
      <w:r w:rsidRPr="006F60E8">
        <w:rPr>
          <w:bCs/>
        </w:rPr>
        <w:t xml:space="preserve"> (UTAC </w:t>
      </w:r>
      <w:r w:rsidR="006F60E8">
        <w:rPr>
          <w:bCs/>
        </w:rPr>
        <w:t xml:space="preserve">also </w:t>
      </w:r>
      <w:r w:rsidRPr="006F60E8">
        <w:rPr>
          <w:bCs/>
        </w:rPr>
        <w:t>used 20 years.)</w:t>
      </w:r>
    </w:p>
    <w:p w14:paraId="74F9B6F9" w14:textId="2F619CED" w:rsidR="00867FDB" w:rsidRPr="00A65A11" w:rsidRDefault="00867FDB" w:rsidP="00B1738B">
      <w:pPr>
        <w:pStyle w:val="ListParagraph"/>
      </w:pPr>
      <w:r w:rsidRPr="00A65A11">
        <w:t xml:space="preserve">SCR Control Efficiency = </w:t>
      </w:r>
      <w:r w:rsidR="006F60E8">
        <w:t>8</w:t>
      </w:r>
      <w:r w:rsidRPr="00A65A11">
        <w:t xml:space="preserve">0% </w:t>
      </w:r>
      <w:r w:rsidR="006F60E8">
        <w:t>despite the</w:t>
      </w:r>
      <w:r w:rsidRPr="00A65A11">
        <w:t xml:space="preserve"> clean, tail-end location with gas stream heated to CCM 650</w:t>
      </w:r>
      <w:r w:rsidRPr="00A65A11">
        <w:rPr>
          <w:vertAlign w:val="superscript"/>
        </w:rPr>
        <w:t>o</w:t>
      </w:r>
      <w:r w:rsidRPr="00A65A11">
        <w:t>F default. (UTAC used 50% based upon a 2006 report on SCR applied to cement kilns in a high-dust configuration.)</w:t>
      </w:r>
    </w:p>
    <w:p w14:paraId="2AED58C8" w14:textId="4A3B3F1D" w:rsidR="00867FDB" w:rsidRPr="00A65A11" w:rsidRDefault="00867FDB" w:rsidP="00B1738B">
      <w:pPr>
        <w:pStyle w:val="ListParagraph"/>
      </w:pPr>
      <w:r w:rsidRPr="00A65A11">
        <w:t>The Chemical Engineering Plant Cost Index (CEPCI) for 20</w:t>
      </w:r>
      <w:r w:rsidR="006F60E8">
        <w:t>19 and used by MPCA</w:t>
      </w:r>
      <w:r w:rsidRPr="00A65A11">
        <w:t xml:space="preserve"> was 607.5</w:t>
      </w:r>
      <w:r w:rsidR="006F60E8">
        <w:t>.</w:t>
      </w:r>
    </w:p>
    <w:p w14:paraId="6E73C0E7" w14:textId="77777777" w:rsidR="00867FDB" w:rsidRPr="00A65A11" w:rsidRDefault="647749C5" w:rsidP="00B1738B">
      <w:pPr>
        <w:spacing w:line="240" w:lineRule="auto"/>
        <w:contextualSpacing/>
      </w:pPr>
      <w:r>
        <w:t xml:space="preserve">NPS </w:t>
      </w:r>
      <w:bookmarkStart w:id="53" w:name="_Int_BiqNi43c"/>
      <w:r>
        <w:t>analyses based</w:t>
      </w:r>
      <w:bookmarkEnd w:id="53"/>
      <w:r>
        <w:t xml:space="preserve"> SCR “Data Inputs” on the following:</w:t>
      </w:r>
    </w:p>
    <w:p w14:paraId="69BC4C5C" w14:textId="5E78D127" w:rsidR="00867FDB" w:rsidRPr="00A65A11" w:rsidRDefault="00C83CD9" w:rsidP="00B1738B">
      <w:pPr>
        <w:pStyle w:val="ListParagraph"/>
      </w:pPr>
      <w:r>
        <w:t>M</w:t>
      </w:r>
      <w:r w:rsidR="00867FDB" w:rsidRPr="00A65A11">
        <w:t>aximum heat input rate (QB)</w:t>
      </w:r>
    </w:p>
    <w:p w14:paraId="77CA5BBB" w14:textId="77777777" w:rsidR="00867FDB" w:rsidRPr="00A65A11" w:rsidRDefault="00867FDB" w:rsidP="00B1738B">
      <w:pPr>
        <w:pStyle w:val="ListParagraph"/>
        <w:numPr>
          <w:ilvl w:val="1"/>
          <w:numId w:val="13"/>
        </w:numPr>
      </w:pPr>
      <w:r w:rsidRPr="00A65A11">
        <w:t xml:space="preserve">In addition to the heat input (190 </w:t>
      </w:r>
      <w:proofErr w:type="spellStart"/>
      <w:r w:rsidRPr="00A65A11">
        <w:t>mmBtu</w:t>
      </w:r>
      <w:proofErr w:type="spellEnd"/>
      <w:r w:rsidRPr="00A65A11">
        <w:t>/</w:t>
      </w:r>
      <w:proofErr w:type="spellStart"/>
      <w:r w:rsidRPr="00A65A11">
        <w:t>hr</w:t>
      </w:r>
      <w:proofErr w:type="spellEnd"/>
      <w:r w:rsidRPr="00A65A11">
        <w:t xml:space="preserve"> for Line 1 and 400 </w:t>
      </w:r>
      <w:proofErr w:type="spellStart"/>
      <w:r w:rsidRPr="00A65A11">
        <w:t>mmBtu</w:t>
      </w:r>
      <w:proofErr w:type="spellEnd"/>
      <w:r w:rsidRPr="00A65A11">
        <w:t>/</w:t>
      </w:r>
      <w:proofErr w:type="spellStart"/>
      <w:r w:rsidRPr="00A65A11">
        <w:t>hr</w:t>
      </w:r>
      <w:proofErr w:type="spellEnd"/>
      <w:r w:rsidRPr="00A65A11">
        <w:t xml:space="preserve"> for Line 2) from the induration furnace burners, the heat input from the duct burners that would be added to reheat the gas stream exiting the existing wet scrubbers (at 140</w:t>
      </w:r>
      <w:r w:rsidRPr="00A65A11">
        <w:rPr>
          <w:vertAlign w:val="superscript"/>
        </w:rPr>
        <w:t>o</w:t>
      </w:r>
      <w:r w:rsidRPr="00A65A11">
        <w:t>F for Line 1 and 136</w:t>
      </w:r>
      <w:r w:rsidRPr="00A65A11">
        <w:rPr>
          <w:vertAlign w:val="superscript"/>
        </w:rPr>
        <w:t>o</w:t>
      </w:r>
      <w:r w:rsidRPr="00A65A11">
        <w:t>F for Line 2)</w:t>
      </w:r>
      <w:r>
        <w:t xml:space="preserve"> was included</w:t>
      </w:r>
      <w:r w:rsidRPr="00A65A11">
        <w:t xml:space="preserve">. </w:t>
      </w:r>
      <w:r>
        <w:t>NPS</w:t>
      </w:r>
      <w:r w:rsidRPr="00A65A11">
        <w:t xml:space="preserve"> applied the Auxiliary Fuel Use Equation 2.21 from CCM  7th Ed  November 2017  - Chapter 2 Incinerators and Oxidizers and estimated the additional duct burner heat input required to raise the SCR inlet temperature to 650</w:t>
      </w:r>
      <w:r w:rsidRPr="00A65A11">
        <w:rPr>
          <w:vertAlign w:val="superscript"/>
        </w:rPr>
        <w:t>o</w:t>
      </w:r>
      <w:r w:rsidRPr="00A65A11">
        <w:t xml:space="preserve">F (the CCM default value). </w:t>
      </w:r>
      <w:r>
        <w:t>A</w:t>
      </w:r>
      <w:r w:rsidRPr="00A65A11">
        <w:t>ddition of a 70% efficient heat exchanger to reduce natural gas use</w:t>
      </w:r>
      <w:r>
        <w:t xml:space="preserve"> was</w:t>
      </w:r>
      <w:r w:rsidRPr="00A65A11">
        <w:t xml:space="preserve"> assumed. </w:t>
      </w:r>
      <w:r>
        <w:t>A</w:t>
      </w:r>
      <w:r w:rsidRPr="00A65A11">
        <w:t xml:space="preserve">n additional 1,771 </w:t>
      </w:r>
      <w:proofErr w:type="spellStart"/>
      <w:r w:rsidRPr="00A65A11">
        <w:t>scfm</w:t>
      </w:r>
      <w:proofErr w:type="spellEnd"/>
      <w:r w:rsidRPr="00A65A11">
        <w:t xml:space="preserve"> gas </w:t>
      </w:r>
      <w:r>
        <w:t>is estimated as necessary</w:t>
      </w:r>
      <w:r w:rsidRPr="00A65A11">
        <w:t xml:space="preserve"> to reheat Line 1 and 3,587 </w:t>
      </w:r>
      <w:proofErr w:type="spellStart"/>
      <w:r w:rsidRPr="00A65A11">
        <w:t>scfm</w:t>
      </w:r>
      <w:proofErr w:type="spellEnd"/>
      <w:r w:rsidRPr="00A65A11">
        <w:t xml:space="preserve"> for Line 2. </w:t>
      </w:r>
      <w:r>
        <w:t>The</w:t>
      </w:r>
      <w:r w:rsidRPr="00A65A11">
        <w:t xml:space="preserve"> induration furnace + reheat total heat input rate </w:t>
      </w:r>
      <w:r>
        <w:t xml:space="preserve">is estimated to </w:t>
      </w:r>
      <w:r w:rsidRPr="00A65A11">
        <w:t xml:space="preserve">= 400 </w:t>
      </w:r>
      <w:proofErr w:type="spellStart"/>
      <w:r w:rsidRPr="00A65A11">
        <w:t>mmBtu</w:t>
      </w:r>
      <w:proofErr w:type="spellEnd"/>
      <w:r w:rsidRPr="00A65A11">
        <w:t>/</w:t>
      </w:r>
      <w:proofErr w:type="spellStart"/>
      <w:r w:rsidRPr="00A65A11">
        <w:t>hr</w:t>
      </w:r>
      <w:proofErr w:type="spellEnd"/>
      <w:r w:rsidRPr="00A65A11">
        <w:t xml:space="preserve"> for Line 1 and 622 </w:t>
      </w:r>
      <w:proofErr w:type="spellStart"/>
      <w:r w:rsidRPr="00A65A11">
        <w:t>mmBtu</w:t>
      </w:r>
      <w:proofErr w:type="spellEnd"/>
      <w:r w:rsidRPr="00A65A11">
        <w:t>/</w:t>
      </w:r>
      <w:proofErr w:type="spellStart"/>
      <w:r w:rsidRPr="00A65A11">
        <w:t>hr</w:t>
      </w:r>
      <w:proofErr w:type="spellEnd"/>
      <w:r w:rsidRPr="00A65A11">
        <w:t xml:space="preserve"> for Line 2. These heat input rates are critical parameters in estimating the capital costs of the SCR systems.</w:t>
      </w:r>
    </w:p>
    <w:p w14:paraId="292E0DDF" w14:textId="77777777" w:rsidR="00867FDB" w:rsidRPr="00A65A11" w:rsidRDefault="00867FDB" w:rsidP="00B1738B">
      <w:pPr>
        <w:pStyle w:val="ListParagraph"/>
        <w:numPr>
          <w:ilvl w:val="1"/>
          <w:numId w:val="13"/>
        </w:numPr>
      </w:pPr>
      <w:r w:rsidRPr="00A65A11">
        <w:t>UTAC did not include a heat exchanger.</w:t>
      </w:r>
    </w:p>
    <w:p w14:paraId="66D6DE14" w14:textId="668AAD80" w:rsidR="00867FDB" w:rsidRPr="00A65A11" w:rsidRDefault="00867FDB" w:rsidP="00B1738B">
      <w:pPr>
        <w:pStyle w:val="ListParagraph"/>
        <w:numPr>
          <w:ilvl w:val="1"/>
          <w:numId w:val="13"/>
        </w:numPr>
      </w:pPr>
      <w:r w:rsidRPr="00A65A11">
        <w:t>UTAC also assumed that the SCR inlet temperature should be raised to 800</w:t>
      </w:r>
      <w:r w:rsidRPr="00A65A11">
        <w:rPr>
          <w:vertAlign w:val="superscript"/>
        </w:rPr>
        <w:t>o</w:t>
      </w:r>
      <w:r w:rsidRPr="00A65A11">
        <w:t>F instead of the 650</w:t>
      </w:r>
      <w:r w:rsidRPr="00A65A11">
        <w:rPr>
          <w:vertAlign w:val="superscript"/>
        </w:rPr>
        <w:t>o</w:t>
      </w:r>
      <w:r w:rsidRPr="00A65A11">
        <w:t>F CCM default o</w:t>
      </w:r>
      <w:r>
        <w:t>r</w:t>
      </w:r>
      <w:r w:rsidRPr="00A65A11">
        <w:t xml:space="preserve"> 730</w:t>
      </w:r>
      <w:r w:rsidRPr="00A65A11">
        <w:rPr>
          <w:vertAlign w:val="superscript"/>
        </w:rPr>
        <w:t>o</w:t>
      </w:r>
      <w:r w:rsidRPr="00A65A11">
        <w:t>F optimum temperature; these assumptions raised natural gas use and costs unnecessarily.</w:t>
      </w:r>
    </w:p>
    <w:p w14:paraId="5C129CB3" w14:textId="2FE6E74A" w:rsidR="00867FDB" w:rsidRPr="00A65A11" w:rsidRDefault="00867FDB" w:rsidP="00B1738B">
      <w:pPr>
        <w:pStyle w:val="ListParagraph"/>
        <w:numPr>
          <w:ilvl w:val="1"/>
          <w:numId w:val="13"/>
        </w:numPr>
      </w:pPr>
      <w:r w:rsidRPr="00A65A11">
        <w:t xml:space="preserve">UTAC’s assumptions resulted in a more than three-fold increase in natural gas use compared to </w:t>
      </w:r>
      <w:r w:rsidR="006F60E8">
        <w:t>NPS</w:t>
      </w:r>
      <w:r w:rsidRPr="00A65A11">
        <w:t xml:space="preserve"> estimates. </w:t>
      </w:r>
    </w:p>
    <w:p w14:paraId="51126D65" w14:textId="77777777" w:rsidR="00867FDB" w:rsidRPr="00A65A11" w:rsidRDefault="00867FDB" w:rsidP="00B1738B">
      <w:pPr>
        <w:pStyle w:val="ListParagraph"/>
        <w:numPr>
          <w:ilvl w:val="1"/>
          <w:numId w:val="13"/>
        </w:numPr>
      </w:pPr>
      <w:r w:rsidRPr="00A65A11">
        <w:t xml:space="preserve">The resulting higher natural gas requirement led to UTAC estimates for </w:t>
      </w:r>
      <w:bookmarkStart w:id="54" w:name="_Hlk107140272"/>
      <w:r w:rsidRPr="00A65A11">
        <w:t xml:space="preserve">heat input rate = 2,197 </w:t>
      </w:r>
      <w:proofErr w:type="spellStart"/>
      <w:r w:rsidRPr="00A65A11">
        <w:t>mmBtu</w:t>
      </w:r>
      <w:proofErr w:type="spellEnd"/>
      <w:r w:rsidRPr="00A65A11">
        <w:t>/</w:t>
      </w:r>
      <w:proofErr w:type="spellStart"/>
      <w:r w:rsidRPr="00A65A11">
        <w:t>hr</w:t>
      </w:r>
      <w:proofErr w:type="spellEnd"/>
      <w:r w:rsidRPr="00A65A11">
        <w:t xml:space="preserve"> for Line 1 and 4,555 </w:t>
      </w:r>
      <w:proofErr w:type="spellStart"/>
      <w:r w:rsidRPr="00A65A11">
        <w:t>mmBtu</w:t>
      </w:r>
      <w:proofErr w:type="spellEnd"/>
      <w:r w:rsidRPr="00A65A11">
        <w:t>/</w:t>
      </w:r>
      <w:proofErr w:type="spellStart"/>
      <w:r w:rsidRPr="00A65A11">
        <w:t>hr</w:t>
      </w:r>
      <w:proofErr w:type="spellEnd"/>
      <w:r w:rsidRPr="00A65A11">
        <w:t xml:space="preserve"> for Line 2.</w:t>
      </w:r>
      <w:bookmarkEnd w:id="54"/>
      <w:r w:rsidRPr="00A65A11">
        <w:t xml:space="preserve"> SCR capital costs for natural gas-fired industrial applications are directly proportional to the heat input rate. As a result of UTAC’s overestimates for this parameter, its capital costs are overestimated by an additional 5</w:t>
      </w:r>
      <w:r>
        <w:t>–</w:t>
      </w:r>
      <w:r w:rsidRPr="00A65A11">
        <w:t>7 times.</w:t>
      </w:r>
    </w:p>
    <w:p w14:paraId="4AFBAAE2" w14:textId="66926BFD" w:rsidR="00867FDB" w:rsidRPr="00A65A11" w:rsidRDefault="00867FDB" w:rsidP="00B1738B">
      <w:pPr>
        <w:pStyle w:val="ListParagraph"/>
      </w:pPr>
      <w:r w:rsidRPr="00A65A11">
        <w:t xml:space="preserve">Inlet </w:t>
      </w:r>
      <w:r w:rsidRPr="00A9462F">
        <w:t>NO</w:t>
      </w:r>
      <w:r>
        <w:rPr>
          <w:vertAlign w:val="subscript"/>
        </w:rPr>
        <w:t>x</w:t>
      </w:r>
      <w:r w:rsidRPr="00A65A11">
        <w:t xml:space="preserve"> Emissions (</w:t>
      </w:r>
      <w:proofErr w:type="spellStart"/>
      <w:r w:rsidRPr="00A9462F">
        <w:t>NO</w:t>
      </w:r>
      <w:r>
        <w:rPr>
          <w:vertAlign w:val="subscript"/>
        </w:rPr>
        <w:t>x</w:t>
      </w:r>
      <w:r w:rsidRPr="00A65A11">
        <w:rPr>
          <w:vertAlign w:val="subscript"/>
        </w:rPr>
        <w:t>in</w:t>
      </w:r>
      <w:proofErr w:type="spellEnd"/>
      <w:r w:rsidRPr="00A65A11">
        <w:t>) to SCR:</w:t>
      </w:r>
    </w:p>
    <w:p w14:paraId="33D78F39" w14:textId="5B50CD8E" w:rsidR="00867FDB" w:rsidRPr="00A65A11" w:rsidRDefault="00867FDB" w:rsidP="00B1738B">
      <w:pPr>
        <w:pStyle w:val="ListParagraph"/>
        <w:numPr>
          <w:ilvl w:val="1"/>
          <w:numId w:val="13"/>
        </w:numPr>
      </w:pPr>
      <w:r>
        <w:t>NPS</w:t>
      </w:r>
      <w:r w:rsidRPr="00A65A11">
        <w:t xml:space="preserve"> assumed that the duct burner would emit </w:t>
      </w:r>
      <w:r w:rsidRPr="00A9462F">
        <w:t>NO</w:t>
      </w:r>
      <w:r>
        <w:rPr>
          <w:vertAlign w:val="subscript"/>
        </w:rPr>
        <w:t>x</w:t>
      </w:r>
      <w:r w:rsidRPr="00A65A11">
        <w:t xml:space="preserve"> @ 0.1 </w:t>
      </w:r>
      <w:proofErr w:type="spellStart"/>
      <w:r w:rsidRPr="00A65A11">
        <w:t>lb</w:t>
      </w:r>
      <w:proofErr w:type="spellEnd"/>
      <w:r w:rsidRPr="00A65A11">
        <w:t>/</w:t>
      </w:r>
      <w:proofErr w:type="spellStart"/>
      <w:r w:rsidRPr="00A65A11">
        <w:t>mmBtu</w:t>
      </w:r>
      <w:proofErr w:type="spellEnd"/>
      <w:r w:rsidRPr="00A65A11">
        <w:t xml:space="preserve"> based upon Alternative Control Techniques Document—NO Emissions from Stationary Gas Turbines, U. S. EPA 1/1/1993. </w:t>
      </w:r>
      <w:r>
        <w:t>The</w:t>
      </w:r>
      <w:r w:rsidRPr="00A65A11">
        <w:t xml:space="preserve"> duct burner </w:t>
      </w:r>
      <w:r w:rsidRPr="00A9462F">
        <w:t>NO</w:t>
      </w:r>
      <w:r>
        <w:rPr>
          <w:vertAlign w:val="subscript"/>
        </w:rPr>
        <w:t>x</w:t>
      </w:r>
      <w:r w:rsidRPr="00A65A11">
        <w:t xml:space="preserve"> emissions </w:t>
      </w:r>
      <w:r>
        <w:t xml:space="preserve">were added </w:t>
      </w:r>
      <w:r w:rsidRPr="00A65A11">
        <w:t xml:space="preserve">to the induration furnace </w:t>
      </w:r>
      <w:r w:rsidRPr="00A9462F">
        <w:t>NO</w:t>
      </w:r>
      <w:r>
        <w:rPr>
          <w:vertAlign w:val="subscript"/>
        </w:rPr>
        <w:t>x</w:t>
      </w:r>
      <w:r w:rsidRPr="00A65A11">
        <w:t xml:space="preserve"> emissions and divided by sums of their heat inputs to estimate the </w:t>
      </w:r>
      <w:bookmarkStart w:id="55" w:name="_Hlk107142044"/>
      <w:r w:rsidRPr="00A65A11">
        <w:t xml:space="preserve">uncontrolled </w:t>
      </w:r>
      <w:r w:rsidRPr="00A9462F">
        <w:t>NO</w:t>
      </w:r>
      <w:r>
        <w:rPr>
          <w:vertAlign w:val="subscript"/>
        </w:rPr>
        <w:t>x</w:t>
      </w:r>
      <w:r w:rsidRPr="00A65A11">
        <w:t xml:space="preserve"> emission rate = 1.20 </w:t>
      </w:r>
      <w:proofErr w:type="spellStart"/>
      <w:r w:rsidRPr="00A65A11">
        <w:t>lb</w:t>
      </w:r>
      <w:proofErr w:type="spellEnd"/>
      <w:r w:rsidRPr="00A65A11">
        <w:t>/</w:t>
      </w:r>
      <w:proofErr w:type="spellStart"/>
      <w:r w:rsidRPr="00A65A11">
        <w:t>mmBtu</w:t>
      </w:r>
      <w:proofErr w:type="spellEnd"/>
      <w:r w:rsidRPr="00A65A11">
        <w:t xml:space="preserve"> for Line 1 and 0.91 </w:t>
      </w:r>
      <w:proofErr w:type="spellStart"/>
      <w:r w:rsidRPr="00A65A11">
        <w:t>lb</w:t>
      </w:r>
      <w:proofErr w:type="spellEnd"/>
      <w:r w:rsidRPr="00A65A11">
        <w:t>/</w:t>
      </w:r>
      <w:proofErr w:type="spellStart"/>
      <w:r w:rsidRPr="00A65A11">
        <w:t>mmBtu</w:t>
      </w:r>
      <w:proofErr w:type="spellEnd"/>
      <w:r w:rsidRPr="00A65A11">
        <w:t xml:space="preserve"> for Line 2.</w:t>
      </w:r>
      <w:bookmarkEnd w:id="55"/>
    </w:p>
    <w:p w14:paraId="6F9E3F7E" w14:textId="2EAFFA11" w:rsidR="00867FDB" w:rsidRPr="00A65A11" w:rsidRDefault="00867FDB" w:rsidP="00B1738B">
      <w:pPr>
        <w:pStyle w:val="ListParagraph"/>
        <w:numPr>
          <w:ilvl w:val="1"/>
          <w:numId w:val="13"/>
        </w:numPr>
      </w:pPr>
      <w:r w:rsidRPr="00A65A11">
        <w:t xml:space="preserve">UTAC estimated uncontrolled </w:t>
      </w:r>
      <w:r w:rsidRPr="00A9462F">
        <w:t>NO</w:t>
      </w:r>
      <w:r>
        <w:rPr>
          <w:vertAlign w:val="subscript"/>
        </w:rPr>
        <w:t>x</w:t>
      </w:r>
      <w:r w:rsidRPr="00A65A11">
        <w:t xml:space="preserve"> emission rate = 0.16 </w:t>
      </w:r>
      <w:proofErr w:type="spellStart"/>
      <w:r w:rsidRPr="00A65A11">
        <w:t>lb</w:t>
      </w:r>
      <w:proofErr w:type="spellEnd"/>
      <w:r w:rsidRPr="00A65A11">
        <w:t>/</w:t>
      </w:r>
      <w:proofErr w:type="spellStart"/>
      <w:r w:rsidRPr="00A65A11">
        <w:t>mmBtu</w:t>
      </w:r>
      <w:proofErr w:type="spellEnd"/>
      <w:r w:rsidRPr="00A65A11">
        <w:t xml:space="preserve"> for Line 1 and 0.11 </w:t>
      </w:r>
      <w:proofErr w:type="spellStart"/>
      <w:r w:rsidRPr="00A65A11">
        <w:t>lb</w:t>
      </w:r>
      <w:proofErr w:type="spellEnd"/>
      <w:r w:rsidRPr="00A65A11">
        <w:t>/</w:t>
      </w:r>
      <w:proofErr w:type="spellStart"/>
      <w:r w:rsidRPr="00A65A11">
        <w:t>mmBtu</w:t>
      </w:r>
      <w:proofErr w:type="spellEnd"/>
      <w:r w:rsidRPr="00A65A11">
        <w:t xml:space="preserve"> for Line 2.</w:t>
      </w:r>
    </w:p>
    <w:p w14:paraId="24F6B10C" w14:textId="6AEB5048" w:rsidR="00867FDB" w:rsidRPr="00A65A11" w:rsidRDefault="006F60E8" w:rsidP="00B1738B">
      <w:pPr>
        <w:pStyle w:val="ListParagraph"/>
      </w:pPr>
      <w:r>
        <w:t>E</w:t>
      </w:r>
      <w:r w:rsidR="00867FDB" w:rsidRPr="00A65A11">
        <w:t>stimated actual annual fuel consumption?</w:t>
      </w:r>
    </w:p>
    <w:p w14:paraId="26F2DEF8" w14:textId="4DE95847" w:rsidR="00867FDB" w:rsidRPr="00A65A11" w:rsidRDefault="00867FDB" w:rsidP="00B1738B">
      <w:pPr>
        <w:pStyle w:val="ListParagraph"/>
        <w:numPr>
          <w:ilvl w:val="1"/>
          <w:numId w:val="13"/>
        </w:numPr>
      </w:pPr>
      <w:r>
        <w:t>NPS</w:t>
      </w:r>
      <w:r w:rsidRPr="00A65A11">
        <w:t xml:space="preserve"> adjusted the heat input to yield the uncontrolled </w:t>
      </w:r>
      <w:r w:rsidRPr="00A9462F">
        <w:t>NO</w:t>
      </w:r>
      <w:r>
        <w:rPr>
          <w:vertAlign w:val="subscript"/>
        </w:rPr>
        <w:t>x</w:t>
      </w:r>
      <w:r w:rsidRPr="00A65A11">
        <w:t xml:space="preserve"> emissions estimated as described above.</w:t>
      </w:r>
    </w:p>
    <w:p w14:paraId="4E60A01E" w14:textId="0A35B058" w:rsidR="00867FDB" w:rsidRPr="00A65A11" w:rsidRDefault="00867FDB" w:rsidP="00B1738B">
      <w:pPr>
        <w:pStyle w:val="ListParagraph"/>
        <w:numPr>
          <w:ilvl w:val="1"/>
          <w:numId w:val="13"/>
        </w:numPr>
      </w:pPr>
      <w:r w:rsidRPr="00A65A11">
        <w:t xml:space="preserve">UTAC appears to have used a similar method to estimate the same annual uncontrolled </w:t>
      </w:r>
      <w:r w:rsidRPr="00A9462F">
        <w:t>NO</w:t>
      </w:r>
      <w:r>
        <w:rPr>
          <w:vertAlign w:val="subscript"/>
        </w:rPr>
        <w:t>x</w:t>
      </w:r>
      <w:r w:rsidRPr="00A65A11">
        <w:t xml:space="preserve"> emissions.</w:t>
      </w:r>
    </w:p>
    <w:p w14:paraId="6BEB786F" w14:textId="77777777" w:rsidR="00867FDB" w:rsidRPr="00A65A11" w:rsidRDefault="00867FDB" w:rsidP="00B1738B">
      <w:pPr>
        <w:spacing w:line="240" w:lineRule="auto"/>
        <w:contextualSpacing/>
      </w:pPr>
      <w:r w:rsidRPr="00A65A11">
        <w:t>Reheat costs were estimated as follows:</w:t>
      </w:r>
    </w:p>
    <w:p w14:paraId="43783CD9" w14:textId="77777777" w:rsidR="00867FDB" w:rsidRPr="00A65A11" w:rsidRDefault="00867FDB" w:rsidP="00B1738B">
      <w:pPr>
        <w:pStyle w:val="ListParagraph"/>
      </w:pPr>
      <w:r w:rsidRPr="00A65A11">
        <w:t>CCM Table 2.10: Capital Cost Factors for Thermal and Catalytic oxidizers with Eqn. 2.34</w:t>
      </w:r>
    </w:p>
    <w:p w14:paraId="76C33ADA" w14:textId="77777777" w:rsidR="00867FDB" w:rsidRPr="00A65A11" w:rsidRDefault="00867FDB" w:rsidP="00B1738B">
      <w:pPr>
        <w:pStyle w:val="ListParagraph"/>
      </w:pPr>
      <w:r w:rsidRPr="00A65A11">
        <w:t>CCM Table 2.12: Annual Costs for Thermal and Catalytic oxidizers assumed a 19.0” H</w:t>
      </w:r>
      <w:r w:rsidRPr="00A65A11">
        <w:rPr>
          <w:vertAlign w:val="subscript"/>
        </w:rPr>
        <w:t>2</w:t>
      </w:r>
      <w:r w:rsidRPr="00A65A11">
        <w:t>O pressure drop across the heat exchanger per CCM Table 2.13. This added $0.8 million and $1.8 million in annual electricity costs to Lines 1 and 2, respectively.</w:t>
      </w:r>
    </w:p>
    <w:p w14:paraId="739B2E54" w14:textId="77777777" w:rsidR="00300D4F" w:rsidRDefault="00300D4F">
      <w:r>
        <w:br w:type="page"/>
      </w:r>
    </w:p>
    <w:p w14:paraId="3AB5BE39" w14:textId="4A2E7715" w:rsidR="00867FDB" w:rsidRPr="00A65A11" w:rsidRDefault="00867FDB" w:rsidP="00B1738B">
      <w:pPr>
        <w:spacing w:line="240" w:lineRule="auto"/>
        <w:contextualSpacing/>
      </w:pPr>
      <w:r w:rsidRPr="00A65A11">
        <w:t xml:space="preserve">The table below shows the cost elements of adding SCR with reheat to each line. </w:t>
      </w:r>
    </w:p>
    <w:p w14:paraId="694F6274" w14:textId="04D26FAF" w:rsidR="00867FDB" w:rsidRDefault="00AE2861" w:rsidP="00AE2861">
      <w:pPr>
        <w:pStyle w:val="Caption"/>
      </w:pPr>
      <w:r>
        <w:t xml:space="preserve">Table </w:t>
      </w:r>
      <w:r>
        <w:fldChar w:fldCharType="begin"/>
      </w:r>
      <w:r>
        <w:instrText>SEQ Table \* ARABIC</w:instrText>
      </w:r>
      <w:r>
        <w:fldChar w:fldCharType="separate"/>
      </w:r>
      <w:r>
        <w:rPr>
          <w:noProof/>
        </w:rPr>
        <w:t>18</w:t>
      </w:r>
      <w:r>
        <w:fldChar w:fldCharType="end"/>
      </w:r>
      <w:r>
        <w:t xml:space="preserve">. </w:t>
      </w:r>
      <w:r w:rsidR="00867FDB">
        <w:t>NPS estimated</w:t>
      </w:r>
      <w:r w:rsidR="00867FDB" w:rsidRPr="004B48D7">
        <w:t xml:space="preserve"> SCR</w:t>
      </w:r>
      <w:r w:rsidR="00867FDB">
        <w:t xml:space="preserve"> + Reheat</w:t>
      </w:r>
      <w:r w:rsidR="00867FDB" w:rsidRPr="004B48D7">
        <w:t xml:space="preserve"> costs </w:t>
      </w:r>
      <w:r w:rsidR="00867FDB">
        <w:t>for UTAC Line 1 &amp; 2 compared to UTAC</w:t>
      </w:r>
      <w:r w:rsidR="00867FDB" w:rsidRPr="004B48D7">
        <w:t xml:space="preserve"> </w:t>
      </w:r>
      <w:r w:rsidR="00867FDB">
        <w:t>estimates</w:t>
      </w:r>
    </w:p>
    <w:tbl>
      <w:tblPr>
        <w:tblW w:w="5000" w:type="pct"/>
        <w:tblLook w:val="04A0" w:firstRow="1" w:lastRow="0" w:firstColumn="1" w:lastColumn="0" w:noHBand="0" w:noVBand="1"/>
      </w:tblPr>
      <w:tblGrid>
        <w:gridCol w:w="3991"/>
        <w:gridCol w:w="1339"/>
        <w:gridCol w:w="1339"/>
        <w:gridCol w:w="1338"/>
        <w:gridCol w:w="1338"/>
      </w:tblGrid>
      <w:tr w:rsidR="00386CBD" w:rsidRPr="00386CBD" w14:paraId="06B6F7F0" w14:textId="77777777" w:rsidTr="00CA4D7F">
        <w:trPr>
          <w:trHeight w:val="300"/>
        </w:trPr>
        <w:tc>
          <w:tcPr>
            <w:tcW w:w="21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63DA" w14:textId="77777777" w:rsidR="00386CBD" w:rsidRPr="00525FE3" w:rsidRDefault="00386CBD" w:rsidP="00AE2861">
            <w:pPr>
              <w:pStyle w:val="Table-Text"/>
              <w:rPr>
                <w:b/>
              </w:rPr>
            </w:pPr>
            <w:r w:rsidRPr="00525FE3">
              <w:rPr>
                <w:b/>
              </w:rPr>
              <w:t>SCR + Reheat</w:t>
            </w:r>
          </w:p>
        </w:tc>
        <w:tc>
          <w:tcPr>
            <w:tcW w:w="1432" w:type="pct"/>
            <w:gridSpan w:val="2"/>
            <w:tcBorders>
              <w:top w:val="single" w:sz="8" w:space="0" w:color="auto"/>
              <w:left w:val="single" w:sz="4" w:space="0" w:color="auto"/>
              <w:bottom w:val="single" w:sz="8" w:space="0" w:color="auto"/>
              <w:right w:val="single" w:sz="8" w:space="0" w:color="000000" w:themeColor="text1"/>
            </w:tcBorders>
            <w:shd w:val="clear" w:color="auto" w:fill="auto"/>
            <w:noWrap/>
            <w:vAlign w:val="center"/>
            <w:hideMark/>
          </w:tcPr>
          <w:p w14:paraId="6ED878A9" w14:textId="77777777" w:rsidR="00386CBD" w:rsidRPr="00525FE3" w:rsidRDefault="5FD6C81B" w:rsidP="3328C818">
            <w:pPr>
              <w:pStyle w:val="Table-Text"/>
              <w:jc w:val="center"/>
              <w:rPr>
                <w:b/>
                <w:bCs/>
              </w:rPr>
            </w:pPr>
            <w:r w:rsidRPr="3328C818">
              <w:rPr>
                <w:b/>
                <w:bCs/>
              </w:rPr>
              <w:t>UTAC Line 1</w:t>
            </w:r>
          </w:p>
        </w:tc>
        <w:tc>
          <w:tcPr>
            <w:tcW w:w="1432" w:type="pct"/>
            <w:gridSpan w:val="2"/>
            <w:tcBorders>
              <w:top w:val="single" w:sz="8" w:space="0" w:color="auto"/>
              <w:left w:val="nil"/>
              <w:bottom w:val="single" w:sz="8" w:space="0" w:color="auto"/>
              <w:right w:val="single" w:sz="8" w:space="0" w:color="000000" w:themeColor="text1"/>
            </w:tcBorders>
            <w:shd w:val="clear" w:color="auto" w:fill="auto"/>
            <w:noWrap/>
            <w:vAlign w:val="center"/>
            <w:hideMark/>
          </w:tcPr>
          <w:p w14:paraId="0199DCC4" w14:textId="77777777" w:rsidR="00386CBD" w:rsidRPr="00525FE3" w:rsidRDefault="5FD6C81B" w:rsidP="3328C818">
            <w:pPr>
              <w:pStyle w:val="Table-Text"/>
              <w:jc w:val="center"/>
              <w:rPr>
                <w:b/>
                <w:bCs/>
              </w:rPr>
            </w:pPr>
            <w:r w:rsidRPr="3328C818">
              <w:rPr>
                <w:b/>
                <w:bCs/>
              </w:rPr>
              <w:t>UTAC Line 2</w:t>
            </w:r>
          </w:p>
        </w:tc>
      </w:tr>
      <w:tr w:rsidR="00386CBD" w:rsidRPr="00386CBD" w14:paraId="7807A787" w14:textId="77777777" w:rsidTr="00CA4D7F">
        <w:trPr>
          <w:trHeight w:val="300"/>
        </w:trPr>
        <w:tc>
          <w:tcPr>
            <w:tcW w:w="2135" w:type="pct"/>
            <w:vMerge/>
            <w:tcBorders>
              <w:top w:val="single" w:sz="8" w:space="0" w:color="000000" w:themeColor="text1"/>
              <w:left w:val="single" w:sz="4" w:space="0" w:color="auto"/>
              <w:bottom w:val="single" w:sz="4" w:space="0" w:color="auto"/>
              <w:right w:val="single" w:sz="4" w:space="0" w:color="auto"/>
            </w:tcBorders>
            <w:vAlign w:val="center"/>
            <w:hideMark/>
          </w:tcPr>
          <w:p w14:paraId="34527686" w14:textId="77777777" w:rsidR="00386CBD" w:rsidRPr="00525FE3" w:rsidRDefault="00386CBD" w:rsidP="00AE2861">
            <w:pPr>
              <w:pStyle w:val="Table-Text"/>
              <w:rPr>
                <w:b/>
              </w:rPr>
            </w:pPr>
          </w:p>
        </w:tc>
        <w:tc>
          <w:tcPr>
            <w:tcW w:w="716" w:type="pct"/>
            <w:tcBorders>
              <w:top w:val="nil"/>
              <w:left w:val="single" w:sz="4" w:space="0" w:color="auto"/>
              <w:bottom w:val="single" w:sz="8" w:space="0" w:color="auto"/>
              <w:right w:val="single" w:sz="8" w:space="0" w:color="auto"/>
            </w:tcBorders>
            <w:shd w:val="clear" w:color="auto" w:fill="auto"/>
            <w:noWrap/>
            <w:vAlign w:val="center"/>
            <w:hideMark/>
          </w:tcPr>
          <w:p w14:paraId="5A99CAD5" w14:textId="77777777" w:rsidR="00386CBD" w:rsidRPr="00525FE3" w:rsidRDefault="5FD6C81B" w:rsidP="3328C818">
            <w:pPr>
              <w:pStyle w:val="Table-Text"/>
              <w:jc w:val="center"/>
              <w:rPr>
                <w:b/>
                <w:bCs/>
              </w:rPr>
            </w:pPr>
            <w:r w:rsidRPr="3328C818">
              <w:rPr>
                <w:b/>
                <w:bCs/>
              </w:rPr>
              <w:t>NPS</w:t>
            </w:r>
          </w:p>
        </w:tc>
        <w:tc>
          <w:tcPr>
            <w:tcW w:w="716" w:type="pct"/>
            <w:tcBorders>
              <w:top w:val="nil"/>
              <w:left w:val="nil"/>
              <w:bottom w:val="single" w:sz="8" w:space="0" w:color="auto"/>
              <w:right w:val="single" w:sz="8" w:space="0" w:color="auto"/>
            </w:tcBorders>
            <w:shd w:val="clear" w:color="auto" w:fill="auto"/>
            <w:noWrap/>
            <w:vAlign w:val="center"/>
            <w:hideMark/>
          </w:tcPr>
          <w:p w14:paraId="59072EE6" w14:textId="77777777" w:rsidR="00386CBD" w:rsidRPr="00525FE3" w:rsidRDefault="5FD6C81B" w:rsidP="3328C818">
            <w:pPr>
              <w:pStyle w:val="Table-Text"/>
              <w:jc w:val="center"/>
              <w:rPr>
                <w:b/>
                <w:bCs/>
              </w:rPr>
            </w:pPr>
            <w:r w:rsidRPr="3328C818">
              <w:rPr>
                <w:b/>
                <w:bCs/>
              </w:rPr>
              <w:t>UTAC</w:t>
            </w:r>
          </w:p>
        </w:tc>
        <w:tc>
          <w:tcPr>
            <w:tcW w:w="716" w:type="pct"/>
            <w:tcBorders>
              <w:top w:val="nil"/>
              <w:left w:val="nil"/>
              <w:bottom w:val="nil"/>
              <w:right w:val="single" w:sz="8" w:space="0" w:color="auto"/>
            </w:tcBorders>
            <w:shd w:val="clear" w:color="auto" w:fill="auto"/>
            <w:noWrap/>
            <w:vAlign w:val="center"/>
            <w:hideMark/>
          </w:tcPr>
          <w:p w14:paraId="039F03BA" w14:textId="77777777" w:rsidR="00386CBD" w:rsidRPr="00525FE3" w:rsidRDefault="5FD6C81B" w:rsidP="3328C818">
            <w:pPr>
              <w:pStyle w:val="Table-Text"/>
              <w:jc w:val="center"/>
              <w:rPr>
                <w:b/>
                <w:bCs/>
              </w:rPr>
            </w:pPr>
            <w:r w:rsidRPr="3328C818">
              <w:rPr>
                <w:b/>
                <w:bCs/>
              </w:rPr>
              <w:t>NPS</w:t>
            </w:r>
          </w:p>
        </w:tc>
        <w:tc>
          <w:tcPr>
            <w:tcW w:w="716" w:type="pct"/>
            <w:tcBorders>
              <w:top w:val="nil"/>
              <w:left w:val="nil"/>
              <w:bottom w:val="nil"/>
              <w:right w:val="single" w:sz="8" w:space="0" w:color="auto"/>
            </w:tcBorders>
            <w:shd w:val="clear" w:color="auto" w:fill="auto"/>
            <w:noWrap/>
            <w:vAlign w:val="center"/>
            <w:hideMark/>
          </w:tcPr>
          <w:p w14:paraId="065EA5B4" w14:textId="77777777" w:rsidR="00386CBD" w:rsidRPr="00525FE3" w:rsidRDefault="5FD6C81B" w:rsidP="3328C818">
            <w:pPr>
              <w:pStyle w:val="Table-Text"/>
              <w:jc w:val="center"/>
              <w:rPr>
                <w:b/>
                <w:bCs/>
              </w:rPr>
            </w:pPr>
            <w:r w:rsidRPr="3328C818">
              <w:rPr>
                <w:b/>
                <w:bCs/>
              </w:rPr>
              <w:t>UTAC</w:t>
            </w:r>
          </w:p>
        </w:tc>
      </w:tr>
      <w:tr w:rsidR="00386CBD" w:rsidRPr="00386CBD" w14:paraId="0D417E39" w14:textId="77777777" w:rsidTr="00CA4D7F">
        <w:trPr>
          <w:trHeight w:hRule="exact" w:val="288"/>
        </w:trPr>
        <w:tc>
          <w:tcPr>
            <w:tcW w:w="2135"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8B2EEA3" w14:textId="77777777" w:rsidR="00386CBD" w:rsidRPr="00386CBD" w:rsidRDefault="00386CBD" w:rsidP="00AE2861">
            <w:pPr>
              <w:pStyle w:val="Table-Text"/>
            </w:pPr>
            <w:r w:rsidRPr="00386CBD">
              <w:t>Capacity (</w:t>
            </w:r>
            <w:proofErr w:type="spellStart"/>
            <w:r w:rsidRPr="00386CBD">
              <w:t>mmBtu</w:t>
            </w:r>
            <w:proofErr w:type="spellEnd"/>
            <w:r w:rsidRPr="00386CBD">
              <w:t>/</w:t>
            </w:r>
            <w:proofErr w:type="spellStart"/>
            <w:r w:rsidRPr="00386CBD">
              <w:t>hr</w:t>
            </w:r>
            <w:proofErr w:type="spellEnd"/>
            <w:r w:rsidRPr="00386CBD">
              <w:t>)</w:t>
            </w:r>
          </w:p>
        </w:tc>
        <w:tc>
          <w:tcPr>
            <w:tcW w:w="716" w:type="pct"/>
            <w:tcBorders>
              <w:top w:val="nil"/>
              <w:left w:val="nil"/>
              <w:bottom w:val="single" w:sz="8" w:space="0" w:color="auto"/>
              <w:right w:val="single" w:sz="8" w:space="0" w:color="auto"/>
            </w:tcBorders>
            <w:shd w:val="clear" w:color="auto" w:fill="auto"/>
            <w:noWrap/>
            <w:vAlign w:val="center"/>
            <w:hideMark/>
          </w:tcPr>
          <w:p w14:paraId="6379C226" w14:textId="77777777" w:rsidR="00386CBD" w:rsidRPr="00386CBD" w:rsidRDefault="5FD6C81B" w:rsidP="3328C818">
            <w:pPr>
              <w:pStyle w:val="Table-Text"/>
              <w:jc w:val="center"/>
            </w:pPr>
            <w:r>
              <w:t>300</w:t>
            </w:r>
          </w:p>
        </w:tc>
        <w:tc>
          <w:tcPr>
            <w:tcW w:w="716" w:type="pct"/>
            <w:tcBorders>
              <w:top w:val="nil"/>
              <w:left w:val="nil"/>
              <w:bottom w:val="single" w:sz="8" w:space="0" w:color="auto"/>
              <w:right w:val="single" w:sz="8" w:space="0" w:color="auto"/>
            </w:tcBorders>
            <w:shd w:val="clear" w:color="auto" w:fill="auto"/>
            <w:noWrap/>
            <w:vAlign w:val="center"/>
            <w:hideMark/>
          </w:tcPr>
          <w:p w14:paraId="511A0AF7" w14:textId="77777777" w:rsidR="00386CBD" w:rsidRPr="00386CBD" w:rsidRDefault="5FD6C81B" w:rsidP="3328C818">
            <w:pPr>
              <w:pStyle w:val="Table-Text"/>
              <w:jc w:val="center"/>
            </w:pPr>
            <w:r>
              <w:t>2,197</w:t>
            </w:r>
          </w:p>
        </w:tc>
        <w:tc>
          <w:tcPr>
            <w:tcW w:w="716" w:type="pct"/>
            <w:tcBorders>
              <w:top w:val="single" w:sz="8" w:space="0" w:color="auto"/>
              <w:left w:val="nil"/>
              <w:bottom w:val="single" w:sz="8" w:space="0" w:color="auto"/>
              <w:right w:val="single" w:sz="8" w:space="0" w:color="auto"/>
            </w:tcBorders>
            <w:shd w:val="clear" w:color="auto" w:fill="auto"/>
            <w:noWrap/>
            <w:vAlign w:val="center"/>
            <w:hideMark/>
          </w:tcPr>
          <w:p w14:paraId="6F23736E" w14:textId="77777777" w:rsidR="00386CBD" w:rsidRPr="00386CBD" w:rsidRDefault="5FD6C81B" w:rsidP="3328C818">
            <w:pPr>
              <w:pStyle w:val="Table-Text"/>
              <w:jc w:val="center"/>
            </w:pPr>
            <w:r>
              <w:t>622</w:t>
            </w:r>
          </w:p>
        </w:tc>
        <w:tc>
          <w:tcPr>
            <w:tcW w:w="716" w:type="pct"/>
            <w:tcBorders>
              <w:top w:val="single" w:sz="8" w:space="0" w:color="auto"/>
              <w:left w:val="nil"/>
              <w:bottom w:val="single" w:sz="8" w:space="0" w:color="auto"/>
              <w:right w:val="single" w:sz="8" w:space="0" w:color="auto"/>
            </w:tcBorders>
            <w:shd w:val="clear" w:color="auto" w:fill="auto"/>
            <w:noWrap/>
            <w:vAlign w:val="center"/>
            <w:hideMark/>
          </w:tcPr>
          <w:p w14:paraId="3E102AAA" w14:textId="77777777" w:rsidR="00386CBD" w:rsidRPr="00386CBD" w:rsidRDefault="5FD6C81B" w:rsidP="3328C818">
            <w:pPr>
              <w:pStyle w:val="Table-Text"/>
              <w:jc w:val="center"/>
            </w:pPr>
            <w:r>
              <w:t>4,455</w:t>
            </w:r>
          </w:p>
        </w:tc>
      </w:tr>
      <w:tr w:rsidR="00386CBD" w:rsidRPr="00386CBD" w14:paraId="63F9C3FF" w14:textId="77777777" w:rsidTr="3328C818">
        <w:trPr>
          <w:trHeight w:hRule="exact" w:val="288"/>
        </w:trPr>
        <w:tc>
          <w:tcPr>
            <w:tcW w:w="2135" w:type="pct"/>
            <w:tcBorders>
              <w:top w:val="nil"/>
              <w:left w:val="single" w:sz="8" w:space="0" w:color="auto"/>
              <w:bottom w:val="single" w:sz="8" w:space="0" w:color="auto"/>
              <w:right w:val="single" w:sz="8" w:space="0" w:color="auto"/>
            </w:tcBorders>
            <w:shd w:val="clear" w:color="auto" w:fill="auto"/>
            <w:noWrap/>
            <w:vAlign w:val="center"/>
            <w:hideMark/>
          </w:tcPr>
          <w:p w14:paraId="2494089B" w14:textId="77777777" w:rsidR="00386CBD" w:rsidRPr="00386CBD" w:rsidRDefault="00386CBD" w:rsidP="00AE2861">
            <w:pPr>
              <w:pStyle w:val="Table-Text"/>
            </w:pPr>
            <w:r w:rsidRPr="00386CBD">
              <w:t>Retrofit factor</w:t>
            </w:r>
          </w:p>
        </w:tc>
        <w:tc>
          <w:tcPr>
            <w:tcW w:w="716" w:type="pct"/>
            <w:tcBorders>
              <w:top w:val="nil"/>
              <w:left w:val="nil"/>
              <w:bottom w:val="single" w:sz="8" w:space="0" w:color="auto"/>
              <w:right w:val="single" w:sz="8" w:space="0" w:color="auto"/>
            </w:tcBorders>
            <w:shd w:val="clear" w:color="auto" w:fill="auto"/>
            <w:noWrap/>
            <w:vAlign w:val="center"/>
            <w:hideMark/>
          </w:tcPr>
          <w:p w14:paraId="5E1AE91D" w14:textId="77777777" w:rsidR="00386CBD" w:rsidRPr="00386CBD" w:rsidRDefault="5FD6C81B" w:rsidP="3328C818">
            <w:pPr>
              <w:pStyle w:val="Table-Text"/>
              <w:jc w:val="center"/>
            </w:pPr>
            <w:r>
              <w:t>1.5</w:t>
            </w:r>
          </w:p>
        </w:tc>
        <w:tc>
          <w:tcPr>
            <w:tcW w:w="716" w:type="pct"/>
            <w:tcBorders>
              <w:top w:val="nil"/>
              <w:left w:val="nil"/>
              <w:bottom w:val="single" w:sz="8" w:space="0" w:color="auto"/>
              <w:right w:val="single" w:sz="8" w:space="0" w:color="auto"/>
            </w:tcBorders>
            <w:shd w:val="clear" w:color="auto" w:fill="auto"/>
            <w:noWrap/>
            <w:vAlign w:val="center"/>
            <w:hideMark/>
          </w:tcPr>
          <w:p w14:paraId="496DF053" w14:textId="77777777" w:rsidR="00386CBD" w:rsidRPr="00386CBD" w:rsidRDefault="5FD6C81B" w:rsidP="3328C818">
            <w:pPr>
              <w:pStyle w:val="Table-Text"/>
              <w:jc w:val="center"/>
            </w:pPr>
            <w:r>
              <w:t>1.6</w:t>
            </w:r>
          </w:p>
        </w:tc>
        <w:tc>
          <w:tcPr>
            <w:tcW w:w="716" w:type="pct"/>
            <w:tcBorders>
              <w:top w:val="nil"/>
              <w:left w:val="nil"/>
              <w:bottom w:val="single" w:sz="8" w:space="0" w:color="auto"/>
              <w:right w:val="single" w:sz="8" w:space="0" w:color="auto"/>
            </w:tcBorders>
            <w:shd w:val="clear" w:color="auto" w:fill="auto"/>
            <w:noWrap/>
            <w:vAlign w:val="center"/>
            <w:hideMark/>
          </w:tcPr>
          <w:p w14:paraId="19A9847C" w14:textId="77777777" w:rsidR="00386CBD" w:rsidRPr="00386CBD" w:rsidRDefault="5FD6C81B" w:rsidP="3328C818">
            <w:pPr>
              <w:pStyle w:val="Table-Text"/>
              <w:jc w:val="center"/>
            </w:pPr>
            <w:r>
              <w:t>1.5</w:t>
            </w:r>
          </w:p>
        </w:tc>
        <w:tc>
          <w:tcPr>
            <w:tcW w:w="716" w:type="pct"/>
            <w:tcBorders>
              <w:top w:val="nil"/>
              <w:left w:val="nil"/>
              <w:bottom w:val="single" w:sz="8" w:space="0" w:color="auto"/>
              <w:right w:val="single" w:sz="8" w:space="0" w:color="auto"/>
            </w:tcBorders>
            <w:shd w:val="clear" w:color="auto" w:fill="auto"/>
            <w:noWrap/>
            <w:vAlign w:val="center"/>
            <w:hideMark/>
          </w:tcPr>
          <w:p w14:paraId="174C44D8" w14:textId="77777777" w:rsidR="00386CBD" w:rsidRPr="00386CBD" w:rsidRDefault="5FD6C81B" w:rsidP="3328C818">
            <w:pPr>
              <w:pStyle w:val="Table-Text"/>
              <w:jc w:val="center"/>
            </w:pPr>
            <w:r>
              <w:t>1.6</w:t>
            </w:r>
          </w:p>
        </w:tc>
      </w:tr>
      <w:tr w:rsidR="00386CBD" w:rsidRPr="00386CBD" w14:paraId="003D331C" w14:textId="77777777" w:rsidTr="3328C818">
        <w:trPr>
          <w:trHeight w:hRule="exact" w:val="288"/>
        </w:trPr>
        <w:tc>
          <w:tcPr>
            <w:tcW w:w="2135" w:type="pct"/>
            <w:tcBorders>
              <w:top w:val="nil"/>
              <w:left w:val="single" w:sz="8" w:space="0" w:color="auto"/>
              <w:bottom w:val="single" w:sz="8" w:space="0" w:color="auto"/>
              <w:right w:val="single" w:sz="8" w:space="0" w:color="auto"/>
            </w:tcBorders>
            <w:shd w:val="clear" w:color="auto" w:fill="auto"/>
            <w:noWrap/>
            <w:vAlign w:val="center"/>
            <w:hideMark/>
          </w:tcPr>
          <w:p w14:paraId="7FE0E9F2" w14:textId="77777777" w:rsidR="00386CBD" w:rsidRPr="00386CBD" w:rsidRDefault="00386CBD" w:rsidP="00AE2861">
            <w:pPr>
              <w:pStyle w:val="Table-Text"/>
            </w:pPr>
            <w:r w:rsidRPr="00386CBD">
              <w:t>CEPCI</w:t>
            </w:r>
          </w:p>
        </w:tc>
        <w:tc>
          <w:tcPr>
            <w:tcW w:w="716" w:type="pct"/>
            <w:tcBorders>
              <w:top w:val="nil"/>
              <w:left w:val="nil"/>
              <w:bottom w:val="single" w:sz="8" w:space="0" w:color="auto"/>
              <w:right w:val="single" w:sz="8" w:space="0" w:color="auto"/>
            </w:tcBorders>
            <w:shd w:val="clear" w:color="auto" w:fill="auto"/>
            <w:noWrap/>
            <w:vAlign w:val="center"/>
            <w:hideMark/>
          </w:tcPr>
          <w:p w14:paraId="727BE0B9" w14:textId="77777777" w:rsidR="00386CBD" w:rsidRPr="00386CBD" w:rsidRDefault="5FD6C81B" w:rsidP="3328C818">
            <w:pPr>
              <w:pStyle w:val="Table-Text"/>
              <w:jc w:val="center"/>
            </w:pPr>
            <w:r>
              <w:t>607.5</w:t>
            </w:r>
          </w:p>
        </w:tc>
        <w:tc>
          <w:tcPr>
            <w:tcW w:w="716" w:type="pct"/>
            <w:tcBorders>
              <w:top w:val="nil"/>
              <w:left w:val="nil"/>
              <w:bottom w:val="single" w:sz="8" w:space="0" w:color="auto"/>
              <w:right w:val="single" w:sz="8" w:space="0" w:color="auto"/>
            </w:tcBorders>
            <w:shd w:val="clear" w:color="auto" w:fill="auto"/>
            <w:noWrap/>
            <w:vAlign w:val="center"/>
            <w:hideMark/>
          </w:tcPr>
          <w:p w14:paraId="15690422" w14:textId="77777777" w:rsidR="00386CBD" w:rsidRPr="00386CBD" w:rsidRDefault="5FD6C81B" w:rsidP="3328C818">
            <w:pPr>
              <w:pStyle w:val="Table-Text"/>
              <w:jc w:val="center"/>
            </w:pPr>
            <w:r>
              <w:t>607.5</w:t>
            </w:r>
          </w:p>
        </w:tc>
        <w:tc>
          <w:tcPr>
            <w:tcW w:w="716" w:type="pct"/>
            <w:tcBorders>
              <w:top w:val="nil"/>
              <w:left w:val="nil"/>
              <w:bottom w:val="single" w:sz="8" w:space="0" w:color="auto"/>
              <w:right w:val="single" w:sz="8" w:space="0" w:color="auto"/>
            </w:tcBorders>
            <w:shd w:val="clear" w:color="auto" w:fill="auto"/>
            <w:noWrap/>
            <w:vAlign w:val="center"/>
            <w:hideMark/>
          </w:tcPr>
          <w:p w14:paraId="78D0479E" w14:textId="77777777" w:rsidR="00386CBD" w:rsidRPr="00386CBD" w:rsidRDefault="5FD6C81B" w:rsidP="3328C818">
            <w:pPr>
              <w:pStyle w:val="Table-Text"/>
              <w:jc w:val="center"/>
            </w:pPr>
            <w:r>
              <w:t>607.5</w:t>
            </w:r>
          </w:p>
        </w:tc>
        <w:tc>
          <w:tcPr>
            <w:tcW w:w="716" w:type="pct"/>
            <w:tcBorders>
              <w:top w:val="nil"/>
              <w:left w:val="nil"/>
              <w:bottom w:val="single" w:sz="8" w:space="0" w:color="auto"/>
              <w:right w:val="single" w:sz="8" w:space="0" w:color="auto"/>
            </w:tcBorders>
            <w:shd w:val="clear" w:color="auto" w:fill="auto"/>
            <w:noWrap/>
            <w:vAlign w:val="center"/>
            <w:hideMark/>
          </w:tcPr>
          <w:p w14:paraId="69586C3C" w14:textId="77777777" w:rsidR="00386CBD" w:rsidRPr="00386CBD" w:rsidRDefault="5FD6C81B" w:rsidP="3328C818">
            <w:pPr>
              <w:pStyle w:val="Table-Text"/>
              <w:jc w:val="center"/>
            </w:pPr>
            <w:r>
              <w:t>607.5</w:t>
            </w:r>
          </w:p>
        </w:tc>
      </w:tr>
      <w:tr w:rsidR="00386CBD" w:rsidRPr="00386CBD" w14:paraId="50B4CAF7" w14:textId="77777777" w:rsidTr="3328C818">
        <w:trPr>
          <w:trHeight w:hRule="exact" w:val="288"/>
        </w:trPr>
        <w:tc>
          <w:tcPr>
            <w:tcW w:w="2135" w:type="pct"/>
            <w:tcBorders>
              <w:top w:val="nil"/>
              <w:left w:val="single" w:sz="8" w:space="0" w:color="auto"/>
              <w:bottom w:val="single" w:sz="8" w:space="0" w:color="auto"/>
              <w:right w:val="single" w:sz="8" w:space="0" w:color="auto"/>
            </w:tcBorders>
            <w:shd w:val="clear" w:color="auto" w:fill="auto"/>
            <w:noWrap/>
            <w:vAlign w:val="center"/>
            <w:hideMark/>
          </w:tcPr>
          <w:p w14:paraId="46DE6F92" w14:textId="77777777" w:rsidR="00386CBD" w:rsidRPr="00386CBD" w:rsidRDefault="00386CBD" w:rsidP="00AE2861">
            <w:pPr>
              <w:pStyle w:val="Table-Text"/>
            </w:pPr>
            <w:r w:rsidRPr="00386CBD">
              <w:t>Capital Cost</w:t>
            </w:r>
          </w:p>
        </w:tc>
        <w:tc>
          <w:tcPr>
            <w:tcW w:w="716" w:type="pct"/>
            <w:tcBorders>
              <w:top w:val="nil"/>
              <w:left w:val="nil"/>
              <w:bottom w:val="single" w:sz="8" w:space="0" w:color="auto"/>
              <w:right w:val="single" w:sz="8" w:space="0" w:color="auto"/>
            </w:tcBorders>
            <w:shd w:val="clear" w:color="auto" w:fill="auto"/>
            <w:noWrap/>
            <w:vAlign w:val="center"/>
            <w:hideMark/>
          </w:tcPr>
          <w:p w14:paraId="5E6B08EF" w14:textId="77777777" w:rsidR="00386CBD" w:rsidRPr="00386CBD" w:rsidRDefault="5FD6C81B" w:rsidP="3328C818">
            <w:pPr>
              <w:pStyle w:val="Table-Text"/>
              <w:jc w:val="center"/>
            </w:pPr>
            <w:r>
              <w:t xml:space="preserve">$12,064,772 </w:t>
            </w:r>
          </w:p>
        </w:tc>
        <w:tc>
          <w:tcPr>
            <w:tcW w:w="716" w:type="pct"/>
            <w:tcBorders>
              <w:top w:val="nil"/>
              <w:left w:val="nil"/>
              <w:bottom w:val="single" w:sz="8" w:space="0" w:color="auto"/>
              <w:right w:val="single" w:sz="8" w:space="0" w:color="auto"/>
            </w:tcBorders>
            <w:shd w:val="clear" w:color="auto" w:fill="auto"/>
            <w:noWrap/>
            <w:vAlign w:val="center"/>
            <w:hideMark/>
          </w:tcPr>
          <w:p w14:paraId="4B429955" w14:textId="77777777" w:rsidR="00386CBD" w:rsidRPr="00386CBD" w:rsidRDefault="5FD6C81B" w:rsidP="3328C818">
            <w:pPr>
              <w:pStyle w:val="Table-Text"/>
              <w:jc w:val="center"/>
            </w:pPr>
            <w:r>
              <w:t xml:space="preserve">$43,637,895 </w:t>
            </w:r>
          </w:p>
        </w:tc>
        <w:tc>
          <w:tcPr>
            <w:tcW w:w="716" w:type="pct"/>
            <w:tcBorders>
              <w:top w:val="nil"/>
              <w:left w:val="nil"/>
              <w:bottom w:val="single" w:sz="8" w:space="0" w:color="auto"/>
              <w:right w:val="single" w:sz="8" w:space="0" w:color="auto"/>
            </w:tcBorders>
            <w:shd w:val="clear" w:color="auto" w:fill="auto"/>
            <w:noWrap/>
            <w:vAlign w:val="center"/>
            <w:hideMark/>
          </w:tcPr>
          <w:p w14:paraId="550129EB" w14:textId="77777777" w:rsidR="00386CBD" w:rsidRPr="00386CBD" w:rsidRDefault="5FD6C81B" w:rsidP="3328C818">
            <w:pPr>
              <w:pStyle w:val="Table-Text"/>
              <w:jc w:val="center"/>
            </w:pPr>
            <w:r>
              <w:t xml:space="preserve">$18,600,939 </w:t>
            </w:r>
          </w:p>
        </w:tc>
        <w:tc>
          <w:tcPr>
            <w:tcW w:w="716" w:type="pct"/>
            <w:tcBorders>
              <w:top w:val="nil"/>
              <w:left w:val="nil"/>
              <w:bottom w:val="single" w:sz="8" w:space="0" w:color="auto"/>
              <w:right w:val="single" w:sz="8" w:space="0" w:color="auto"/>
            </w:tcBorders>
            <w:shd w:val="clear" w:color="auto" w:fill="auto"/>
            <w:noWrap/>
            <w:vAlign w:val="center"/>
            <w:hideMark/>
          </w:tcPr>
          <w:p w14:paraId="28B2069F" w14:textId="77777777" w:rsidR="00386CBD" w:rsidRPr="00386CBD" w:rsidRDefault="5FD6C81B" w:rsidP="3328C818">
            <w:pPr>
              <w:pStyle w:val="Table-Text"/>
              <w:jc w:val="center"/>
            </w:pPr>
            <w:r>
              <w:t xml:space="preserve">$72,550,865 </w:t>
            </w:r>
          </w:p>
        </w:tc>
      </w:tr>
      <w:tr w:rsidR="00386CBD" w:rsidRPr="00386CBD" w14:paraId="6F79CBC6" w14:textId="77777777" w:rsidTr="3328C818">
        <w:trPr>
          <w:trHeight w:hRule="exact" w:val="288"/>
        </w:trPr>
        <w:tc>
          <w:tcPr>
            <w:tcW w:w="2135" w:type="pct"/>
            <w:tcBorders>
              <w:top w:val="nil"/>
              <w:left w:val="single" w:sz="8" w:space="0" w:color="auto"/>
              <w:bottom w:val="single" w:sz="8" w:space="0" w:color="auto"/>
              <w:right w:val="single" w:sz="8" w:space="0" w:color="auto"/>
            </w:tcBorders>
            <w:shd w:val="clear" w:color="auto" w:fill="auto"/>
            <w:noWrap/>
            <w:vAlign w:val="center"/>
            <w:hideMark/>
          </w:tcPr>
          <w:p w14:paraId="42DB5154" w14:textId="77777777" w:rsidR="00386CBD" w:rsidRPr="00386CBD" w:rsidRDefault="00386CBD" w:rsidP="00AE2861">
            <w:pPr>
              <w:pStyle w:val="Table-Text"/>
            </w:pPr>
            <w:r w:rsidRPr="00386CBD">
              <w:t>Interest rate (%)</w:t>
            </w:r>
          </w:p>
        </w:tc>
        <w:tc>
          <w:tcPr>
            <w:tcW w:w="716" w:type="pct"/>
            <w:tcBorders>
              <w:top w:val="nil"/>
              <w:left w:val="nil"/>
              <w:bottom w:val="single" w:sz="8" w:space="0" w:color="auto"/>
              <w:right w:val="single" w:sz="8" w:space="0" w:color="auto"/>
            </w:tcBorders>
            <w:shd w:val="clear" w:color="auto" w:fill="auto"/>
            <w:noWrap/>
            <w:vAlign w:val="center"/>
            <w:hideMark/>
          </w:tcPr>
          <w:p w14:paraId="72CBD70F" w14:textId="77777777" w:rsidR="00386CBD" w:rsidRPr="00B448C7" w:rsidRDefault="5FD6C81B" w:rsidP="3328C818">
            <w:pPr>
              <w:pStyle w:val="Table-Text"/>
              <w:jc w:val="center"/>
              <w:rPr>
                <w:highlight w:val="yellow"/>
              </w:rPr>
            </w:pPr>
            <w:r w:rsidRPr="3328C818">
              <w:rPr>
                <w:highlight w:val="yellow"/>
              </w:rPr>
              <w:t>3.50</w:t>
            </w:r>
          </w:p>
        </w:tc>
        <w:tc>
          <w:tcPr>
            <w:tcW w:w="716" w:type="pct"/>
            <w:tcBorders>
              <w:top w:val="nil"/>
              <w:left w:val="nil"/>
              <w:bottom w:val="single" w:sz="8" w:space="0" w:color="auto"/>
              <w:right w:val="single" w:sz="8" w:space="0" w:color="auto"/>
            </w:tcBorders>
            <w:shd w:val="clear" w:color="auto" w:fill="auto"/>
            <w:noWrap/>
            <w:vAlign w:val="center"/>
            <w:hideMark/>
          </w:tcPr>
          <w:p w14:paraId="11064899" w14:textId="77777777" w:rsidR="00386CBD" w:rsidRPr="00B448C7" w:rsidRDefault="5FD6C81B" w:rsidP="3328C818">
            <w:pPr>
              <w:pStyle w:val="Table-Text"/>
              <w:jc w:val="center"/>
              <w:rPr>
                <w:highlight w:val="yellow"/>
              </w:rPr>
            </w:pPr>
            <w:r w:rsidRPr="3328C818">
              <w:rPr>
                <w:highlight w:val="yellow"/>
              </w:rPr>
              <w:t>5.5</w:t>
            </w:r>
          </w:p>
        </w:tc>
        <w:tc>
          <w:tcPr>
            <w:tcW w:w="716" w:type="pct"/>
            <w:tcBorders>
              <w:top w:val="nil"/>
              <w:left w:val="nil"/>
              <w:bottom w:val="single" w:sz="8" w:space="0" w:color="auto"/>
              <w:right w:val="single" w:sz="8" w:space="0" w:color="auto"/>
            </w:tcBorders>
            <w:shd w:val="clear" w:color="auto" w:fill="auto"/>
            <w:noWrap/>
            <w:vAlign w:val="center"/>
            <w:hideMark/>
          </w:tcPr>
          <w:p w14:paraId="391BC9A8" w14:textId="77777777" w:rsidR="00386CBD" w:rsidRPr="00B448C7" w:rsidRDefault="5FD6C81B" w:rsidP="3328C818">
            <w:pPr>
              <w:pStyle w:val="Table-Text"/>
              <w:jc w:val="center"/>
              <w:rPr>
                <w:highlight w:val="yellow"/>
              </w:rPr>
            </w:pPr>
            <w:r w:rsidRPr="3328C818">
              <w:rPr>
                <w:highlight w:val="yellow"/>
              </w:rPr>
              <w:t>3.50</w:t>
            </w:r>
          </w:p>
        </w:tc>
        <w:tc>
          <w:tcPr>
            <w:tcW w:w="716" w:type="pct"/>
            <w:tcBorders>
              <w:top w:val="nil"/>
              <w:left w:val="nil"/>
              <w:bottom w:val="single" w:sz="8" w:space="0" w:color="auto"/>
              <w:right w:val="single" w:sz="8" w:space="0" w:color="auto"/>
            </w:tcBorders>
            <w:shd w:val="clear" w:color="auto" w:fill="auto"/>
            <w:noWrap/>
            <w:vAlign w:val="center"/>
            <w:hideMark/>
          </w:tcPr>
          <w:p w14:paraId="7A141515" w14:textId="77777777" w:rsidR="00386CBD" w:rsidRPr="00B448C7" w:rsidRDefault="5FD6C81B" w:rsidP="3328C818">
            <w:pPr>
              <w:pStyle w:val="Table-Text"/>
              <w:jc w:val="center"/>
              <w:rPr>
                <w:highlight w:val="yellow"/>
              </w:rPr>
            </w:pPr>
            <w:r w:rsidRPr="3328C818">
              <w:rPr>
                <w:highlight w:val="yellow"/>
              </w:rPr>
              <w:t>5.5</w:t>
            </w:r>
          </w:p>
        </w:tc>
      </w:tr>
      <w:tr w:rsidR="00386CBD" w:rsidRPr="00386CBD" w14:paraId="134E2785" w14:textId="77777777" w:rsidTr="3328C818">
        <w:trPr>
          <w:trHeight w:hRule="exact" w:val="288"/>
        </w:trPr>
        <w:tc>
          <w:tcPr>
            <w:tcW w:w="2135" w:type="pct"/>
            <w:tcBorders>
              <w:top w:val="nil"/>
              <w:left w:val="single" w:sz="8" w:space="0" w:color="auto"/>
              <w:bottom w:val="single" w:sz="8" w:space="0" w:color="auto"/>
              <w:right w:val="single" w:sz="8" w:space="0" w:color="auto"/>
            </w:tcBorders>
            <w:shd w:val="clear" w:color="auto" w:fill="auto"/>
            <w:noWrap/>
            <w:vAlign w:val="center"/>
            <w:hideMark/>
          </w:tcPr>
          <w:p w14:paraId="2E8B6297" w14:textId="77777777" w:rsidR="00386CBD" w:rsidRPr="00386CBD" w:rsidRDefault="00386CBD" w:rsidP="00AE2861">
            <w:pPr>
              <w:pStyle w:val="Table-Text"/>
            </w:pPr>
            <w:r w:rsidRPr="00386CBD">
              <w:t>Control Equipment Life (</w:t>
            </w:r>
            <w:proofErr w:type="spellStart"/>
            <w:r w:rsidRPr="00386CBD">
              <w:t>yr</w:t>
            </w:r>
            <w:proofErr w:type="spellEnd"/>
            <w:r w:rsidRPr="00386CBD">
              <w:t>)</w:t>
            </w:r>
          </w:p>
        </w:tc>
        <w:tc>
          <w:tcPr>
            <w:tcW w:w="716" w:type="pct"/>
            <w:tcBorders>
              <w:top w:val="nil"/>
              <w:left w:val="nil"/>
              <w:bottom w:val="single" w:sz="8" w:space="0" w:color="auto"/>
              <w:right w:val="single" w:sz="8" w:space="0" w:color="auto"/>
            </w:tcBorders>
            <w:shd w:val="clear" w:color="auto" w:fill="auto"/>
            <w:noWrap/>
            <w:vAlign w:val="center"/>
            <w:hideMark/>
          </w:tcPr>
          <w:p w14:paraId="345217D8" w14:textId="77777777" w:rsidR="00386CBD" w:rsidRPr="00386CBD" w:rsidRDefault="5FD6C81B" w:rsidP="3328C818">
            <w:pPr>
              <w:pStyle w:val="Table-Text"/>
              <w:jc w:val="center"/>
            </w:pPr>
            <w:r>
              <w:t>20</w:t>
            </w:r>
          </w:p>
        </w:tc>
        <w:tc>
          <w:tcPr>
            <w:tcW w:w="716" w:type="pct"/>
            <w:tcBorders>
              <w:top w:val="nil"/>
              <w:left w:val="nil"/>
              <w:bottom w:val="single" w:sz="8" w:space="0" w:color="auto"/>
              <w:right w:val="single" w:sz="8" w:space="0" w:color="auto"/>
            </w:tcBorders>
            <w:shd w:val="clear" w:color="auto" w:fill="auto"/>
            <w:noWrap/>
            <w:vAlign w:val="center"/>
            <w:hideMark/>
          </w:tcPr>
          <w:p w14:paraId="4C697CE7" w14:textId="77777777" w:rsidR="00386CBD" w:rsidRPr="00386CBD" w:rsidRDefault="5FD6C81B" w:rsidP="3328C818">
            <w:pPr>
              <w:pStyle w:val="Table-Text"/>
              <w:jc w:val="center"/>
            </w:pPr>
            <w:r>
              <w:t>20</w:t>
            </w:r>
          </w:p>
        </w:tc>
        <w:tc>
          <w:tcPr>
            <w:tcW w:w="716" w:type="pct"/>
            <w:tcBorders>
              <w:top w:val="nil"/>
              <w:left w:val="nil"/>
              <w:bottom w:val="single" w:sz="8" w:space="0" w:color="auto"/>
              <w:right w:val="single" w:sz="8" w:space="0" w:color="auto"/>
            </w:tcBorders>
            <w:shd w:val="clear" w:color="auto" w:fill="auto"/>
            <w:noWrap/>
            <w:vAlign w:val="center"/>
            <w:hideMark/>
          </w:tcPr>
          <w:p w14:paraId="05E9960B" w14:textId="77777777" w:rsidR="00386CBD" w:rsidRPr="00386CBD" w:rsidRDefault="5FD6C81B" w:rsidP="3328C818">
            <w:pPr>
              <w:pStyle w:val="Table-Text"/>
              <w:jc w:val="center"/>
            </w:pPr>
            <w:r>
              <w:t>20</w:t>
            </w:r>
          </w:p>
        </w:tc>
        <w:tc>
          <w:tcPr>
            <w:tcW w:w="716" w:type="pct"/>
            <w:tcBorders>
              <w:top w:val="nil"/>
              <w:left w:val="nil"/>
              <w:bottom w:val="single" w:sz="8" w:space="0" w:color="auto"/>
              <w:right w:val="single" w:sz="8" w:space="0" w:color="auto"/>
            </w:tcBorders>
            <w:shd w:val="clear" w:color="auto" w:fill="auto"/>
            <w:noWrap/>
            <w:vAlign w:val="center"/>
            <w:hideMark/>
          </w:tcPr>
          <w:p w14:paraId="6D2DDB97" w14:textId="77777777" w:rsidR="00386CBD" w:rsidRPr="00386CBD" w:rsidRDefault="5FD6C81B" w:rsidP="3328C818">
            <w:pPr>
              <w:pStyle w:val="Table-Text"/>
              <w:jc w:val="center"/>
            </w:pPr>
            <w:r>
              <w:t>20</w:t>
            </w:r>
          </w:p>
        </w:tc>
      </w:tr>
      <w:tr w:rsidR="00386CBD" w:rsidRPr="00386CBD" w14:paraId="7A759B01" w14:textId="77777777" w:rsidTr="3328C818">
        <w:trPr>
          <w:trHeight w:hRule="exact" w:val="288"/>
        </w:trPr>
        <w:tc>
          <w:tcPr>
            <w:tcW w:w="2135" w:type="pct"/>
            <w:tcBorders>
              <w:top w:val="nil"/>
              <w:left w:val="single" w:sz="8" w:space="0" w:color="auto"/>
              <w:bottom w:val="single" w:sz="8" w:space="0" w:color="auto"/>
              <w:right w:val="single" w:sz="8" w:space="0" w:color="auto"/>
            </w:tcBorders>
            <w:shd w:val="clear" w:color="auto" w:fill="auto"/>
            <w:noWrap/>
            <w:vAlign w:val="center"/>
            <w:hideMark/>
          </w:tcPr>
          <w:p w14:paraId="384ECFF1" w14:textId="77777777" w:rsidR="00386CBD" w:rsidRPr="00386CBD" w:rsidRDefault="00386CBD" w:rsidP="00AE2861">
            <w:pPr>
              <w:pStyle w:val="Table-Text"/>
            </w:pPr>
            <w:r w:rsidRPr="00386CBD">
              <w:t>Capital Recovery Cost</w:t>
            </w:r>
          </w:p>
        </w:tc>
        <w:tc>
          <w:tcPr>
            <w:tcW w:w="716" w:type="pct"/>
            <w:tcBorders>
              <w:top w:val="nil"/>
              <w:left w:val="nil"/>
              <w:bottom w:val="single" w:sz="8" w:space="0" w:color="auto"/>
              <w:right w:val="single" w:sz="8" w:space="0" w:color="auto"/>
            </w:tcBorders>
            <w:shd w:val="clear" w:color="auto" w:fill="auto"/>
            <w:noWrap/>
            <w:vAlign w:val="center"/>
            <w:hideMark/>
          </w:tcPr>
          <w:p w14:paraId="428C13FD" w14:textId="77777777" w:rsidR="00386CBD" w:rsidRPr="00386CBD" w:rsidRDefault="5FD6C81B" w:rsidP="3328C818">
            <w:pPr>
              <w:pStyle w:val="Table-Text"/>
              <w:jc w:val="center"/>
            </w:pPr>
            <w:r>
              <w:t xml:space="preserve">$849,286 </w:t>
            </w:r>
          </w:p>
        </w:tc>
        <w:tc>
          <w:tcPr>
            <w:tcW w:w="716" w:type="pct"/>
            <w:tcBorders>
              <w:top w:val="nil"/>
              <w:left w:val="nil"/>
              <w:bottom w:val="single" w:sz="8" w:space="0" w:color="auto"/>
              <w:right w:val="single" w:sz="8" w:space="0" w:color="auto"/>
            </w:tcBorders>
            <w:shd w:val="clear" w:color="auto" w:fill="auto"/>
            <w:noWrap/>
            <w:vAlign w:val="center"/>
            <w:hideMark/>
          </w:tcPr>
          <w:p w14:paraId="12E796AC" w14:textId="77777777" w:rsidR="00386CBD" w:rsidRPr="00386CBD" w:rsidRDefault="5FD6C81B" w:rsidP="3328C818">
            <w:pPr>
              <w:pStyle w:val="Table-Text"/>
              <w:jc w:val="center"/>
            </w:pPr>
            <w:r>
              <w:t xml:space="preserve">$3,652,470 </w:t>
            </w:r>
          </w:p>
        </w:tc>
        <w:tc>
          <w:tcPr>
            <w:tcW w:w="716" w:type="pct"/>
            <w:tcBorders>
              <w:top w:val="nil"/>
              <w:left w:val="nil"/>
              <w:bottom w:val="single" w:sz="8" w:space="0" w:color="auto"/>
              <w:right w:val="single" w:sz="8" w:space="0" w:color="auto"/>
            </w:tcBorders>
            <w:shd w:val="clear" w:color="auto" w:fill="auto"/>
            <w:noWrap/>
            <w:vAlign w:val="center"/>
            <w:hideMark/>
          </w:tcPr>
          <w:p w14:paraId="598BFC14" w14:textId="77777777" w:rsidR="00386CBD" w:rsidRPr="00386CBD" w:rsidRDefault="5FD6C81B" w:rsidP="3328C818">
            <w:pPr>
              <w:pStyle w:val="Table-Text"/>
              <w:jc w:val="center"/>
            </w:pPr>
            <w:r>
              <w:t xml:space="preserve">$1,309,418 </w:t>
            </w:r>
          </w:p>
        </w:tc>
        <w:tc>
          <w:tcPr>
            <w:tcW w:w="716" w:type="pct"/>
            <w:tcBorders>
              <w:top w:val="nil"/>
              <w:left w:val="nil"/>
              <w:bottom w:val="single" w:sz="8" w:space="0" w:color="auto"/>
              <w:right w:val="single" w:sz="8" w:space="0" w:color="auto"/>
            </w:tcBorders>
            <w:shd w:val="clear" w:color="auto" w:fill="auto"/>
            <w:noWrap/>
            <w:vAlign w:val="center"/>
            <w:hideMark/>
          </w:tcPr>
          <w:p w14:paraId="6A5282ED" w14:textId="77777777" w:rsidR="00386CBD" w:rsidRPr="00386CBD" w:rsidRDefault="5FD6C81B" w:rsidP="3328C818">
            <w:pPr>
              <w:pStyle w:val="Table-Text"/>
              <w:jc w:val="center"/>
            </w:pPr>
            <w:r>
              <w:t xml:space="preserve">$5,500,301 </w:t>
            </w:r>
          </w:p>
        </w:tc>
      </w:tr>
      <w:tr w:rsidR="00386CBD" w:rsidRPr="00386CBD" w14:paraId="1CD7F4AF" w14:textId="77777777" w:rsidTr="3328C818">
        <w:trPr>
          <w:trHeight w:hRule="exact" w:val="288"/>
        </w:trPr>
        <w:tc>
          <w:tcPr>
            <w:tcW w:w="2135" w:type="pct"/>
            <w:tcBorders>
              <w:top w:val="nil"/>
              <w:left w:val="single" w:sz="8" w:space="0" w:color="auto"/>
              <w:bottom w:val="single" w:sz="8" w:space="0" w:color="auto"/>
              <w:right w:val="single" w:sz="8" w:space="0" w:color="auto"/>
            </w:tcBorders>
            <w:shd w:val="clear" w:color="auto" w:fill="auto"/>
            <w:noWrap/>
            <w:vAlign w:val="center"/>
            <w:hideMark/>
          </w:tcPr>
          <w:p w14:paraId="0CC87E8F" w14:textId="77777777" w:rsidR="00386CBD" w:rsidRPr="00386CBD" w:rsidRDefault="00386CBD" w:rsidP="00AE2861">
            <w:pPr>
              <w:pStyle w:val="Table-Text"/>
            </w:pPr>
            <w:r w:rsidRPr="00386CBD">
              <w:t>Reheat Indirect Annual Cost</w:t>
            </w:r>
          </w:p>
        </w:tc>
        <w:tc>
          <w:tcPr>
            <w:tcW w:w="716" w:type="pct"/>
            <w:tcBorders>
              <w:top w:val="nil"/>
              <w:left w:val="nil"/>
              <w:bottom w:val="single" w:sz="8" w:space="0" w:color="auto"/>
              <w:right w:val="single" w:sz="8" w:space="0" w:color="auto"/>
            </w:tcBorders>
            <w:shd w:val="clear" w:color="auto" w:fill="auto"/>
            <w:noWrap/>
            <w:vAlign w:val="center"/>
            <w:hideMark/>
          </w:tcPr>
          <w:p w14:paraId="02ABFDE8" w14:textId="77777777" w:rsidR="00386CBD" w:rsidRPr="00386CBD" w:rsidRDefault="5FD6C81B" w:rsidP="3328C818">
            <w:pPr>
              <w:pStyle w:val="Table-Text"/>
              <w:jc w:val="center"/>
            </w:pPr>
            <w:r>
              <w:t xml:space="preserve">$262,785 </w:t>
            </w:r>
          </w:p>
        </w:tc>
        <w:tc>
          <w:tcPr>
            <w:tcW w:w="716" w:type="pct"/>
            <w:tcBorders>
              <w:top w:val="nil"/>
              <w:left w:val="nil"/>
              <w:bottom w:val="single" w:sz="8" w:space="0" w:color="auto"/>
              <w:right w:val="single" w:sz="8" w:space="0" w:color="auto"/>
            </w:tcBorders>
            <w:shd w:val="clear" w:color="auto" w:fill="auto"/>
            <w:noWrap/>
            <w:vAlign w:val="center"/>
            <w:hideMark/>
          </w:tcPr>
          <w:p w14:paraId="1B386B79" w14:textId="77777777" w:rsidR="00386CBD" w:rsidRPr="00386CBD" w:rsidRDefault="5FD6C81B" w:rsidP="3328C818">
            <w:pPr>
              <w:pStyle w:val="Table-Text"/>
              <w:jc w:val="center"/>
            </w:pPr>
            <w:r>
              <w:t xml:space="preserve">$90,349 </w:t>
            </w:r>
          </w:p>
        </w:tc>
        <w:tc>
          <w:tcPr>
            <w:tcW w:w="716" w:type="pct"/>
            <w:tcBorders>
              <w:top w:val="nil"/>
              <w:left w:val="nil"/>
              <w:bottom w:val="single" w:sz="8" w:space="0" w:color="auto"/>
              <w:right w:val="single" w:sz="8" w:space="0" w:color="auto"/>
            </w:tcBorders>
            <w:shd w:val="clear" w:color="auto" w:fill="auto"/>
            <w:noWrap/>
            <w:vAlign w:val="center"/>
            <w:hideMark/>
          </w:tcPr>
          <w:p w14:paraId="5E7FD1A8" w14:textId="77777777" w:rsidR="00386CBD" w:rsidRPr="00386CBD" w:rsidRDefault="5FD6C81B" w:rsidP="3328C818">
            <w:pPr>
              <w:pStyle w:val="Table-Text"/>
              <w:jc w:val="center"/>
            </w:pPr>
            <w:r>
              <w:t>310,139</w:t>
            </w:r>
          </w:p>
        </w:tc>
        <w:tc>
          <w:tcPr>
            <w:tcW w:w="716" w:type="pct"/>
            <w:tcBorders>
              <w:top w:val="nil"/>
              <w:left w:val="nil"/>
              <w:bottom w:val="single" w:sz="8" w:space="0" w:color="auto"/>
              <w:right w:val="single" w:sz="8" w:space="0" w:color="auto"/>
            </w:tcBorders>
            <w:shd w:val="clear" w:color="auto" w:fill="auto"/>
            <w:noWrap/>
            <w:vAlign w:val="center"/>
            <w:hideMark/>
          </w:tcPr>
          <w:p w14:paraId="689AFC8F" w14:textId="77777777" w:rsidR="00386CBD" w:rsidRPr="00386CBD" w:rsidRDefault="5FD6C81B" w:rsidP="3328C818">
            <w:pPr>
              <w:pStyle w:val="Table-Text"/>
              <w:jc w:val="center"/>
            </w:pPr>
            <w:r>
              <w:t xml:space="preserve">$106,540 </w:t>
            </w:r>
          </w:p>
        </w:tc>
      </w:tr>
      <w:tr w:rsidR="00386CBD" w:rsidRPr="00386CBD" w14:paraId="69825AC7" w14:textId="77777777" w:rsidTr="3328C818">
        <w:trPr>
          <w:trHeight w:hRule="exact" w:val="288"/>
        </w:trPr>
        <w:tc>
          <w:tcPr>
            <w:tcW w:w="2135" w:type="pct"/>
            <w:tcBorders>
              <w:top w:val="nil"/>
              <w:left w:val="single" w:sz="8" w:space="0" w:color="auto"/>
              <w:bottom w:val="single" w:sz="8" w:space="0" w:color="auto"/>
              <w:right w:val="single" w:sz="8" w:space="0" w:color="auto"/>
            </w:tcBorders>
            <w:shd w:val="clear" w:color="auto" w:fill="auto"/>
            <w:noWrap/>
            <w:vAlign w:val="center"/>
            <w:hideMark/>
          </w:tcPr>
          <w:p w14:paraId="23D2A548" w14:textId="77777777" w:rsidR="00386CBD" w:rsidRPr="00386CBD" w:rsidRDefault="00386CBD" w:rsidP="00AE2861">
            <w:pPr>
              <w:pStyle w:val="Table-Text"/>
            </w:pPr>
            <w:r w:rsidRPr="00386CBD">
              <w:t>Indirect Cost/Fixed O&amp;M</w:t>
            </w:r>
          </w:p>
        </w:tc>
        <w:tc>
          <w:tcPr>
            <w:tcW w:w="716" w:type="pct"/>
            <w:tcBorders>
              <w:top w:val="nil"/>
              <w:left w:val="nil"/>
              <w:bottom w:val="single" w:sz="8" w:space="0" w:color="auto"/>
              <w:right w:val="single" w:sz="8" w:space="0" w:color="auto"/>
            </w:tcBorders>
            <w:shd w:val="clear" w:color="auto" w:fill="auto"/>
            <w:noWrap/>
            <w:vAlign w:val="center"/>
            <w:hideMark/>
          </w:tcPr>
          <w:p w14:paraId="631B8E7A" w14:textId="77777777" w:rsidR="00386CBD" w:rsidRPr="00386CBD" w:rsidRDefault="5FD6C81B" w:rsidP="3328C818">
            <w:pPr>
              <w:pStyle w:val="Table-Text"/>
              <w:jc w:val="center"/>
            </w:pPr>
            <w:r>
              <w:t xml:space="preserve">$980,974 </w:t>
            </w:r>
          </w:p>
        </w:tc>
        <w:tc>
          <w:tcPr>
            <w:tcW w:w="716" w:type="pct"/>
            <w:tcBorders>
              <w:top w:val="nil"/>
              <w:left w:val="nil"/>
              <w:bottom w:val="single" w:sz="8" w:space="0" w:color="auto"/>
              <w:right w:val="single" w:sz="8" w:space="0" w:color="auto"/>
            </w:tcBorders>
            <w:shd w:val="clear" w:color="auto" w:fill="auto"/>
            <w:noWrap/>
            <w:vAlign w:val="center"/>
            <w:hideMark/>
          </w:tcPr>
          <w:p w14:paraId="3335B790" w14:textId="77777777" w:rsidR="00386CBD" w:rsidRPr="00386CBD" w:rsidRDefault="5FD6C81B" w:rsidP="3328C818">
            <w:pPr>
              <w:pStyle w:val="Table-Text"/>
              <w:jc w:val="center"/>
            </w:pPr>
            <w:r>
              <w:t xml:space="preserve">$3,772,408 </w:t>
            </w:r>
          </w:p>
        </w:tc>
        <w:tc>
          <w:tcPr>
            <w:tcW w:w="716" w:type="pct"/>
            <w:tcBorders>
              <w:top w:val="nil"/>
              <w:left w:val="nil"/>
              <w:bottom w:val="single" w:sz="8" w:space="0" w:color="auto"/>
              <w:right w:val="single" w:sz="8" w:space="0" w:color="auto"/>
            </w:tcBorders>
            <w:shd w:val="clear" w:color="auto" w:fill="auto"/>
            <w:noWrap/>
            <w:vAlign w:val="center"/>
            <w:hideMark/>
          </w:tcPr>
          <w:p w14:paraId="2ECFCF9A" w14:textId="77777777" w:rsidR="00386CBD" w:rsidRPr="00386CBD" w:rsidRDefault="5FD6C81B" w:rsidP="3328C818">
            <w:pPr>
              <w:pStyle w:val="Table-Text"/>
              <w:jc w:val="center"/>
            </w:pPr>
            <w:r>
              <w:t xml:space="preserve">$1,463,167 </w:t>
            </w:r>
          </w:p>
        </w:tc>
        <w:tc>
          <w:tcPr>
            <w:tcW w:w="716" w:type="pct"/>
            <w:tcBorders>
              <w:top w:val="nil"/>
              <w:left w:val="nil"/>
              <w:bottom w:val="single" w:sz="8" w:space="0" w:color="auto"/>
              <w:right w:val="single" w:sz="8" w:space="0" w:color="auto"/>
            </w:tcBorders>
            <w:shd w:val="clear" w:color="auto" w:fill="auto"/>
            <w:noWrap/>
            <w:vAlign w:val="center"/>
            <w:hideMark/>
          </w:tcPr>
          <w:p w14:paraId="755C1AF0" w14:textId="77777777" w:rsidR="00386CBD" w:rsidRPr="00386CBD" w:rsidRDefault="5FD6C81B" w:rsidP="3328C818">
            <w:pPr>
              <w:pStyle w:val="Table-Text"/>
              <w:jc w:val="center"/>
            </w:pPr>
            <w:r>
              <w:t xml:space="preserve">$6,182,554 </w:t>
            </w:r>
          </w:p>
        </w:tc>
      </w:tr>
      <w:tr w:rsidR="00386CBD" w:rsidRPr="00386CBD" w14:paraId="1F5634F8" w14:textId="77777777" w:rsidTr="3328C818">
        <w:trPr>
          <w:trHeight w:hRule="exact" w:val="288"/>
        </w:trPr>
        <w:tc>
          <w:tcPr>
            <w:tcW w:w="2135" w:type="pct"/>
            <w:tcBorders>
              <w:top w:val="nil"/>
              <w:left w:val="single" w:sz="8" w:space="0" w:color="auto"/>
              <w:bottom w:val="single" w:sz="8" w:space="0" w:color="auto"/>
              <w:right w:val="single" w:sz="8" w:space="0" w:color="auto"/>
            </w:tcBorders>
            <w:shd w:val="clear" w:color="auto" w:fill="auto"/>
            <w:noWrap/>
            <w:vAlign w:val="center"/>
            <w:hideMark/>
          </w:tcPr>
          <w:p w14:paraId="48E16C38" w14:textId="77777777" w:rsidR="00386CBD" w:rsidRPr="00386CBD" w:rsidRDefault="00386CBD" w:rsidP="00AE2861">
            <w:pPr>
              <w:pStyle w:val="Table-Text"/>
            </w:pPr>
            <w:r w:rsidRPr="00386CBD">
              <w:t>Reheat Direct Annual Cost</w:t>
            </w:r>
          </w:p>
        </w:tc>
        <w:tc>
          <w:tcPr>
            <w:tcW w:w="716" w:type="pct"/>
            <w:tcBorders>
              <w:top w:val="nil"/>
              <w:left w:val="nil"/>
              <w:bottom w:val="single" w:sz="8" w:space="0" w:color="auto"/>
              <w:right w:val="single" w:sz="8" w:space="0" w:color="auto"/>
            </w:tcBorders>
            <w:shd w:val="clear" w:color="auto" w:fill="auto"/>
            <w:noWrap/>
            <w:vAlign w:val="center"/>
            <w:hideMark/>
          </w:tcPr>
          <w:p w14:paraId="0B0177B7" w14:textId="77777777" w:rsidR="00386CBD" w:rsidRPr="00386CBD" w:rsidRDefault="5FD6C81B" w:rsidP="3328C818">
            <w:pPr>
              <w:pStyle w:val="Table-Text"/>
              <w:jc w:val="center"/>
            </w:pPr>
            <w:r>
              <w:t xml:space="preserve">$4,678,480 </w:t>
            </w:r>
          </w:p>
        </w:tc>
        <w:tc>
          <w:tcPr>
            <w:tcW w:w="716" w:type="pct"/>
            <w:tcBorders>
              <w:top w:val="nil"/>
              <w:left w:val="nil"/>
              <w:bottom w:val="single" w:sz="8" w:space="0" w:color="auto"/>
              <w:right w:val="single" w:sz="8" w:space="0" w:color="auto"/>
            </w:tcBorders>
            <w:shd w:val="clear" w:color="auto" w:fill="auto"/>
            <w:noWrap/>
            <w:vAlign w:val="center"/>
            <w:hideMark/>
          </w:tcPr>
          <w:p w14:paraId="525A5303" w14:textId="77777777" w:rsidR="00386CBD" w:rsidRPr="00386CBD" w:rsidRDefault="5FD6C81B" w:rsidP="3328C818">
            <w:pPr>
              <w:pStyle w:val="Table-Text"/>
              <w:jc w:val="center"/>
            </w:pPr>
            <w:r>
              <w:t xml:space="preserve">$15,468,890 </w:t>
            </w:r>
          </w:p>
        </w:tc>
        <w:tc>
          <w:tcPr>
            <w:tcW w:w="716" w:type="pct"/>
            <w:tcBorders>
              <w:top w:val="nil"/>
              <w:left w:val="nil"/>
              <w:bottom w:val="single" w:sz="8" w:space="0" w:color="auto"/>
              <w:right w:val="single" w:sz="8" w:space="0" w:color="auto"/>
            </w:tcBorders>
            <w:shd w:val="clear" w:color="auto" w:fill="auto"/>
            <w:noWrap/>
            <w:vAlign w:val="center"/>
            <w:hideMark/>
          </w:tcPr>
          <w:p w14:paraId="6E2F8862" w14:textId="77777777" w:rsidR="00386CBD" w:rsidRPr="00386CBD" w:rsidRDefault="5FD6C81B" w:rsidP="3328C818">
            <w:pPr>
              <w:pStyle w:val="Table-Text"/>
              <w:jc w:val="center"/>
            </w:pPr>
            <w:r>
              <w:t xml:space="preserve">$10,738,805 </w:t>
            </w:r>
          </w:p>
        </w:tc>
        <w:tc>
          <w:tcPr>
            <w:tcW w:w="716" w:type="pct"/>
            <w:tcBorders>
              <w:top w:val="nil"/>
              <w:left w:val="nil"/>
              <w:bottom w:val="single" w:sz="8" w:space="0" w:color="auto"/>
              <w:right w:val="single" w:sz="8" w:space="0" w:color="auto"/>
            </w:tcBorders>
            <w:shd w:val="clear" w:color="auto" w:fill="auto"/>
            <w:noWrap/>
            <w:vAlign w:val="center"/>
            <w:hideMark/>
          </w:tcPr>
          <w:p w14:paraId="308FFFD4" w14:textId="77777777" w:rsidR="00386CBD" w:rsidRPr="00386CBD" w:rsidRDefault="5FD6C81B" w:rsidP="3328C818">
            <w:pPr>
              <w:pStyle w:val="Table-Text"/>
              <w:jc w:val="center"/>
            </w:pPr>
            <w:r>
              <w:t xml:space="preserve">$31,434,467 </w:t>
            </w:r>
          </w:p>
        </w:tc>
      </w:tr>
      <w:tr w:rsidR="00386CBD" w:rsidRPr="00386CBD" w14:paraId="59974C10" w14:textId="77777777" w:rsidTr="3328C818">
        <w:trPr>
          <w:trHeight w:hRule="exact" w:val="288"/>
        </w:trPr>
        <w:tc>
          <w:tcPr>
            <w:tcW w:w="2135" w:type="pct"/>
            <w:tcBorders>
              <w:top w:val="nil"/>
              <w:left w:val="single" w:sz="8" w:space="0" w:color="auto"/>
              <w:bottom w:val="single" w:sz="8" w:space="0" w:color="auto"/>
              <w:right w:val="single" w:sz="8" w:space="0" w:color="auto"/>
            </w:tcBorders>
            <w:shd w:val="clear" w:color="auto" w:fill="auto"/>
            <w:noWrap/>
            <w:vAlign w:val="center"/>
            <w:hideMark/>
          </w:tcPr>
          <w:p w14:paraId="493AD679" w14:textId="77777777" w:rsidR="00386CBD" w:rsidRPr="00386CBD" w:rsidRDefault="00386CBD" w:rsidP="00AE2861">
            <w:pPr>
              <w:pStyle w:val="Table-Text"/>
            </w:pPr>
            <w:r w:rsidRPr="00386CBD">
              <w:t>Catalyst Life (</w:t>
            </w:r>
            <w:proofErr w:type="spellStart"/>
            <w:r w:rsidRPr="00386CBD">
              <w:t>hr</w:t>
            </w:r>
            <w:proofErr w:type="spellEnd"/>
            <w:r w:rsidRPr="00386CBD">
              <w:t>)</w:t>
            </w:r>
          </w:p>
        </w:tc>
        <w:tc>
          <w:tcPr>
            <w:tcW w:w="716" w:type="pct"/>
            <w:tcBorders>
              <w:top w:val="nil"/>
              <w:left w:val="nil"/>
              <w:bottom w:val="single" w:sz="8" w:space="0" w:color="auto"/>
              <w:right w:val="single" w:sz="8" w:space="0" w:color="auto"/>
            </w:tcBorders>
            <w:shd w:val="clear" w:color="auto" w:fill="auto"/>
            <w:noWrap/>
            <w:vAlign w:val="center"/>
            <w:hideMark/>
          </w:tcPr>
          <w:p w14:paraId="7142CBA0" w14:textId="77777777" w:rsidR="00386CBD" w:rsidRPr="00B448C7" w:rsidRDefault="5FD6C81B" w:rsidP="3328C818">
            <w:pPr>
              <w:pStyle w:val="Table-Text"/>
              <w:jc w:val="center"/>
              <w:rPr>
                <w:highlight w:val="yellow"/>
              </w:rPr>
            </w:pPr>
            <w:r w:rsidRPr="3328C818">
              <w:rPr>
                <w:highlight w:val="yellow"/>
              </w:rPr>
              <w:t>16,000</w:t>
            </w:r>
          </w:p>
        </w:tc>
        <w:tc>
          <w:tcPr>
            <w:tcW w:w="716" w:type="pct"/>
            <w:tcBorders>
              <w:top w:val="nil"/>
              <w:left w:val="nil"/>
              <w:bottom w:val="single" w:sz="8" w:space="0" w:color="auto"/>
              <w:right w:val="single" w:sz="8" w:space="0" w:color="auto"/>
            </w:tcBorders>
            <w:shd w:val="clear" w:color="auto" w:fill="auto"/>
            <w:noWrap/>
            <w:vAlign w:val="center"/>
            <w:hideMark/>
          </w:tcPr>
          <w:p w14:paraId="2A8ABA01" w14:textId="77777777" w:rsidR="00386CBD" w:rsidRPr="00B448C7" w:rsidRDefault="5FD6C81B" w:rsidP="3328C818">
            <w:pPr>
              <w:pStyle w:val="Table-Text"/>
              <w:jc w:val="center"/>
              <w:rPr>
                <w:highlight w:val="yellow"/>
              </w:rPr>
            </w:pPr>
            <w:r w:rsidRPr="3328C818">
              <w:rPr>
                <w:highlight w:val="yellow"/>
              </w:rPr>
              <w:t>8,000</w:t>
            </w:r>
          </w:p>
        </w:tc>
        <w:tc>
          <w:tcPr>
            <w:tcW w:w="716" w:type="pct"/>
            <w:tcBorders>
              <w:top w:val="nil"/>
              <w:left w:val="nil"/>
              <w:bottom w:val="single" w:sz="8" w:space="0" w:color="auto"/>
              <w:right w:val="single" w:sz="8" w:space="0" w:color="auto"/>
            </w:tcBorders>
            <w:shd w:val="clear" w:color="auto" w:fill="auto"/>
            <w:noWrap/>
            <w:vAlign w:val="center"/>
            <w:hideMark/>
          </w:tcPr>
          <w:p w14:paraId="270E7C06" w14:textId="77777777" w:rsidR="00386CBD" w:rsidRPr="00B448C7" w:rsidRDefault="5FD6C81B" w:rsidP="3328C818">
            <w:pPr>
              <w:pStyle w:val="Table-Text"/>
              <w:jc w:val="center"/>
              <w:rPr>
                <w:highlight w:val="yellow"/>
              </w:rPr>
            </w:pPr>
            <w:r w:rsidRPr="3328C818">
              <w:rPr>
                <w:highlight w:val="yellow"/>
              </w:rPr>
              <w:t>16,000</w:t>
            </w:r>
          </w:p>
        </w:tc>
        <w:tc>
          <w:tcPr>
            <w:tcW w:w="716" w:type="pct"/>
            <w:tcBorders>
              <w:top w:val="nil"/>
              <w:left w:val="nil"/>
              <w:bottom w:val="single" w:sz="8" w:space="0" w:color="auto"/>
              <w:right w:val="single" w:sz="8" w:space="0" w:color="auto"/>
            </w:tcBorders>
            <w:shd w:val="clear" w:color="auto" w:fill="auto"/>
            <w:noWrap/>
            <w:vAlign w:val="center"/>
            <w:hideMark/>
          </w:tcPr>
          <w:p w14:paraId="71B8CCD7" w14:textId="77777777" w:rsidR="00386CBD" w:rsidRPr="00B448C7" w:rsidRDefault="5FD6C81B" w:rsidP="3328C818">
            <w:pPr>
              <w:pStyle w:val="Table-Text"/>
              <w:jc w:val="center"/>
              <w:rPr>
                <w:highlight w:val="yellow"/>
              </w:rPr>
            </w:pPr>
            <w:r w:rsidRPr="3328C818">
              <w:rPr>
                <w:highlight w:val="yellow"/>
              </w:rPr>
              <w:t>8,000</w:t>
            </w:r>
          </w:p>
        </w:tc>
      </w:tr>
      <w:tr w:rsidR="00386CBD" w:rsidRPr="00386CBD" w14:paraId="74E78FEA" w14:textId="77777777" w:rsidTr="3328C818">
        <w:trPr>
          <w:trHeight w:hRule="exact" w:val="288"/>
        </w:trPr>
        <w:tc>
          <w:tcPr>
            <w:tcW w:w="2135" w:type="pct"/>
            <w:tcBorders>
              <w:top w:val="nil"/>
              <w:left w:val="single" w:sz="8" w:space="0" w:color="auto"/>
              <w:bottom w:val="single" w:sz="8" w:space="0" w:color="auto"/>
              <w:right w:val="single" w:sz="8" w:space="0" w:color="auto"/>
            </w:tcBorders>
            <w:shd w:val="clear" w:color="auto" w:fill="auto"/>
            <w:noWrap/>
            <w:vAlign w:val="center"/>
            <w:hideMark/>
          </w:tcPr>
          <w:p w14:paraId="1C4DFAAD" w14:textId="77777777" w:rsidR="00386CBD" w:rsidRPr="00386CBD" w:rsidRDefault="00386CBD" w:rsidP="00AE2861">
            <w:pPr>
              <w:pStyle w:val="Table-Text"/>
            </w:pPr>
            <w:r w:rsidRPr="00386CBD">
              <w:t>Catalyst Replacement Cost</w:t>
            </w:r>
          </w:p>
        </w:tc>
        <w:tc>
          <w:tcPr>
            <w:tcW w:w="716" w:type="pct"/>
            <w:tcBorders>
              <w:top w:val="nil"/>
              <w:left w:val="nil"/>
              <w:bottom w:val="single" w:sz="8" w:space="0" w:color="auto"/>
              <w:right w:val="single" w:sz="8" w:space="0" w:color="auto"/>
            </w:tcBorders>
            <w:shd w:val="clear" w:color="auto" w:fill="auto"/>
            <w:noWrap/>
            <w:vAlign w:val="center"/>
            <w:hideMark/>
          </w:tcPr>
          <w:p w14:paraId="769671CC" w14:textId="77777777" w:rsidR="00386CBD" w:rsidRPr="00386CBD" w:rsidRDefault="5FD6C81B" w:rsidP="3328C818">
            <w:pPr>
              <w:pStyle w:val="Table-Text"/>
              <w:jc w:val="center"/>
            </w:pPr>
            <w:r>
              <w:t xml:space="preserve">$85,076 </w:t>
            </w:r>
          </w:p>
        </w:tc>
        <w:tc>
          <w:tcPr>
            <w:tcW w:w="716" w:type="pct"/>
            <w:tcBorders>
              <w:top w:val="nil"/>
              <w:left w:val="nil"/>
              <w:bottom w:val="single" w:sz="8" w:space="0" w:color="auto"/>
              <w:right w:val="single" w:sz="8" w:space="0" w:color="auto"/>
            </w:tcBorders>
            <w:shd w:val="clear" w:color="auto" w:fill="auto"/>
            <w:noWrap/>
            <w:vAlign w:val="center"/>
            <w:hideMark/>
          </w:tcPr>
          <w:p w14:paraId="04988CBC" w14:textId="77777777" w:rsidR="00386CBD" w:rsidRPr="00386CBD" w:rsidRDefault="5FD6C81B" w:rsidP="3328C818">
            <w:pPr>
              <w:pStyle w:val="Table-Text"/>
              <w:jc w:val="center"/>
            </w:pPr>
            <w:r>
              <w:t xml:space="preserve">$763,512 </w:t>
            </w:r>
          </w:p>
        </w:tc>
        <w:tc>
          <w:tcPr>
            <w:tcW w:w="716" w:type="pct"/>
            <w:tcBorders>
              <w:top w:val="nil"/>
              <w:left w:val="nil"/>
              <w:bottom w:val="single" w:sz="8" w:space="0" w:color="auto"/>
              <w:right w:val="single" w:sz="8" w:space="0" w:color="auto"/>
            </w:tcBorders>
            <w:shd w:val="clear" w:color="auto" w:fill="auto"/>
            <w:noWrap/>
            <w:vAlign w:val="center"/>
            <w:hideMark/>
          </w:tcPr>
          <w:p w14:paraId="6B5BB1E1" w14:textId="77777777" w:rsidR="00386CBD" w:rsidRPr="00386CBD" w:rsidRDefault="5FD6C81B" w:rsidP="3328C818">
            <w:pPr>
              <w:pStyle w:val="Table-Text"/>
              <w:jc w:val="center"/>
            </w:pPr>
            <w:r>
              <w:t xml:space="preserve">$163,129 </w:t>
            </w:r>
          </w:p>
        </w:tc>
        <w:tc>
          <w:tcPr>
            <w:tcW w:w="716" w:type="pct"/>
            <w:tcBorders>
              <w:top w:val="nil"/>
              <w:left w:val="nil"/>
              <w:bottom w:val="single" w:sz="8" w:space="0" w:color="auto"/>
              <w:right w:val="single" w:sz="8" w:space="0" w:color="auto"/>
            </w:tcBorders>
            <w:shd w:val="clear" w:color="auto" w:fill="auto"/>
            <w:noWrap/>
            <w:vAlign w:val="center"/>
            <w:hideMark/>
          </w:tcPr>
          <w:p w14:paraId="37C3FDAC" w14:textId="77777777" w:rsidR="00386CBD" w:rsidRPr="00386CBD" w:rsidRDefault="5FD6C81B" w:rsidP="3328C818">
            <w:pPr>
              <w:pStyle w:val="Table-Text"/>
              <w:jc w:val="center"/>
            </w:pPr>
            <w:r>
              <w:t xml:space="preserve">$1,523,872 </w:t>
            </w:r>
          </w:p>
        </w:tc>
      </w:tr>
      <w:tr w:rsidR="00386CBD" w:rsidRPr="00386CBD" w14:paraId="11D1EDF6" w14:textId="77777777" w:rsidTr="3328C818">
        <w:trPr>
          <w:trHeight w:hRule="exact" w:val="288"/>
        </w:trPr>
        <w:tc>
          <w:tcPr>
            <w:tcW w:w="2135" w:type="pct"/>
            <w:tcBorders>
              <w:top w:val="nil"/>
              <w:left w:val="single" w:sz="8" w:space="0" w:color="auto"/>
              <w:bottom w:val="single" w:sz="8" w:space="0" w:color="auto"/>
              <w:right w:val="single" w:sz="8" w:space="0" w:color="auto"/>
            </w:tcBorders>
            <w:shd w:val="clear" w:color="auto" w:fill="auto"/>
            <w:noWrap/>
            <w:vAlign w:val="center"/>
            <w:hideMark/>
          </w:tcPr>
          <w:p w14:paraId="7288FB71" w14:textId="77777777" w:rsidR="00386CBD" w:rsidRPr="00386CBD" w:rsidRDefault="00386CBD" w:rsidP="00AE2861">
            <w:pPr>
              <w:pStyle w:val="Table-Text"/>
            </w:pPr>
            <w:r w:rsidRPr="00386CBD">
              <w:t>Direct Cost/Variable O&amp;M</w:t>
            </w:r>
          </w:p>
        </w:tc>
        <w:tc>
          <w:tcPr>
            <w:tcW w:w="716" w:type="pct"/>
            <w:tcBorders>
              <w:top w:val="nil"/>
              <w:left w:val="nil"/>
              <w:bottom w:val="single" w:sz="8" w:space="0" w:color="auto"/>
              <w:right w:val="single" w:sz="8" w:space="0" w:color="auto"/>
            </w:tcBorders>
            <w:shd w:val="clear" w:color="auto" w:fill="auto"/>
            <w:noWrap/>
            <w:vAlign w:val="center"/>
            <w:hideMark/>
          </w:tcPr>
          <w:p w14:paraId="0C230C93" w14:textId="77777777" w:rsidR="00386CBD" w:rsidRPr="00386CBD" w:rsidRDefault="5FD6C81B" w:rsidP="3328C818">
            <w:pPr>
              <w:pStyle w:val="Table-Text"/>
              <w:jc w:val="center"/>
            </w:pPr>
            <w:r>
              <w:t xml:space="preserve">$5,398,834 </w:t>
            </w:r>
          </w:p>
        </w:tc>
        <w:tc>
          <w:tcPr>
            <w:tcW w:w="716" w:type="pct"/>
            <w:tcBorders>
              <w:top w:val="nil"/>
              <w:left w:val="nil"/>
              <w:bottom w:val="single" w:sz="8" w:space="0" w:color="auto"/>
              <w:right w:val="single" w:sz="8" w:space="0" w:color="auto"/>
            </w:tcBorders>
            <w:shd w:val="clear" w:color="auto" w:fill="auto"/>
            <w:noWrap/>
            <w:vAlign w:val="center"/>
            <w:hideMark/>
          </w:tcPr>
          <w:p w14:paraId="37A613E2" w14:textId="77777777" w:rsidR="00386CBD" w:rsidRPr="00386CBD" w:rsidRDefault="5FD6C81B" w:rsidP="3328C818">
            <w:pPr>
              <w:pStyle w:val="Table-Text"/>
              <w:jc w:val="center"/>
            </w:pPr>
            <w:r>
              <w:t xml:space="preserve">$17,578,490 </w:t>
            </w:r>
          </w:p>
        </w:tc>
        <w:tc>
          <w:tcPr>
            <w:tcW w:w="716" w:type="pct"/>
            <w:tcBorders>
              <w:top w:val="nil"/>
              <w:left w:val="nil"/>
              <w:bottom w:val="single" w:sz="8" w:space="0" w:color="auto"/>
              <w:right w:val="single" w:sz="8" w:space="0" w:color="auto"/>
            </w:tcBorders>
            <w:shd w:val="clear" w:color="auto" w:fill="auto"/>
            <w:noWrap/>
            <w:vAlign w:val="center"/>
            <w:hideMark/>
          </w:tcPr>
          <w:p w14:paraId="79558C94" w14:textId="77777777" w:rsidR="00386CBD" w:rsidRPr="00386CBD" w:rsidRDefault="5FD6C81B" w:rsidP="3328C818">
            <w:pPr>
              <w:pStyle w:val="Table-Text"/>
              <w:jc w:val="center"/>
            </w:pPr>
            <w:r>
              <w:t xml:space="preserve">$11,847,347 </w:t>
            </w:r>
          </w:p>
        </w:tc>
        <w:tc>
          <w:tcPr>
            <w:tcW w:w="716" w:type="pct"/>
            <w:tcBorders>
              <w:top w:val="nil"/>
              <w:left w:val="nil"/>
              <w:bottom w:val="single" w:sz="8" w:space="0" w:color="auto"/>
              <w:right w:val="single" w:sz="8" w:space="0" w:color="auto"/>
            </w:tcBorders>
            <w:shd w:val="clear" w:color="auto" w:fill="auto"/>
            <w:noWrap/>
            <w:vAlign w:val="center"/>
            <w:hideMark/>
          </w:tcPr>
          <w:p w14:paraId="61FF14E8" w14:textId="77777777" w:rsidR="00386CBD" w:rsidRPr="00386CBD" w:rsidRDefault="5FD6C81B" w:rsidP="3328C818">
            <w:pPr>
              <w:pStyle w:val="Table-Text"/>
              <w:jc w:val="center"/>
            </w:pPr>
            <w:r>
              <w:t xml:space="preserve">$35,153,534 </w:t>
            </w:r>
          </w:p>
        </w:tc>
      </w:tr>
      <w:tr w:rsidR="00386CBD" w:rsidRPr="00386CBD" w14:paraId="15F4E5AE" w14:textId="77777777" w:rsidTr="3328C818">
        <w:trPr>
          <w:trHeight w:hRule="exact" w:val="288"/>
        </w:trPr>
        <w:tc>
          <w:tcPr>
            <w:tcW w:w="2135" w:type="pct"/>
            <w:tcBorders>
              <w:top w:val="nil"/>
              <w:left w:val="single" w:sz="8" w:space="0" w:color="auto"/>
              <w:bottom w:val="single" w:sz="8" w:space="0" w:color="auto"/>
              <w:right w:val="single" w:sz="8" w:space="0" w:color="auto"/>
            </w:tcBorders>
            <w:shd w:val="clear" w:color="auto" w:fill="auto"/>
            <w:noWrap/>
            <w:vAlign w:val="center"/>
            <w:hideMark/>
          </w:tcPr>
          <w:p w14:paraId="3DA2BC80" w14:textId="77777777" w:rsidR="00386CBD" w:rsidRPr="00386CBD" w:rsidRDefault="00386CBD" w:rsidP="00AE2861">
            <w:pPr>
              <w:pStyle w:val="Table-Text"/>
            </w:pPr>
            <w:r w:rsidRPr="00386CBD">
              <w:t>Total Annual Cost</w:t>
            </w:r>
          </w:p>
        </w:tc>
        <w:tc>
          <w:tcPr>
            <w:tcW w:w="716" w:type="pct"/>
            <w:tcBorders>
              <w:top w:val="nil"/>
              <w:left w:val="nil"/>
              <w:bottom w:val="single" w:sz="8" w:space="0" w:color="auto"/>
              <w:right w:val="single" w:sz="8" w:space="0" w:color="auto"/>
            </w:tcBorders>
            <w:shd w:val="clear" w:color="auto" w:fill="auto"/>
            <w:noWrap/>
            <w:vAlign w:val="center"/>
            <w:hideMark/>
          </w:tcPr>
          <w:p w14:paraId="272654F1" w14:textId="77777777" w:rsidR="00386CBD" w:rsidRPr="00386CBD" w:rsidRDefault="5FD6C81B" w:rsidP="3328C818">
            <w:pPr>
              <w:pStyle w:val="Table-Text"/>
              <w:jc w:val="center"/>
            </w:pPr>
            <w:r>
              <w:t xml:space="preserve">$6,379,808 </w:t>
            </w:r>
          </w:p>
        </w:tc>
        <w:tc>
          <w:tcPr>
            <w:tcW w:w="716" w:type="pct"/>
            <w:tcBorders>
              <w:top w:val="nil"/>
              <w:left w:val="nil"/>
              <w:bottom w:val="single" w:sz="8" w:space="0" w:color="auto"/>
              <w:right w:val="single" w:sz="8" w:space="0" w:color="auto"/>
            </w:tcBorders>
            <w:shd w:val="clear" w:color="auto" w:fill="auto"/>
            <w:noWrap/>
            <w:vAlign w:val="center"/>
            <w:hideMark/>
          </w:tcPr>
          <w:p w14:paraId="04955E3F" w14:textId="77777777" w:rsidR="00386CBD" w:rsidRPr="00386CBD" w:rsidRDefault="5FD6C81B" w:rsidP="3328C818">
            <w:pPr>
              <w:pStyle w:val="Table-Text"/>
              <w:jc w:val="center"/>
            </w:pPr>
            <w:r>
              <w:t xml:space="preserve">$21,350,897 </w:t>
            </w:r>
          </w:p>
        </w:tc>
        <w:tc>
          <w:tcPr>
            <w:tcW w:w="716" w:type="pct"/>
            <w:tcBorders>
              <w:top w:val="nil"/>
              <w:left w:val="nil"/>
              <w:bottom w:val="single" w:sz="8" w:space="0" w:color="auto"/>
              <w:right w:val="single" w:sz="8" w:space="0" w:color="auto"/>
            </w:tcBorders>
            <w:shd w:val="clear" w:color="auto" w:fill="auto"/>
            <w:noWrap/>
            <w:vAlign w:val="center"/>
            <w:hideMark/>
          </w:tcPr>
          <w:p w14:paraId="714D4F4E" w14:textId="77777777" w:rsidR="00386CBD" w:rsidRPr="00386CBD" w:rsidRDefault="5FD6C81B" w:rsidP="3328C818">
            <w:pPr>
              <w:pStyle w:val="Table-Text"/>
              <w:jc w:val="center"/>
            </w:pPr>
            <w:r>
              <w:t xml:space="preserve">$13,310,515 </w:t>
            </w:r>
          </w:p>
        </w:tc>
        <w:tc>
          <w:tcPr>
            <w:tcW w:w="716" w:type="pct"/>
            <w:tcBorders>
              <w:top w:val="nil"/>
              <w:left w:val="nil"/>
              <w:bottom w:val="single" w:sz="8" w:space="0" w:color="auto"/>
              <w:right w:val="single" w:sz="8" w:space="0" w:color="auto"/>
            </w:tcBorders>
            <w:shd w:val="clear" w:color="auto" w:fill="auto"/>
            <w:noWrap/>
            <w:vAlign w:val="center"/>
            <w:hideMark/>
          </w:tcPr>
          <w:p w14:paraId="3DE85AEC" w14:textId="77777777" w:rsidR="00386CBD" w:rsidRPr="00386CBD" w:rsidRDefault="5FD6C81B" w:rsidP="3328C818">
            <w:pPr>
              <w:pStyle w:val="Table-Text"/>
              <w:jc w:val="center"/>
            </w:pPr>
            <w:r>
              <w:t xml:space="preserve">$41,336,088 </w:t>
            </w:r>
          </w:p>
        </w:tc>
      </w:tr>
      <w:tr w:rsidR="00386CBD" w:rsidRPr="00386CBD" w14:paraId="4EF98FC6" w14:textId="77777777" w:rsidTr="3328C818">
        <w:trPr>
          <w:trHeight w:hRule="exact" w:val="288"/>
        </w:trPr>
        <w:tc>
          <w:tcPr>
            <w:tcW w:w="2135" w:type="pct"/>
            <w:tcBorders>
              <w:top w:val="nil"/>
              <w:left w:val="single" w:sz="8" w:space="0" w:color="auto"/>
              <w:bottom w:val="single" w:sz="8" w:space="0" w:color="auto"/>
              <w:right w:val="single" w:sz="8" w:space="0" w:color="auto"/>
            </w:tcBorders>
            <w:shd w:val="clear" w:color="auto" w:fill="auto"/>
            <w:noWrap/>
            <w:vAlign w:val="center"/>
            <w:hideMark/>
          </w:tcPr>
          <w:p w14:paraId="6F1C04CC" w14:textId="77777777" w:rsidR="00386CBD" w:rsidRPr="00386CBD" w:rsidRDefault="00386CBD" w:rsidP="00AE2861">
            <w:pPr>
              <w:pStyle w:val="Table-Text"/>
            </w:pPr>
            <w:r w:rsidRPr="00386CBD">
              <w:t>Uncontrolled NO</w:t>
            </w:r>
            <w:r w:rsidRPr="00386CBD">
              <w:rPr>
                <w:vertAlign w:val="subscript"/>
              </w:rPr>
              <w:t>x</w:t>
            </w:r>
            <w:r w:rsidRPr="00386CBD">
              <w:t xml:space="preserve"> Emissions (Tons/</w:t>
            </w:r>
            <w:proofErr w:type="spellStart"/>
            <w:r w:rsidRPr="00386CBD">
              <w:t>yr</w:t>
            </w:r>
            <w:proofErr w:type="spellEnd"/>
            <w:r w:rsidRPr="00386CBD">
              <w:t>)</w:t>
            </w:r>
          </w:p>
        </w:tc>
        <w:tc>
          <w:tcPr>
            <w:tcW w:w="716" w:type="pct"/>
            <w:tcBorders>
              <w:top w:val="nil"/>
              <w:left w:val="nil"/>
              <w:bottom w:val="single" w:sz="8" w:space="0" w:color="auto"/>
              <w:right w:val="single" w:sz="8" w:space="0" w:color="auto"/>
            </w:tcBorders>
            <w:shd w:val="clear" w:color="auto" w:fill="auto"/>
            <w:noWrap/>
            <w:vAlign w:val="center"/>
            <w:hideMark/>
          </w:tcPr>
          <w:p w14:paraId="20F0F5FB" w14:textId="77777777" w:rsidR="00386CBD" w:rsidRPr="00386CBD" w:rsidRDefault="5FD6C81B" w:rsidP="3328C818">
            <w:pPr>
              <w:pStyle w:val="Table-Text"/>
              <w:jc w:val="center"/>
            </w:pPr>
            <w:r>
              <w:t>1324</w:t>
            </w:r>
          </w:p>
        </w:tc>
        <w:tc>
          <w:tcPr>
            <w:tcW w:w="716" w:type="pct"/>
            <w:tcBorders>
              <w:top w:val="nil"/>
              <w:left w:val="nil"/>
              <w:bottom w:val="single" w:sz="8" w:space="0" w:color="auto"/>
              <w:right w:val="single" w:sz="8" w:space="0" w:color="auto"/>
            </w:tcBorders>
            <w:shd w:val="clear" w:color="auto" w:fill="auto"/>
            <w:noWrap/>
            <w:vAlign w:val="center"/>
            <w:hideMark/>
          </w:tcPr>
          <w:p w14:paraId="57195900" w14:textId="77777777" w:rsidR="00386CBD" w:rsidRPr="00386CBD" w:rsidRDefault="5FD6C81B" w:rsidP="3328C818">
            <w:pPr>
              <w:pStyle w:val="Table-Text"/>
              <w:jc w:val="center"/>
            </w:pPr>
            <w:r>
              <w:t>1325</w:t>
            </w:r>
          </w:p>
        </w:tc>
        <w:tc>
          <w:tcPr>
            <w:tcW w:w="716" w:type="pct"/>
            <w:tcBorders>
              <w:top w:val="nil"/>
              <w:left w:val="nil"/>
              <w:bottom w:val="single" w:sz="8" w:space="0" w:color="auto"/>
              <w:right w:val="single" w:sz="8" w:space="0" w:color="auto"/>
            </w:tcBorders>
            <w:shd w:val="clear" w:color="auto" w:fill="auto"/>
            <w:noWrap/>
            <w:vAlign w:val="center"/>
            <w:hideMark/>
          </w:tcPr>
          <w:p w14:paraId="02784566" w14:textId="77777777" w:rsidR="00386CBD" w:rsidRPr="00386CBD" w:rsidRDefault="5FD6C81B" w:rsidP="3328C818">
            <w:pPr>
              <w:pStyle w:val="Table-Text"/>
              <w:jc w:val="center"/>
            </w:pPr>
            <w:r>
              <w:t>1876</w:t>
            </w:r>
          </w:p>
        </w:tc>
        <w:tc>
          <w:tcPr>
            <w:tcW w:w="716" w:type="pct"/>
            <w:tcBorders>
              <w:top w:val="nil"/>
              <w:left w:val="nil"/>
              <w:bottom w:val="single" w:sz="8" w:space="0" w:color="auto"/>
              <w:right w:val="single" w:sz="8" w:space="0" w:color="auto"/>
            </w:tcBorders>
            <w:shd w:val="clear" w:color="auto" w:fill="auto"/>
            <w:noWrap/>
            <w:vAlign w:val="center"/>
            <w:hideMark/>
          </w:tcPr>
          <w:p w14:paraId="5B0AF8D9" w14:textId="77777777" w:rsidR="00386CBD" w:rsidRPr="00386CBD" w:rsidRDefault="5FD6C81B" w:rsidP="3328C818">
            <w:pPr>
              <w:pStyle w:val="Table-Text"/>
              <w:jc w:val="center"/>
            </w:pPr>
            <w:r>
              <w:t>1874</w:t>
            </w:r>
          </w:p>
        </w:tc>
      </w:tr>
      <w:tr w:rsidR="00386CBD" w:rsidRPr="00386CBD" w14:paraId="2CC10F10" w14:textId="77777777" w:rsidTr="3328C818">
        <w:trPr>
          <w:trHeight w:hRule="exact" w:val="288"/>
        </w:trPr>
        <w:tc>
          <w:tcPr>
            <w:tcW w:w="2135" w:type="pct"/>
            <w:tcBorders>
              <w:top w:val="nil"/>
              <w:left w:val="single" w:sz="8" w:space="0" w:color="auto"/>
              <w:bottom w:val="single" w:sz="8" w:space="0" w:color="auto"/>
              <w:right w:val="single" w:sz="8" w:space="0" w:color="auto"/>
            </w:tcBorders>
            <w:shd w:val="clear" w:color="auto" w:fill="auto"/>
            <w:noWrap/>
            <w:vAlign w:val="center"/>
            <w:hideMark/>
          </w:tcPr>
          <w:p w14:paraId="570D81D5" w14:textId="060DDA29" w:rsidR="00386CBD" w:rsidRPr="00386CBD" w:rsidRDefault="00386CBD" w:rsidP="00AE2861">
            <w:pPr>
              <w:pStyle w:val="Table-Text"/>
            </w:pPr>
            <w:r w:rsidRPr="00386CBD">
              <w:t>Uncontrolled NO</w:t>
            </w:r>
            <w:r w:rsidRPr="00386CBD">
              <w:rPr>
                <w:vertAlign w:val="subscript"/>
              </w:rPr>
              <w:t>x</w:t>
            </w:r>
            <w:r w:rsidRPr="00386CBD">
              <w:t xml:space="preserve"> Emission Rate (</w:t>
            </w:r>
            <w:proofErr w:type="spellStart"/>
            <w:r w:rsidRPr="00386CBD">
              <w:t>lb</w:t>
            </w:r>
            <w:proofErr w:type="spellEnd"/>
            <w:r w:rsidRPr="00386CBD">
              <w:t>/</w:t>
            </w:r>
            <w:proofErr w:type="spellStart"/>
            <w:r w:rsidRPr="00386CBD">
              <w:t>mm</w:t>
            </w:r>
            <w:r w:rsidR="00321D17">
              <w:t>B</w:t>
            </w:r>
            <w:r w:rsidRPr="00386CBD">
              <w:t>tu</w:t>
            </w:r>
            <w:proofErr w:type="spellEnd"/>
            <w:r w:rsidRPr="00386CBD">
              <w:t>)</w:t>
            </w:r>
          </w:p>
        </w:tc>
        <w:tc>
          <w:tcPr>
            <w:tcW w:w="716" w:type="pct"/>
            <w:tcBorders>
              <w:top w:val="nil"/>
              <w:left w:val="nil"/>
              <w:bottom w:val="single" w:sz="8" w:space="0" w:color="auto"/>
              <w:right w:val="single" w:sz="8" w:space="0" w:color="auto"/>
            </w:tcBorders>
            <w:shd w:val="clear" w:color="auto" w:fill="auto"/>
            <w:noWrap/>
            <w:vAlign w:val="center"/>
            <w:hideMark/>
          </w:tcPr>
          <w:p w14:paraId="3C3ABF97" w14:textId="77777777" w:rsidR="00386CBD" w:rsidRPr="00B448C7" w:rsidRDefault="5FD6C81B" w:rsidP="3328C818">
            <w:pPr>
              <w:pStyle w:val="Table-Text"/>
              <w:jc w:val="center"/>
              <w:rPr>
                <w:highlight w:val="yellow"/>
              </w:rPr>
            </w:pPr>
            <w:r w:rsidRPr="3328C818">
              <w:rPr>
                <w:highlight w:val="yellow"/>
              </w:rPr>
              <w:t>1.83</w:t>
            </w:r>
          </w:p>
        </w:tc>
        <w:tc>
          <w:tcPr>
            <w:tcW w:w="716" w:type="pct"/>
            <w:tcBorders>
              <w:top w:val="nil"/>
              <w:left w:val="nil"/>
              <w:bottom w:val="single" w:sz="8" w:space="0" w:color="auto"/>
              <w:right w:val="single" w:sz="8" w:space="0" w:color="auto"/>
            </w:tcBorders>
            <w:shd w:val="clear" w:color="auto" w:fill="auto"/>
            <w:noWrap/>
            <w:vAlign w:val="center"/>
            <w:hideMark/>
          </w:tcPr>
          <w:p w14:paraId="34D4DD52" w14:textId="77777777" w:rsidR="00386CBD" w:rsidRPr="00B448C7" w:rsidRDefault="5FD6C81B" w:rsidP="3328C818">
            <w:pPr>
              <w:pStyle w:val="Table-Text"/>
              <w:jc w:val="center"/>
              <w:rPr>
                <w:highlight w:val="yellow"/>
              </w:rPr>
            </w:pPr>
            <w:r w:rsidRPr="3328C818">
              <w:rPr>
                <w:highlight w:val="yellow"/>
              </w:rPr>
              <w:t>0.16</w:t>
            </w:r>
          </w:p>
        </w:tc>
        <w:tc>
          <w:tcPr>
            <w:tcW w:w="716" w:type="pct"/>
            <w:tcBorders>
              <w:top w:val="nil"/>
              <w:left w:val="nil"/>
              <w:bottom w:val="single" w:sz="8" w:space="0" w:color="auto"/>
              <w:right w:val="single" w:sz="8" w:space="0" w:color="auto"/>
            </w:tcBorders>
            <w:shd w:val="clear" w:color="auto" w:fill="auto"/>
            <w:noWrap/>
            <w:vAlign w:val="center"/>
            <w:hideMark/>
          </w:tcPr>
          <w:p w14:paraId="653B67FB" w14:textId="77777777" w:rsidR="00386CBD" w:rsidRPr="00B448C7" w:rsidRDefault="5FD6C81B" w:rsidP="3328C818">
            <w:pPr>
              <w:pStyle w:val="Table-Text"/>
              <w:jc w:val="center"/>
              <w:rPr>
                <w:highlight w:val="yellow"/>
              </w:rPr>
            </w:pPr>
            <w:r w:rsidRPr="3328C818">
              <w:rPr>
                <w:highlight w:val="yellow"/>
              </w:rPr>
              <w:t>1.22</w:t>
            </w:r>
          </w:p>
        </w:tc>
        <w:tc>
          <w:tcPr>
            <w:tcW w:w="716" w:type="pct"/>
            <w:tcBorders>
              <w:top w:val="nil"/>
              <w:left w:val="nil"/>
              <w:bottom w:val="single" w:sz="8" w:space="0" w:color="auto"/>
              <w:right w:val="single" w:sz="8" w:space="0" w:color="auto"/>
            </w:tcBorders>
            <w:shd w:val="clear" w:color="auto" w:fill="auto"/>
            <w:noWrap/>
            <w:vAlign w:val="center"/>
            <w:hideMark/>
          </w:tcPr>
          <w:p w14:paraId="3310F62E" w14:textId="77777777" w:rsidR="00386CBD" w:rsidRPr="00B448C7" w:rsidRDefault="5FD6C81B" w:rsidP="3328C818">
            <w:pPr>
              <w:pStyle w:val="Table-Text"/>
              <w:jc w:val="center"/>
              <w:rPr>
                <w:highlight w:val="yellow"/>
              </w:rPr>
            </w:pPr>
            <w:r w:rsidRPr="3328C818">
              <w:rPr>
                <w:highlight w:val="yellow"/>
              </w:rPr>
              <w:t>0.11</w:t>
            </w:r>
          </w:p>
        </w:tc>
      </w:tr>
      <w:tr w:rsidR="00386CBD" w:rsidRPr="00386CBD" w14:paraId="188B4637" w14:textId="77777777" w:rsidTr="3328C818">
        <w:trPr>
          <w:trHeight w:hRule="exact" w:val="288"/>
        </w:trPr>
        <w:tc>
          <w:tcPr>
            <w:tcW w:w="2135" w:type="pct"/>
            <w:tcBorders>
              <w:top w:val="nil"/>
              <w:left w:val="single" w:sz="8" w:space="0" w:color="auto"/>
              <w:bottom w:val="single" w:sz="8" w:space="0" w:color="auto"/>
              <w:right w:val="single" w:sz="8" w:space="0" w:color="auto"/>
            </w:tcBorders>
            <w:shd w:val="clear" w:color="auto" w:fill="auto"/>
            <w:noWrap/>
            <w:vAlign w:val="center"/>
            <w:hideMark/>
          </w:tcPr>
          <w:p w14:paraId="056BB62D" w14:textId="77777777" w:rsidR="00386CBD" w:rsidRPr="00386CBD" w:rsidRDefault="00386CBD" w:rsidP="00AE2861">
            <w:pPr>
              <w:pStyle w:val="Table-Text"/>
            </w:pPr>
            <w:r w:rsidRPr="00386CBD">
              <w:t>NO</w:t>
            </w:r>
            <w:r w:rsidRPr="00386CBD">
              <w:rPr>
                <w:vertAlign w:val="subscript"/>
              </w:rPr>
              <w:t>x</w:t>
            </w:r>
            <w:r w:rsidRPr="00386CBD">
              <w:t xml:space="preserve"> Removal Efficiency (%)</w:t>
            </w:r>
          </w:p>
        </w:tc>
        <w:tc>
          <w:tcPr>
            <w:tcW w:w="716" w:type="pct"/>
            <w:tcBorders>
              <w:top w:val="nil"/>
              <w:left w:val="nil"/>
              <w:bottom w:val="single" w:sz="8" w:space="0" w:color="auto"/>
              <w:right w:val="single" w:sz="8" w:space="0" w:color="auto"/>
            </w:tcBorders>
            <w:shd w:val="clear" w:color="auto" w:fill="auto"/>
            <w:noWrap/>
            <w:vAlign w:val="center"/>
            <w:hideMark/>
          </w:tcPr>
          <w:p w14:paraId="10389C44" w14:textId="77777777" w:rsidR="00386CBD" w:rsidRPr="00B448C7" w:rsidRDefault="5FD6C81B" w:rsidP="3328C818">
            <w:pPr>
              <w:pStyle w:val="Table-Text"/>
              <w:jc w:val="center"/>
              <w:rPr>
                <w:highlight w:val="yellow"/>
              </w:rPr>
            </w:pPr>
            <w:r w:rsidRPr="3328C818">
              <w:rPr>
                <w:highlight w:val="yellow"/>
              </w:rPr>
              <w:t>80</w:t>
            </w:r>
          </w:p>
        </w:tc>
        <w:tc>
          <w:tcPr>
            <w:tcW w:w="716" w:type="pct"/>
            <w:tcBorders>
              <w:top w:val="nil"/>
              <w:left w:val="nil"/>
              <w:bottom w:val="single" w:sz="8" w:space="0" w:color="auto"/>
              <w:right w:val="single" w:sz="8" w:space="0" w:color="auto"/>
            </w:tcBorders>
            <w:shd w:val="clear" w:color="auto" w:fill="auto"/>
            <w:noWrap/>
            <w:vAlign w:val="center"/>
            <w:hideMark/>
          </w:tcPr>
          <w:p w14:paraId="66CF8DDB" w14:textId="77777777" w:rsidR="00386CBD" w:rsidRPr="00B448C7" w:rsidRDefault="5FD6C81B" w:rsidP="3328C818">
            <w:pPr>
              <w:pStyle w:val="Table-Text"/>
              <w:jc w:val="center"/>
              <w:rPr>
                <w:highlight w:val="yellow"/>
              </w:rPr>
            </w:pPr>
            <w:r w:rsidRPr="3328C818">
              <w:rPr>
                <w:highlight w:val="yellow"/>
              </w:rPr>
              <w:t>50</w:t>
            </w:r>
          </w:p>
        </w:tc>
        <w:tc>
          <w:tcPr>
            <w:tcW w:w="716" w:type="pct"/>
            <w:tcBorders>
              <w:top w:val="nil"/>
              <w:left w:val="nil"/>
              <w:bottom w:val="single" w:sz="8" w:space="0" w:color="auto"/>
              <w:right w:val="single" w:sz="8" w:space="0" w:color="auto"/>
            </w:tcBorders>
            <w:shd w:val="clear" w:color="auto" w:fill="auto"/>
            <w:noWrap/>
            <w:vAlign w:val="center"/>
            <w:hideMark/>
          </w:tcPr>
          <w:p w14:paraId="4381EA64" w14:textId="77777777" w:rsidR="00386CBD" w:rsidRPr="00B448C7" w:rsidRDefault="5FD6C81B" w:rsidP="3328C818">
            <w:pPr>
              <w:pStyle w:val="Table-Text"/>
              <w:jc w:val="center"/>
              <w:rPr>
                <w:highlight w:val="yellow"/>
              </w:rPr>
            </w:pPr>
            <w:r w:rsidRPr="3328C818">
              <w:rPr>
                <w:highlight w:val="yellow"/>
              </w:rPr>
              <w:t>80</w:t>
            </w:r>
          </w:p>
        </w:tc>
        <w:tc>
          <w:tcPr>
            <w:tcW w:w="716" w:type="pct"/>
            <w:tcBorders>
              <w:top w:val="nil"/>
              <w:left w:val="nil"/>
              <w:bottom w:val="single" w:sz="8" w:space="0" w:color="auto"/>
              <w:right w:val="single" w:sz="8" w:space="0" w:color="auto"/>
            </w:tcBorders>
            <w:shd w:val="clear" w:color="auto" w:fill="auto"/>
            <w:noWrap/>
            <w:vAlign w:val="center"/>
            <w:hideMark/>
          </w:tcPr>
          <w:p w14:paraId="6A09E461" w14:textId="77777777" w:rsidR="00386CBD" w:rsidRPr="00B448C7" w:rsidRDefault="5FD6C81B" w:rsidP="3328C818">
            <w:pPr>
              <w:pStyle w:val="Table-Text"/>
              <w:jc w:val="center"/>
              <w:rPr>
                <w:highlight w:val="yellow"/>
              </w:rPr>
            </w:pPr>
            <w:r w:rsidRPr="3328C818">
              <w:rPr>
                <w:highlight w:val="yellow"/>
              </w:rPr>
              <w:t>50</w:t>
            </w:r>
          </w:p>
        </w:tc>
      </w:tr>
      <w:tr w:rsidR="00386CBD" w:rsidRPr="00386CBD" w14:paraId="59EF4866" w14:textId="77777777" w:rsidTr="3328C818">
        <w:trPr>
          <w:trHeight w:hRule="exact" w:val="288"/>
        </w:trPr>
        <w:tc>
          <w:tcPr>
            <w:tcW w:w="2135" w:type="pct"/>
            <w:tcBorders>
              <w:top w:val="nil"/>
              <w:left w:val="single" w:sz="8" w:space="0" w:color="auto"/>
              <w:bottom w:val="single" w:sz="8" w:space="0" w:color="auto"/>
              <w:right w:val="single" w:sz="8" w:space="0" w:color="auto"/>
            </w:tcBorders>
            <w:shd w:val="clear" w:color="auto" w:fill="auto"/>
            <w:noWrap/>
            <w:vAlign w:val="center"/>
            <w:hideMark/>
          </w:tcPr>
          <w:p w14:paraId="321171D1" w14:textId="5C770952" w:rsidR="00386CBD" w:rsidRPr="00386CBD" w:rsidRDefault="00386CBD" w:rsidP="00AE2861">
            <w:pPr>
              <w:pStyle w:val="Table-Text"/>
            </w:pPr>
            <w:r w:rsidRPr="00386CBD">
              <w:t>Controlled NO</w:t>
            </w:r>
            <w:r w:rsidRPr="00386CBD">
              <w:rPr>
                <w:vertAlign w:val="subscript"/>
              </w:rPr>
              <w:t>x</w:t>
            </w:r>
            <w:r w:rsidRPr="00386CBD">
              <w:t xml:space="preserve"> Emission Rate (</w:t>
            </w:r>
            <w:proofErr w:type="spellStart"/>
            <w:r w:rsidRPr="00386CBD">
              <w:t>lb</w:t>
            </w:r>
            <w:proofErr w:type="spellEnd"/>
            <w:r w:rsidRPr="00386CBD">
              <w:t>/</w:t>
            </w:r>
            <w:proofErr w:type="spellStart"/>
            <w:r w:rsidRPr="00386CBD">
              <w:t>mm</w:t>
            </w:r>
            <w:r w:rsidR="00321D17">
              <w:t>B</w:t>
            </w:r>
            <w:r w:rsidRPr="00386CBD">
              <w:t>tu</w:t>
            </w:r>
            <w:proofErr w:type="spellEnd"/>
            <w:r w:rsidRPr="00386CBD">
              <w:t>)</w:t>
            </w:r>
          </w:p>
        </w:tc>
        <w:tc>
          <w:tcPr>
            <w:tcW w:w="716" w:type="pct"/>
            <w:tcBorders>
              <w:top w:val="nil"/>
              <w:left w:val="nil"/>
              <w:bottom w:val="single" w:sz="8" w:space="0" w:color="auto"/>
              <w:right w:val="single" w:sz="8" w:space="0" w:color="auto"/>
            </w:tcBorders>
            <w:shd w:val="clear" w:color="auto" w:fill="auto"/>
            <w:noWrap/>
            <w:vAlign w:val="center"/>
            <w:hideMark/>
          </w:tcPr>
          <w:p w14:paraId="62481D7D" w14:textId="77777777" w:rsidR="00386CBD" w:rsidRPr="00B448C7" w:rsidRDefault="5FD6C81B" w:rsidP="3328C818">
            <w:pPr>
              <w:pStyle w:val="Table-Text"/>
              <w:jc w:val="center"/>
              <w:rPr>
                <w:highlight w:val="yellow"/>
              </w:rPr>
            </w:pPr>
            <w:r w:rsidRPr="3328C818">
              <w:rPr>
                <w:highlight w:val="yellow"/>
              </w:rPr>
              <w:t>0.24</w:t>
            </w:r>
          </w:p>
        </w:tc>
        <w:tc>
          <w:tcPr>
            <w:tcW w:w="716" w:type="pct"/>
            <w:tcBorders>
              <w:top w:val="nil"/>
              <w:left w:val="nil"/>
              <w:bottom w:val="single" w:sz="8" w:space="0" w:color="auto"/>
              <w:right w:val="single" w:sz="8" w:space="0" w:color="auto"/>
            </w:tcBorders>
            <w:shd w:val="clear" w:color="auto" w:fill="auto"/>
            <w:noWrap/>
            <w:vAlign w:val="center"/>
            <w:hideMark/>
          </w:tcPr>
          <w:p w14:paraId="03A037F4" w14:textId="77777777" w:rsidR="00386CBD" w:rsidRPr="00B448C7" w:rsidRDefault="5FD6C81B" w:rsidP="3328C818">
            <w:pPr>
              <w:pStyle w:val="Table-Text"/>
              <w:jc w:val="center"/>
              <w:rPr>
                <w:highlight w:val="yellow"/>
              </w:rPr>
            </w:pPr>
            <w:r w:rsidRPr="3328C818">
              <w:rPr>
                <w:highlight w:val="yellow"/>
              </w:rPr>
              <w:t>0.08</w:t>
            </w:r>
          </w:p>
        </w:tc>
        <w:tc>
          <w:tcPr>
            <w:tcW w:w="716" w:type="pct"/>
            <w:tcBorders>
              <w:top w:val="nil"/>
              <w:left w:val="nil"/>
              <w:bottom w:val="single" w:sz="8" w:space="0" w:color="auto"/>
              <w:right w:val="single" w:sz="8" w:space="0" w:color="auto"/>
            </w:tcBorders>
            <w:shd w:val="clear" w:color="auto" w:fill="auto"/>
            <w:noWrap/>
            <w:vAlign w:val="center"/>
            <w:hideMark/>
          </w:tcPr>
          <w:p w14:paraId="348F4290" w14:textId="77777777" w:rsidR="00386CBD" w:rsidRPr="00B448C7" w:rsidRDefault="5FD6C81B" w:rsidP="3328C818">
            <w:pPr>
              <w:pStyle w:val="Table-Text"/>
              <w:jc w:val="center"/>
              <w:rPr>
                <w:highlight w:val="yellow"/>
              </w:rPr>
            </w:pPr>
            <w:r w:rsidRPr="3328C818">
              <w:rPr>
                <w:highlight w:val="yellow"/>
              </w:rPr>
              <w:t>0.18</w:t>
            </w:r>
          </w:p>
        </w:tc>
        <w:tc>
          <w:tcPr>
            <w:tcW w:w="716" w:type="pct"/>
            <w:tcBorders>
              <w:top w:val="nil"/>
              <w:left w:val="nil"/>
              <w:bottom w:val="single" w:sz="8" w:space="0" w:color="auto"/>
              <w:right w:val="single" w:sz="8" w:space="0" w:color="auto"/>
            </w:tcBorders>
            <w:shd w:val="clear" w:color="auto" w:fill="auto"/>
            <w:noWrap/>
            <w:vAlign w:val="center"/>
            <w:hideMark/>
          </w:tcPr>
          <w:p w14:paraId="76F96D9E" w14:textId="77777777" w:rsidR="00386CBD" w:rsidRPr="00B448C7" w:rsidRDefault="5FD6C81B" w:rsidP="3328C818">
            <w:pPr>
              <w:pStyle w:val="Table-Text"/>
              <w:jc w:val="center"/>
              <w:rPr>
                <w:highlight w:val="yellow"/>
              </w:rPr>
            </w:pPr>
            <w:r w:rsidRPr="3328C818">
              <w:rPr>
                <w:highlight w:val="yellow"/>
              </w:rPr>
              <w:t>0.06</w:t>
            </w:r>
          </w:p>
        </w:tc>
      </w:tr>
      <w:tr w:rsidR="00386CBD" w:rsidRPr="00386CBD" w14:paraId="15E853E7" w14:textId="77777777" w:rsidTr="3328C818">
        <w:trPr>
          <w:trHeight w:hRule="exact" w:val="288"/>
        </w:trPr>
        <w:tc>
          <w:tcPr>
            <w:tcW w:w="2135" w:type="pct"/>
            <w:tcBorders>
              <w:top w:val="nil"/>
              <w:left w:val="single" w:sz="8" w:space="0" w:color="auto"/>
              <w:bottom w:val="single" w:sz="8" w:space="0" w:color="auto"/>
              <w:right w:val="single" w:sz="8" w:space="0" w:color="auto"/>
            </w:tcBorders>
            <w:shd w:val="clear" w:color="auto" w:fill="auto"/>
            <w:noWrap/>
            <w:vAlign w:val="center"/>
            <w:hideMark/>
          </w:tcPr>
          <w:p w14:paraId="4BB95096" w14:textId="77777777" w:rsidR="00386CBD" w:rsidRPr="00386CBD" w:rsidRDefault="00386CBD" w:rsidP="00AE2861">
            <w:pPr>
              <w:pStyle w:val="Table-Text"/>
            </w:pPr>
            <w:r w:rsidRPr="00386CBD">
              <w:t>Net Tons Removed</w:t>
            </w:r>
          </w:p>
        </w:tc>
        <w:tc>
          <w:tcPr>
            <w:tcW w:w="716" w:type="pct"/>
            <w:tcBorders>
              <w:top w:val="nil"/>
              <w:left w:val="nil"/>
              <w:bottom w:val="single" w:sz="8" w:space="0" w:color="auto"/>
              <w:right w:val="single" w:sz="8" w:space="0" w:color="auto"/>
            </w:tcBorders>
            <w:shd w:val="clear" w:color="auto" w:fill="auto"/>
            <w:noWrap/>
            <w:vAlign w:val="center"/>
            <w:hideMark/>
          </w:tcPr>
          <w:p w14:paraId="1F557B09" w14:textId="77777777" w:rsidR="00386CBD" w:rsidRPr="00B448C7" w:rsidRDefault="5FD6C81B" w:rsidP="3328C818">
            <w:pPr>
              <w:pStyle w:val="Table-Text"/>
              <w:jc w:val="center"/>
              <w:rPr>
                <w:highlight w:val="yellow"/>
              </w:rPr>
            </w:pPr>
            <w:r w:rsidRPr="3328C818">
              <w:rPr>
                <w:highlight w:val="yellow"/>
              </w:rPr>
              <w:t>1,052</w:t>
            </w:r>
          </w:p>
        </w:tc>
        <w:tc>
          <w:tcPr>
            <w:tcW w:w="716" w:type="pct"/>
            <w:tcBorders>
              <w:top w:val="nil"/>
              <w:left w:val="nil"/>
              <w:bottom w:val="single" w:sz="8" w:space="0" w:color="auto"/>
              <w:right w:val="single" w:sz="8" w:space="0" w:color="auto"/>
            </w:tcBorders>
            <w:shd w:val="clear" w:color="auto" w:fill="auto"/>
            <w:noWrap/>
            <w:vAlign w:val="center"/>
            <w:hideMark/>
          </w:tcPr>
          <w:p w14:paraId="2D5DDB5E" w14:textId="77777777" w:rsidR="00386CBD" w:rsidRPr="00B448C7" w:rsidRDefault="5FD6C81B" w:rsidP="3328C818">
            <w:pPr>
              <w:pStyle w:val="Table-Text"/>
              <w:jc w:val="center"/>
              <w:rPr>
                <w:highlight w:val="yellow"/>
              </w:rPr>
            </w:pPr>
            <w:r w:rsidRPr="3328C818">
              <w:rPr>
                <w:highlight w:val="yellow"/>
              </w:rPr>
              <w:t>663</w:t>
            </w:r>
          </w:p>
        </w:tc>
        <w:tc>
          <w:tcPr>
            <w:tcW w:w="716" w:type="pct"/>
            <w:tcBorders>
              <w:top w:val="nil"/>
              <w:left w:val="nil"/>
              <w:bottom w:val="single" w:sz="8" w:space="0" w:color="auto"/>
              <w:right w:val="single" w:sz="8" w:space="0" w:color="auto"/>
            </w:tcBorders>
            <w:shd w:val="clear" w:color="auto" w:fill="auto"/>
            <w:noWrap/>
            <w:vAlign w:val="center"/>
            <w:hideMark/>
          </w:tcPr>
          <w:p w14:paraId="04B5697D" w14:textId="77777777" w:rsidR="00386CBD" w:rsidRPr="00B448C7" w:rsidRDefault="5FD6C81B" w:rsidP="3328C818">
            <w:pPr>
              <w:pStyle w:val="Table-Text"/>
              <w:jc w:val="center"/>
              <w:rPr>
                <w:highlight w:val="yellow"/>
              </w:rPr>
            </w:pPr>
            <w:r w:rsidRPr="3328C818">
              <w:rPr>
                <w:highlight w:val="yellow"/>
              </w:rPr>
              <w:t>1484</w:t>
            </w:r>
          </w:p>
        </w:tc>
        <w:tc>
          <w:tcPr>
            <w:tcW w:w="716" w:type="pct"/>
            <w:tcBorders>
              <w:top w:val="nil"/>
              <w:left w:val="nil"/>
              <w:bottom w:val="single" w:sz="8" w:space="0" w:color="auto"/>
              <w:right w:val="single" w:sz="8" w:space="0" w:color="auto"/>
            </w:tcBorders>
            <w:shd w:val="clear" w:color="auto" w:fill="auto"/>
            <w:noWrap/>
            <w:vAlign w:val="center"/>
            <w:hideMark/>
          </w:tcPr>
          <w:p w14:paraId="3E9C86B3" w14:textId="77777777" w:rsidR="00386CBD" w:rsidRPr="00B448C7" w:rsidRDefault="5FD6C81B" w:rsidP="3328C818">
            <w:pPr>
              <w:pStyle w:val="Table-Text"/>
              <w:jc w:val="center"/>
              <w:rPr>
                <w:highlight w:val="yellow"/>
              </w:rPr>
            </w:pPr>
            <w:r w:rsidRPr="3328C818">
              <w:rPr>
                <w:highlight w:val="yellow"/>
              </w:rPr>
              <w:t>937</w:t>
            </w:r>
          </w:p>
        </w:tc>
      </w:tr>
      <w:tr w:rsidR="00386CBD" w:rsidRPr="00386CBD" w14:paraId="00247991" w14:textId="77777777" w:rsidTr="3328C818">
        <w:trPr>
          <w:trHeight w:hRule="exact" w:val="288"/>
        </w:trPr>
        <w:tc>
          <w:tcPr>
            <w:tcW w:w="2135" w:type="pct"/>
            <w:tcBorders>
              <w:top w:val="nil"/>
              <w:left w:val="single" w:sz="8" w:space="0" w:color="auto"/>
              <w:bottom w:val="single" w:sz="8" w:space="0" w:color="auto"/>
              <w:right w:val="single" w:sz="8" w:space="0" w:color="auto"/>
            </w:tcBorders>
            <w:shd w:val="clear" w:color="auto" w:fill="auto"/>
            <w:noWrap/>
            <w:vAlign w:val="center"/>
            <w:hideMark/>
          </w:tcPr>
          <w:p w14:paraId="0CE7745A" w14:textId="77777777" w:rsidR="00386CBD" w:rsidRPr="00386CBD" w:rsidRDefault="00386CBD" w:rsidP="00AE2861">
            <w:pPr>
              <w:pStyle w:val="Table-Text"/>
            </w:pPr>
            <w:r w:rsidRPr="00386CBD">
              <w:t>Cost-Effectiveness</w:t>
            </w:r>
          </w:p>
        </w:tc>
        <w:tc>
          <w:tcPr>
            <w:tcW w:w="716" w:type="pct"/>
            <w:tcBorders>
              <w:top w:val="nil"/>
              <w:left w:val="nil"/>
              <w:bottom w:val="single" w:sz="8" w:space="0" w:color="auto"/>
              <w:right w:val="single" w:sz="8" w:space="0" w:color="auto"/>
            </w:tcBorders>
            <w:shd w:val="clear" w:color="auto" w:fill="auto"/>
            <w:noWrap/>
            <w:vAlign w:val="center"/>
            <w:hideMark/>
          </w:tcPr>
          <w:p w14:paraId="26675359" w14:textId="77777777" w:rsidR="00386CBD" w:rsidRPr="00B448C7" w:rsidRDefault="5FD6C81B" w:rsidP="3328C818">
            <w:pPr>
              <w:pStyle w:val="Table-Text"/>
              <w:jc w:val="center"/>
              <w:rPr>
                <w:highlight w:val="yellow"/>
              </w:rPr>
            </w:pPr>
            <w:r w:rsidRPr="3328C818">
              <w:rPr>
                <w:highlight w:val="yellow"/>
              </w:rPr>
              <w:t xml:space="preserve">$6,065 </w:t>
            </w:r>
          </w:p>
        </w:tc>
        <w:tc>
          <w:tcPr>
            <w:tcW w:w="716" w:type="pct"/>
            <w:tcBorders>
              <w:top w:val="nil"/>
              <w:left w:val="nil"/>
              <w:bottom w:val="single" w:sz="8" w:space="0" w:color="auto"/>
              <w:right w:val="single" w:sz="8" w:space="0" w:color="auto"/>
            </w:tcBorders>
            <w:shd w:val="clear" w:color="auto" w:fill="auto"/>
            <w:noWrap/>
            <w:vAlign w:val="center"/>
            <w:hideMark/>
          </w:tcPr>
          <w:p w14:paraId="64F54F14" w14:textId="77777777" w:rsidR="00386CBD" w:rsidRPr="00B448C7" w:rsidRDefault="5FD6C81B" w:rsidP="3328C818">
            <w:pPr>
              <w:pStyle w:val="Table-Text"/>
              <w:jc w:val="center"/>
              <w:rPr>
                <w:highlight w:val="yellow"/>
              </w:rPr>
            </w:pPr>
            <w:r w:rsidRPr="3328C818">
              <w:rPr>
                <w:highlight w:val="yellow"/>
              </w:rPr>
              <w:t xml:space="preserve">$32,228 </w:t>
            </w:r>
          </w:p>
        </w:tc>
        <w:tc>
          <w:tcPr>
            <w:tcW w:w="716" w:type="pct"/>
            <w:tcBorders>
              <w:top w:val="nil"/>
              <w:left w:val="nil"/>
              <w:bottom w:val="single" w:sz="8" w:space="0" w:color="auto"/>
              <w:right w:val="single" w:sz="8" w:space="0" w:color="auto"/>
            </w:tcBorders>
            <w:shd w:val="clear" w:color="auto" w:fill="auto"/>
            <w:noWrap/>
            <w:vAlign w:val="center"/>
            <w:hideMark/>
          </w:tcPr>
          <w:p w14:paraId="31E792A0" w14:textId="77777777" w:rsidR="00386CBD" w:rsidRPr="00B448C7" w:rsidRDefault="5FD6C81B" w:rsidP="3328C818">
            <w:pPr>
              <w:pStyle w:val="Table-Text"/>
              <w:jc w:val="center"/>
              <w:rPr>
                <w:highlight w:val="yellow"/>
              </w:rPr>
            </w:pPr>
            <w:r w:rsidRPr="3328C818">
              <w:rPr>
                <w:highlight w:val="yellow"/>
              </w:rPr>
              <w:t xml:space="preserve">$8,967 </w:t>
            </w:r>
          </w:p>
        </w:tc>
        <w:tc>
          <w:tcPr>
            <w:tcW w:w="716" w:type="pct"/>
            <w:tcBorders>
              <w:top w:val="nil"/>
              <w:left w:val="nil"/>
              <w:bottom w:val="single" w:sz="8" w:space="0" w:color="auto"/>
              <w:right w:val="single" w:sz="8" w:space="0" w:color="auto"/>
            </w:tcBorders>
            <w:shd w:val="clear" w:color="auto" w:fill="auto"/>
            <w:noWrap/>
            <w:vAlign w:val="center"/>
            <w:hideMark/>
          </w:tcPr>
          <w:p w14:paraId="1BF0CE3B" w14:textId="77777777" w:rsidR="00386CBD" w:rsidRPr="00B448C7" w:rsidRDefault="5FD6C81B" w:rsidP="3328C818">
            <w:pPr>
              <w:pStyle w:val="Table-Text"/>
              <w:jc w:val="center"/>
              <w:rPr>
                <w:highlight w:val="yellow"/>
              </w:rPr>
            </w:pPr>
            <w:r w:rsidRPr="3328C818">
              <w:rPr>
                <w:highlight w:val="yellow"/>
              </w:rPr>
              <w:t xml:space="preserve">$44,115 </w:t>
            </w:r>
          </w:p>
        </w:tc>
      </w:tr>
    </w:tbl>
    <w:p w14:paraId="560C4515" w14:textId="77777777" w:rsidR="00386CBD" w:rsidRPr="00A65A11" w:rsidRDefault="00386CBD" w:rsidP="00B1738B">
      <w:pPr>
        <w:spacing w:line="240" w:lineRule="auto"/>
        <w:contextualSpacing/>
      </w:pPr>
    </w:p>
    <w:p w14:paraId="1F8DB3EC" w14:textId="3791BFD2" w:rsidR="00867FDB" w:rsidRPr="00A65A11" w:rsidRDefault="00867FDB" w:rsidP="00B1738B">
      <w:pPr>
        <w:spacing w:line="240" w:lineRule="auto"/>
        <w:contextualSpacing/>
      </w:pPr>
      <w:r w:rsidRPr="00A65A11">
        <w:t xml:space="preserve">A major factor in the difference between </w:t>
      </w:r>
      <w:r>
        <w:t xml:space="preserve">NPS </w:t>
      </w:r>
      <w:r w:rsidRPr="00A65A11">
        <w:t xml:space="preserve">estimates and those provided by UTAC is the addition of a 70% efficient heat exchanger to reduce natural gas consumption. This relatively small additional capital investment (Reheat Indirect Annual Cost) dramatically reduces natural gas consumption (Reheat Direct Annual Cost) and the capital cost of the SCR. The lower capital recovery cost and the lower operating costs result in much lower annual operating costs. Coupled with higher SCR control efficiency, the result is cost-effectiveness of </w:t>
      </w:r>
      <w:bookmarkStart w:id="56" w:name="_Hlk107075509"/>
      <w:r w:rsidRPr="00A65A11">
        <w:t>$</w:t>
      </w:r>
      <w:r w:rsidR="00386CBD">
        <w:t>6</w:t>
      </w:r>
      <w:r w:rsidRPr="00A65A11">
        <w:t>,000</w:t>
      </w:r>
      <w:r w:rsidR="002251D3">
        <w:t>/ton for SCR on Line 1 and $</w:t>
      </w:r>
      <w:r w:rsidR="00386CBD">
        <w:t>9</w:t>
      </w:r>
      <w:r w:rsidRPr="00A65A11">
        <w:t>,000/ton</w:t>
      </w:r>
      <w:bookmarkEnd w:id="56"/>
      <w:r w:rsidR="002251D3">
        <w:t xml:space="preserve"> on Line 2</w:t>
      </w:r>
      <w:r w:rsidRPr="00A65A11">
        <w:t>.</w:t>
      </w:r>
      <w:r w:rsidR="002251D3">
        <w:t xml:space="preserve"> SCR on Line 1 is cost-effective when compared to MPCA’s $7,600/ton acceptance threshold, while SCR on Line 2 is cost-effective when compared to the acceptance thresholds set by CO, NV, and OR.</w:t>
      </w:r>
    </w:p>
    <w:p w14:paraId="1128B0C5" w14:textId="77777777" w:rsidR="00867FDB" w:rsidRDefault="00867FDB" w:rsidP="00B1738B">
      <w:pPr>
        <w:pStyle w:val="Heading4"/>
        <w:spacing w:line="240" w:lineRule="auto"/>
        <w:contextualSpacing/>
      </w:pPr>
      <w:r>
        <w:t>Statutory Factor 2: Time Necessary for Compliance</w:t>
      </w:r>
    </w:p>
    <w:p w14:paraId="6112304F" w14:textId="723B5FF7" w:rsidR="00867FDB" w:rsidRDefault="00867FDB" w:rsidP="00B1738B">
      <w:pPr>
        <w:spacing w:line="240" w:lineRule="auto"/>
        <w:contextualSpacing/>
      </w:pPr>
      <w:r>
        <w:t>According to UTAC</w:t>
      </w:r>
      <w:r w:rsidR="00386CBD">
        <w:t>,</w:t>
      </w:r>
      <w:r>
        <w:t xml:space="preserve"> </w:t>
      </w:r>
      <w:r>
        <w:rPr>
          <w:rFonts w:cs="Times New Roman"/>
          <w:szCs w:val="24"/>
        </w:rPr>
        <w:t>a</w:t>
      </w:r>
      <w:r w:rsidRPr="00EB6F00">
        <w:rPr>
          <w:rFonts w:cs="Times New Roman"/>
          <w:szCs w:val="24"/>
        </w:rPr>
        <w:t xml:space="preserve"> state SIP revision is needed to approve a new statistically derived emissions limit methodology based</w:t>
      </w:r>
      <w:r w:rsidRPr="00EB6F00">
        <w:rPr>
          <w:rFonts w:cs="Times New Roman"/>
          <w:spacing w:val="40"/>
          <w:szCs w:val="24"/>
        </w:rPr>
        <w:t xml:space="preserve"> </w:t>
      </w:r>
      <w:r w:rsidRPr="00EB6F00">
        <w:rPr>
          <w:rFonts w:cs="Times New Roman"/>
          <w:szCs w:val="24"/>
        </w:rPr>
        <w:t>on the emission performance of the new system, e.g. 99 percent UPL. Barr assumes that the revisions would occur within 12 to 18 months after the MPCA submits its regional haze SIP for the second implementation</w:t>
      </w:r>
      <w:r w:rsidRPr="00EB6F00">
        <w:rPr>
          <w:rFonts w:cs="Times New Roman"/>
          <w:spacing w:val="-3"/>
          <w:szCs w:val="24"/>
        </w:rPr>
        <w:t xml:space="preserve"> </w:t>
      </w:r>
      <w:r w:rsidRPr="00EB6F00">
        <w:rPr>
          <w:rFonts w:cs="Times New Roman"/>
          <w:szCs w:val="24"/>
        </w:rPr>
        <w:t>period</w:t>
      </w:r>
      <w:r w:rsidRPr="00EB6F00">
        <w:rPr>
          <w:rFonts w:cs="Times New Roman"/>
          <w:spacing w:val="-3"/>
          <w:szCs w:val="24"/>
        </w:rPr>
        <w:t xml:space="preserve"> </w:t>
      </w:r>
      <w:r w:rsidRPr="00EB6F00">
        <w:rPr>
          <w:rFonts w:cs="Times New Roman"/>
          <w:szCs w:val="24"/>
        </w:rPr>
        <w:t>(approximately</w:t>
      </w:r>
      <w:r w:rsidRPr="00EB6F00">
        <w:rPr>
          <w:rFonts w:cs="Times New Roman"/>
          <w:spacing w:val="-3"/>
          <w:szCs w:val="24"/>
        </w:rPr>
        <w:t xml:space="preserve"> </w:t>
      </w:r>
      <w:r w:rsidRPr="00EB6F00">
        <w:rPr>
          <w:rFonts w:cs="Times New Roman"/>
          <w:szCs w:val="24"/>
        </w:rPr>
        <w:t>2022</w:t>
      </w:r>
      <w:r w:rsidRPr="00EB6F00">
        <w:rPr>
          <w:rFonts w:cs="Times New Roman"/>
          <w:spacing w:val="-2"/>
          <w:szCs w:val="24"/>
        </w:rPr>
        <w:t xml:space="preserve"> </w:t>
      </w:r>
      <w:r w:rsidRPr="00EB6F00">
        <w:rPr>
          <w:rFonts w:cs="Times New Roman"/>
          <w:szCs w:val="24"/>
        </w:rPr>
        <w:t>to</w:t>
      </w:r>
      <w:r w:rsidRPr="00EB6F00">
        <w:rPr>
          <w:rFonts w:cs="Times New Roman"/>
          <w:spacing w:val="-2"/>
          <w:szCs w:val="24"/>
        </w:rPr>
        <w:t xml:space="preserve"> </w:t>
      </w:r>
      <w:r w:rsidRPr="00EB6F00">
        <w:rPr>
          <w:rFonts w:cs="Times New Roman"/>
          <w:szCs w:val="24"/>
        </w:rPr>
        <w:t>2023).</w:t>
      </w:r>
      <w:r w:rsidRPr="00EB6F00">
        <w:rPr>
          <w:rFonts w:cs="Times New Roman"/>
          <w:spacing w:val="40"/>
          <w:szCs w:val="24"/>
        </w:rPr>
        <w:t xml:space="preserve"> </w:t>
      </w:r>
      <w:r w:rsidRPr="00EB6F00">
        <w:rPr>
          <w:rFonts w:cs="Times New Roman"/>
          <w:szCs w:val="24"/>
        </w:rPr>
        <w:t>After</w:t>
      </w:r>
      <w:r w:rsidRPr="00EB6F00">
        <w:rPr>
          <w:rFonts w:cs="Times New Roman"/>
          <w:spacing w:val="-3"/>
          <w:szCs w:val="24"/>
        </w:rPr>
        <w:t xml:space="preserve"> </w:t>
      </w:r>
      <w:r w:rsidRPr="00EB6F00">
        <w:rPr>
          <w:rFonts w:cs="Times New Roman"/>
          <w:szCs w:val="24"/>
        </w:rPr>
        <w:t>the</w:t>
      </w:r>
      <w:r w:rsidRPr="00EB6F00">
        <w:rPr>
          <w:rFonts w:cs="Times New Roman"/>
          <w:spacing w:val="-4"/>
          <w:szCs w:val="24"/>
        </w:rPr>
        <w:t xml:space="preserve"> </w:t>
      </w:r>
      <w:r w:rsidRPr="00EB6F00">
        <w:rPr>
          <w:rFonts w:cs="Times New Roman"/>
          <w:szCs w:val="24"/>
        </w:rPr>
        <w:t>SIP</w:t>
      </w:r>
      <w:r w:rsidRPr="00EB6F00">
        <w:rPr>
          <w:rFonts w:cs="Times New Roman"/>
          <w:spacing w:val="-2"/>
          <w:szCs w:val="24"/>
        </w:rPr>
        <w:t xml:space="preserve"> </w:t>
      </w:r>
      <w:r w:rsidRPr="00EB6F00">
        <w:rPr>
          <w:rFonts w:cs="Times New Roman"/>
          <w:szCs w:val="24"/>
        </w:rPr>
        <w:t>is</w:t>
      </w:r>
      <w:r w:rsidRPr="00EB6F00">
        <w:rPr>
          <w:rFonts w:cs="Times New Roman"/>
          <w:spacing w:val="-4"/>
          <w:szCs w:val="24"/>
        </w:rPr>
        <w:t xml:space="preserve"> </w:t>
      </w:r>
      <w:r w:rsidRPr="00EB6F00">
        <w:rPr>
          <w:rFonts w:cs="Times New Roman"/>
          <w:szCs w:val="24"/>
        </w:rPr>
        <w:t>promulgated,</w:t>
      </w:r>
      <w:r w:rsidRPr="00EB6F00">
        <w:rPr>
          <w:rFonts w:cs="Times New Roman"/>
          <w:spacing w:val="-3"/>
          <w:szCs w:val="24"/>
        </w:rPr>
        <w:t xml:space="preserve"> </w:t>
      </w:r>
      <w:r w:rsidRPr="00EB6F00">
        <w:rPr>
          <w:rFonts w:cs="Times New Roman"/>
          <w:szCs w:val="24"/>
        </w:rPr>
        <w:t>the</w:t>
      </w:r>
      <w:r w:rsidRPr="00EB6F00">
        <w:rPr>
          <w:rFonts w:cs="Times New Roman"/>
          <w:spacing w:val="-4"/>
          <w:szCs w:val="24"/>
        </w:rPr>
        <w:t xml:space="preserve"> </w:t>
      </w:r>
      <w:r w:rsidRPr="00EB6F00">
        <w:rPr>
          <w:rFonts w:cs="Times New Roman"/>
          <w:szCs w:val="24"/>
        </w:rPr>
        <w:t>technology</w:t>
      </w:r>
      <w:r w:rsidRPr="00EB6F00">
        <w:rPr>
          <w:rFonts w:cs="Times New Roman"/>
          <w:spacing w:val="-3"/>
          <w:szCs w:val="24"/>
        </w:rPr>
        <w:t xml:space="preserve"> </w:t>
      </w:r>
      <w:r w:rsidRPr="00EB6F00">
        <w:rPr>
          <w:rFonts w:cs="Times New Roman"/>
          <w:szCs w:val="24"/>
        </w:rPr>
        <w:t>would require significant resources and a time period of approximately five years to engineer, permit, and install the equipment.</w:t>
      </w:r>
    </w:p>
    <w:p w14:paraId="11D43020" w14:textId="77777777" w:rsidR="00867FDB" w:rsidRDefault="00867FDB" w:rsidP="00B1738B">
      <w:pPr>
        <w:pStyle w:val="Heading4"/>
        <w:spacing w:line="240" w:lineRule="auto"/>
        <w:contextualSpacing/>
      </w:pPr>
      <w:r>
        <w:t>Statutory Factor 3: Energy and Non-Air Quality Environmental Impacts</w:t>
      </w:r>
    </w:p>
    <w:p w14:paraId="144704E8" w14:textId="10357A30" w:rsidR="00867FDB" w:rsidRPr="00291DDC" w:rsidRDefault="00867FDB" w:rsidP="00B1738B">
      <w:pPr>
        <w:spacing w:line="240" w:lineRule="auto"/>
        <w:contextualSpacing/>
      </w:pPr>
      <w:r w:rsidRPr="00291DDC">
        <w:t>Energy usage is most appropriately accounted for in the Cost of Compliance analysis</w:t>
      </w:r>
      <w:r>
        <w:t xml:space="preserve">. </w:t>
      </w:r>
      <w:r w:rsidRPr="00291DDC">
        <w:t>The other non-air quality environmental impacts cited are not unique to this site.</w:t>
      </w:r>
    </w:p>
    <w:p w14:paraId="0394047D" w14:textId="77777777" w:rsidR="00867FDB" w:rsidRDefault="00867FDB" w:rsidP="00B1738B">
      <w:pPr>
        <w:pStyle w:val="Heading4"/>
        <w:spacing w:line="240" w:lineRule="auto"/>
        <w:contextualSpacing/>
      </w:pPr>
      <w:r w:rsidRPr="00294DA7">
        <w:t>Stat</w:t>
      </w:r>
      <w:r>
        <w:t>utory</w:t>
      </w:r>
      <w:r w:rsidRPr="00294DA7">
        <w:t xml:space="preserve"> Factor 4: Remaining Useful Life</w:t>
      </w:r>
    </w:p>
    <w:p w14:paraId="607CD878" w14:textId="77777777" w:rsidR="00867FDB" w:rsidRPr="003D783F" w:rsidRDefault="00867FDB" w:rsidP="00B1738B">
      <w:pPr>
        <w:spacing w:line="240" w:lineRule="auto"/>
        <w:contextualSpacing/>
      </w:pPr>
      <w:r w:rsidRPr="003D783F">
        <w:t xml:space="preserve">The CCM recommends </w:t>
      </w:r>
      <w:r>
        <w:t xml:space="preserve">a useful life of </w:t>
      </w:r>
      <w:r w:rsidRPr="003D783F">
        <w:t>20</w:t>
      </w:r>
      <w:r>
        <w:t>–</w:t>
      </w:r>
      <w:r w:rsidRPr="003D783F">
        <w:t>25 years for SCR on industrial boilers.</w:t>
      </w:r>
    </w:p>
    <w:p w14:paraId="31DF3431" w14:textId="37519DA2" w:rsidR="00867FDB" w:rsidRDefault="00867FDB" w:rsidP="00B1738B">
      <w:pPr>
        <w:pStyle w:val="Heading3"/>
        <w:spacing w:line="240" w:lineRule="auto"/>
        <w:contextualSpacing/>
      </w:pPr>
      <w:r w:rsidRPr="00A9462F">
        <w:t>SO</w:t>
      </w:r>
      <w:r w:rsidRPr="00A9462F">
        <w:rPr>
          <w:vertAlign w:val="subscript"/>
        </w:rPr>
        <w:t>2</w:t>
      </w:r>
      <w:r>
        <w:t xml:space="preserve"> Four-factor Analysis</w:t>
      </w:r>
    </w:p>
    <w:p w14:paraId="5AE21497" w14:textId="77777777" w:rsidR="00867FDB" w:rsidRDefault="00867FDB" w:rsidP="00B1738B">
      <w:pPr>
        <w:pStyle w:val="Heading4"/>
        <w:spacing w:line="240" w:lineRule="auto"/>
        <w:contextualSpacing/>
      </w:pPr>
      <w:r>
        <w:t>Control Selection &amp; Efficiency</w:t>
      </w:r>
    </w:p>
    <w:p w14:paraId="4DF41253" w14:textId="1620074B" w:rsidR="00867FDB" w:rsidRPr="009A321E" w:rsidRDefault="00867FDB" w:rsidP="00B1738B">
      <w:pPr>
        <w:spacing w:line="240" w:lineRule="auto"/>
        <w:contextualSpacing/>
      </w:pPr>
      <w:r w:rsidRPr="009A321E">
        <w:t xml:space="preserve">EPA’s February 2013 BART determinations are now out-of-date and should be revisited for PM and </w:t>
      </w:r>
      <w:r w:rsidRPr="00A9462F">
        <w:t>SO</w:t>
      </w:r>
      <w:r w:rsidRPr="00A9462F">
        <w:rPr>
          <w:vertAlign w:val="subscript"/>
        </w:rPr>
        <w:t>2</w:t>
      </w:r>
      <w:r w:rsidRPr="009A321E">
        <w:t xml:space="preserve"> in addition to </w:t>
      </w:r>
      <w:r w:rsidRPr="00A9462F">
        <w:t>NO</w:t>
      </w:r>
      <w:r>
        <w:rPr>
          <w:vertAlign w:val="subscript"/>
        </w:rPr>
        <w:t>x</w:t>
      </w:r>
      <w:r w:rsidRPr="009A321E">
        <w:t xml:space="preserve">. UTAQ included analyses of strategies to reduce </w:t>
      </w:r>
      <w:r w:rsidRPr="00A9462F">
        <w:t>SO</w:t>
      </w:r>
      <w:r w:rsidRPr="00A9462F">
        <w:rPr>
          <w:vertAlign w:val="subscript"/>
        </w:rPr>
        <w:t>2</w:t>
      </w:r>
      <w:r w:rsidRPr="009A321E">
        <w:t xml:space="preserve"> emissions from Line 2:</w:t>
      </w:r>
    </w:p>
    <w:p w14:paraId="276FE65A" w14:textId="77777777" w:rsidR="00867FDB" w:rsidRPr="009A321E" w:rsidRDefault="00867FDB" w:rsidP="00B1738B">
      <w:pPr>
        <w:pStyle w:val="Heading5"/>
        <w:spacing w:line="240" w:lineRule="auto"/>
        <w:contextualSpacing/>
      </w:pPr>
      <w:r w:rsidRPr="009A321E">
        <w:t>Dry Sorbent Injection (DSI) – With New PM Control</w:t>
      </w:r>
    </w:p>
    <w:p w14:paraId="0AE4C944" w14:textId="6ADD7E8A" w:rsidR="00867FDB" w:rsidRDefault="00867FDB" w:rsidP="00B1738B">
      <w:pPr>
        <w:spacing w:line="240" w:lineRule="auto"/>
        <w:contextualSpacing/>
      </w:pPr>
      <w:r w:rsidRPr="009A321E">
        <w:t>While DSI has not been demonstrated at an operating taconite indurating furnace, DSI could conceptually be utilized if UTAC were to replace its existing PM controls (wet scrubbers) with controls that are compatible with DSI (e.g., baghouse or electrostatic precipitator (ESP)). Indurating furnace waste gas streams are high in water content and are exhausted at or near dew points. Gases leaving the indurating furnace are currently treated for removal of particulate matter using a wet scrubber. The exhaust temperature is typically in the range of 100</w:t>
      </w:r>
      <w:r w:rsidRPr="009A321E">
        <w:rPr>
          <w:vertAlign w:val="superscript"/>
        </w:rPr>
        <w:t>o</w:t>
      </w:r>
      <w:r w:rsidRPr="009A321E">
        <w:t>F to 150</w:t>
      </w:r>
      <w:r w:rsidRPr="009A321E">
        <w:rPr>
          <w:vertAlign w:val="superscript"/>
        </w:rPr>
        <w:t>o</w:t>
      </w:r>
      <w:r w:rsidRPr="009A321E">
        <w:t>F and is saturated with water. For comparison, a utility boiler exhaust operates at 350</w:t>
      </w:r>
      <w:r w:rsidRPr="009A321E">
        <w:rPr>
          <w:vertAlign w:val="superscript"/>
        </w:rPr>
        <w:t>o</w:t>
      </w:r>
      <w:r w:rsidRPr="009A321E">
        <w:t>F or higher and is not saturated with water. The indurating furnace waste gas conditions following the existing wet scrubber would plug both the filters and the dust removal system. Therefore, the proposed control train would need to replace the existing wet scrubber with DSI and new PM control. With the removal of the existing wet scrubber and addition of new PM control after the DSI, the DSI control technology is assumed to be potentially technically feasible for Line 2 Indurating Furnace.</w:t>
      </w:r>
    </w:p>
    <w:p w14:paraId="4E4C5F0E" w14:textId="77777777" w:rsidR="00386CBD" w:rsidRPr="009A321E" w:rsidRDefault="00386CBD" w:rsidP="00B1738B">
      <w:pPr>
        <w:spacing w:line="240" w:lineRule="auto"/>
        <w:contextualSpacing/>
      </w:pPr>
    </w:p>
    <w:p w14:paraId="435D913D" w14:textId="61F4F27F" w:rsidR="00867FDB" w:rsidRPr="009A321E" w:rsidRDefault="00867FDB" w:rsidP="00B1738B">
      <w:pPr>
        <w:spacing w:line="240" w:lineRule="auto"/>
        <w:contextualSpacing/>
      </w:pPr>
      <w:r w:rsidRPr="009A321E">
        <w:t xml:space="preserve">The DSI evaluation conclusions vary in past </w:t>
      </w:r>
      <w:r w:rsidRPr="00A9462F">
        <w:t>SO</w:t>
      </w:r>
      <w:r w:rsidRPr="00A9462F">
        <w:rPr>
          <w:vertAlign w:val="subscript"/>
        </w:rPr>
        <w:t>2</w:t>
      </w:r>
      <w:r w:rsidRPr="009A321E">
        <w:t xml:space="preserve"> control equipment evaluations (2006 BART, 2010 </w:t>
      </w:r>
      <w:proofErr w:type="spellStart"/>
      <w:r w:rsidRPr="009A321E">
        <w:t>Keetac</w:t>
      </w:r>
      <w:proofErr w:type="spellEnd"/>
      <w:r w:rsidRPr="009A321E">
        <w:t xml:space="preserve"> BACT, 2011 Essar BACT reports, and 2012 EPA BART Determination). The 2006 BART reports and 2012 EPA BART Determination evaluated DSI after the existing scrubbers and concluded that the technology was not technically feasible due to high moisture flue gas resulting in caking and blinding of the associated filter bags. The 2010 </w:t>
      </w:r>
      <w:proofErr w:type="spellStart"/>
      <w:r w:rsidRPr="009A321E">
        <w:t>Keetac</w:t>
      </w:r>
      <w:proofErr w:type="spellEnd"/>
      <w:r w:rsidRPr="009A321E">
        <w:t xml:space="preserve"> BACT and 2011 Essar BACT reports concluded that DSI was technically feasible but concluded that a GSA was BACT with a baghouse for PM control.</w:t>
      </w:r>
    </w:p>
    <w:p w14:paraId="5E13C73B" w14:textId="77777777" w:rsidR="00867FDB" w:rsidRPr="009A321E" w:rsidRDefault="00867FDB" w:rsidP="00B1738B">
      <w:pPr>
        <w:pStyle w:val="Heading5"/>
        <w:spacing w:line="240" w:lineRule="auto"/>
        <w:contextualSpacing/>
      </w:pPr>
      <w:bookmarkStart w:id="57" w:name="_bookmark53"/>
      <w:bookmarkEnd w:id="57"/>
      <w:r w:rsidRPr="009A321E">
        <w:t>Spray Dry Absorption (SDA) – With New PM Control</w:t>
      </w:r>
    </w:p>
    <w:p w14:paraId="37CF01F8" w14:textId="62E77DB7" w:rsidR="00867FDB" w:rsidRDefault="00867FDB" w:rsidP="00B1738B">
      <w:pPr>
        <w:spacing w:line="240" w:lineRule="auto"/>
        <w:contextualSpacing/>
      </w:pPr>
      <w:r w:rsidRPr="009A321E">
        <w:t>While an SDA has not been demonstrated at an operating taconite indurating furnace, an SDA could conceptually be utilized if UTAC were to replaces its existing PM controls (wet scrubbers) with controls that are compatible with an SDA (e.g., baghouse or ESP). Similar to the DSI control option, the moisture in the exhaust stream after the existing wet scrubber would plug the dust collection system. Due to the saturated waste gas exhaust, the proposed SDA control technology would require replacement of the wet scrubber with an ESP ahead of the SDA with baghouse control. Therefore, SDA with new PM control is assumed to be potentially technically feasible for Line 2 Indurating Furnace.</w:t>
      </w:r>
    </w:p>
    <w:p w14:paraId="65CEC951" w14:textId="77777777" w:rsidR="00386CBD" w:rsidRPr="009A321E" w:rsidRDefault="00386CBD" w:rsidP="00B1738B">
      <w:pPr>
        <w:spacing w:line="240" w:lineRule="auto"/>
        <w:contextualSpacing/>
      </w:pPr>
    </w:p>
    <w:p w14:paraId="4AB9BD86" w14:textId="04928929" w:rsidR="00867FDB" w:rsidRPr="009A321E" w:rsidRDefault="00867FDB" w:rsidP="00B1738B">
      <w:pPr>
        <w:spacing w:line="240" w:lineRule="auto"/>
        <w:contextualSpacing/>
      </w:pPr>
      <w:r w:rsidRPr="009A321E">
        <w:t xml:space="preserve">The SDA evaluation conclusions vary in past </w:t>
      </w:r>
      <w:r w:rsidRPr="00A9462F">
        <w:t>SO</w:t>
      </w:r>
      <w:r w:rsidRPr="00A9462F">
        <w:rPr>
          <w:vertAlign w:val="subscript"/>
        </w:rPr>
        <w:t>2</w:t>
      </w:r>
      <w:r w:rsidRPr="009A321E">
        <w:t xml:space="preserve"> control equipment evaluations (2006 BART, 2010 </w:t>
      </w:r>
      <w:proofErr w:type="spellStart"/>
      <w:r w:rsidRPr="009A321E">
        <w:t>Keetac</w:t>
      </w:r>
      <w:proofErr w:type="spellEnd"/>
      <w:r w:rsidRPr="009A321E">
        <w:t xml:space="preserve"> BACT, 2011 Essar BACT reports, and 2012 EPA BART Determination). All of the facilities’ 2006 BART reports (except Northshore Mining Company (NSM) due to NSM already employing wet ESP control technology) and the 2012 EPA BART Determination concluded that SDA was not technically feasible due to the high moisture flue gas. NSM’s 2006 BART reports concluded that SDA was not cost-effective on a $/ton removed basis. The 2010 </w:t>
      </w:r>
      <w:proofErr w:type="spellStart"/>
      <w:r w:rsidRPr="009A321E">
        <w:t>Keetac</w:t>
      </w:r>
      <w:proofErr w:type="spellEnd"/>
      <w:r w:rsidRPr="009A321E">
        <w:t xml:space="preserve"> BACT report concluded that SDA was technically feasible but stated that GSA was BACT with a baghouse for PM control. The 2011 Essar BACT report concluded that SDA was not cost-effective on a $/ton removed basis.</w:t>
      </w:r>
    </w:p>
    <w:p w14:paraId="2B505DE4" w14:textId="77777777" w:rsidR="00867FDB" w:rsidRPr="009A321E" w:rsidRDefault="00867FDB" w:rsidP="00B1738B">
      <w:pPr>
        <w:pStyle w:val="Heading5"/>
        <w:spacing w:line="240" w:lineRule="auto"/>
        <w:contextualSpacing/>
      </w:pPr>
      <w:bookmarkStart w:id="58" w:name="_bookmark54"/>
      <w:bookmarkEnd w:id="58"/>
      <w:r w:rsidRPr="009A321E">
        <w:t>Gas Suspension Absorption (GSA) – With New PM Control</w:t>
      </w:r>
    </w:p>
    <w:p w14:paraId="452EC6B3" w14:textId="490E2196" w:rsidR="00867FDB" w:rsidRDefault="00867FDB" w:rsidP="00B1738B">
      <w:pPr>
        <w:spacing w:line="240" w:lineRule="auto"/>
        <w:contextualSpacing/>
      </w:pPr>
      <w:r w:rsidRPr="009A321E">
        <w:t>While GSA has not been demonstrated at an operating taconite indurating furnace, there are not strong technical reasons prohibiting the installation and operation at an indurating furnace if alternative PM controls are used instead of wet scrubbers (e.g., baghouse or ESP). Similar to the DSI and SDA control options, the moisture in the exhaust stream would plug the dust collection system. Due to the saturated waste gas exhaust following the wet scrubber, the proposed GSA control technology would require replacement of the wet scrubber with an ESP ahead of the GSA with baghouse control. Therefore, GSA with new PM control is assumed to be potentially technically feasible for Line 2 Indurating Furnace.</w:t>
      </w:r>
    </w:p>
    <w:p w14:paraId="3E2B4651" w14:textId="77777777" w:rsidR="00386CBD" w:rsidRPr="009A321E" w:rsidRDefault="00386CBD" w:rsidP="00B1738B">
      <w:pPr>
        <w:spacing w:line="240" w:lineRule="auto"/>
        <w:contextualSpacing/>
      </w:pPr>
    </w:p>
    <w:p w14:paraId="6F6BCF4D" w14:textId="77777777" w:rsidR="00867FDB" w:rsidRPr="009A321E" w:rsidRDefault="00867FDB" w:rsidP="00B1738B">
      <w:pPr>
        <w:spacing w:line="240" w:lineRule="auto"/>
        <w:contextualSpacing/>
      </w:pPr>
      <w:r w:rsidRPr="009A321E">
        <w:t xml:space="preserve">GSA was not assessed in the 2006 BART report. The 2010 </w:t>
      </w:r>
      <w:proofErr w:type="spellStart"/>
      <w:r w:rsidRPr="009A321E">
        <w:t>Keetac</w:t>
      </w:r>
      <w:proofErr w:type="spellEnd"/>
      <w:r w:rsidRPr="009A321E">
        <w:t xml:space="preserve"> BACT report concluded that GSA was technically feasible with a baghouse and was BACT. The 2011 Essar BACT report concluded that GSA was not cost-effective on a $/ton removed basis. There was an attempted application of GSA at a taconite pelletizing facility in 2018 in Indiana. The facility experienced severe operational issues with the GSA that resulted in an enforcement action for non-compliance, further supporting the uncertainty of the application of GSA on taconite indurating furnace. Regardless, UTAC proceeded to evaluate the control costs of a GSA for the purpose of this analysis.</w:t>
      </w:r>
    </w:p>
    <w:p w14:paraId="2E3CC810" w14:textId="65243FD7" w:rsidR="00867FDB" w:rsidRDefault="00867FDB" w:rsidP="00B1738B">
      <w:pPr>
        <w:pStyle w:val="Heading4"/>
        <w:numPr>
          <w:ilvl w:val="0"/>
          <w:numId w:val="0"/>
        </w:numPr>
        <w:spacing w:line="240" w:lineRule="auto"/>
        <w:contextualSpacing/>
      </w:pPr>
      <w:r>
        <w:t>Statutory Factor 1: Cost of Compliance</w:t>
      </w:r>
    </w:p>
    <w:p w14:paraId="5AE1D0A9" w14:textId="25DF5BB0" w:rsidR="00867FDB" w:rsidRPr="005F4D49" w:rsidRDefault="00867FDB" w:rsidP="00803A0E">
      <w:r w:rsidRPr="00BB277A">
        <w:t>According to UT</w:t>
      </w:r>
      <w:r w:rsidR="00386CBD">
        <w:t>A</w:t>
      </w:r>
      <w:r w:rsidRPr="00BB277A">
        <w:t>C</w:t>
      </w:r>
      <w:r w:rsidRPr="005F4D49">
        <w:t xml:space="preserve">: The cost-effectiveness analysis compares the annualized cost of the emission control measure per ton of pollutant removed and is evaluated on a dollar per ton basis using the annual cost (annualized capital cost plus annual operating costs) divided by the annual emissions reduction (tons) achieved by the control device. For purposes of this screening evaluation consistent with the typical approach described in the EPA Control Cost Manual, a 20-year life (before new and extensive capital is needed to maintain and repair the equipment) at 5.5 percent interest is assumed in annualizing capital costs. The resulting cost-effectiveness calculations are summarized in </w:t>
      </w:r>
      <w:r>
        <w:t xml:space="preserve">UTAC </w:t>
      </w:r>
      <w:r w:rsidRPr="005F4D49">
        <w:t>Table 6-2.</w:t>
      </w:r>
    </w:p>
    <w:p w14:paraId="1D456714" w14:textId="54F92CCB" w:rsidR="00867FDB" w:rsidRPr="005F4D49" w:rsidRDefault="00803A0E" w:rsidP="00803A0E">
      <w:pPr>
        <w:pStyle w:val="Caption"/>
        <w:rPr>
          <w:bCs w:val="0"/>
        </w:rPr>
      </w:pPr>
      <w:bookmarkStart w:id="59" w:name="_bookmark56"/>
      <w:bookmarkEnd w:id="59"/>
      <w:r>
        <w:t xml:space="preserve">Table </w:t>
      </w:r>
      <w:r>
        <w:fldChar w:fldCharType="begin"/>
      </w:r>
      <w:r>
        <w:instrText>SEQ Table \* ARABIC</w:instrText>
      </w:r>
      <w:r>
        <w:fldChar w:fldCharType="separate"/>
      </w:r>
      <w:r>
        <w:rPr>
          <w:noProof/>
        </w:rPr>
        <w:t>19</w:t>
      </w:r>
      <w:r>
        <w:fldChar w:fldCharType="end"/>
      </w:r>
      <w:r>
        <w:t xml:space="preserve">. </w:t>
      </w:r>
      <w:r w:rsidR="00867FDB">
        <w:t xml:space="preserve">UTAC </w:t>
      </w:r>
      <w:r w:rsidR="00867FDB" w:rsidRPr="005F4D49">
        <w:rPr>
          <w:bCs w:val="0"/>
        </w:rPr>
        <w:t xml:space="preserve">Table 6-2: </w:t>
      </w:r>
      <w:r w:rsidR="00867FDB" w:rsidRPr="00A9462F">
        <w:t>SO</w:t>
      </w:r>
      <w:r w:rsidR="00867FDB" w:rsidRPr="00A9462F">
        <w:rPr>
          <w:vertAlign w:val="subscript"/>
        </w:rPr>
        <w:t>2</w:t>
      </w:r>
      <w:r w:rsidR="00867FDB" w:rsidRPr="005F4D49">
        <w:rPr>
          <w:bCs w:val="0"/>
        </w:rPr>
        <w:t xml:space="preserve"> Control Cost Summary, Line 2 Indurating Furnace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452"/>
        <w:gridCol w:w="1723"/>
        <w:gridCol w:w="1725"/>
        <w:gridCol w:w="1723"/>
        <w:gridCol w:w="1721"/>
      </w:tblGrid>
      <w:tr w:rsidR="00867FDB" w:rsidRPr="005F4D49" w14:paraId="10DCB228" w14:textId="77777777" w:rsidTr="00EA0940">
        <w:trPr>
          <w:trHeight w:val="777"/>
        </w:trPr>
        <w:tc>
          <w:tcPr>
            <w:tcW w:w="1312" w:type="pct"/>
            <w:shd w:val="clear" w:color="auto" w:fill="auto"/>
            <w:vAlign w:val="center"/>
          </w:tcPr>
          <w:p w14:paraId="268E9A67" w14:textId="77777777" w:rsidR="00867FDB" w:rsidRPr="00C64172" w:rsidRDefault="00867FDB" w:rsidP="00386CBD">
            <w:pPr>
              <w:pStyle w:val="Table-Text"/>
              <w:spacing w:line="240" w:lineRule="auto"/>
              <w:contextualSpacing/>
              <w:jc w:val="center"/>
              <w:rPr>
                <w:b/>
                <w:bCs/>
              </w:rPr>
            </w:pPr>
            <w:r w:rsidRPr="00C64172">
              <w:rPr>
                <w:b/>
                <w:bCs/>
              </w:rPr>
              <w:t>Additional Emission Control Measure</w:t>
            </w:r>
          </w:p>
        </w:tc>
        <w:tc>
          <w:tcPr>
            <w:tcW w:w="922" w:type="pct"/>
            <w:shd w:val="clear" w:color="auto" w:fill="auto"/>
            <w:vAlign w:val="center"/>
          </w:tcPr>
          <w:p w14:paraId="47C63B7B" w14:textId="77777777" w:rsidR="00867FDB" w:rsidRPr="00C64172" w:rsidRDefault="00867FDB" w:rsidP="00386CBD">
            <w:pPr>
              <w:pStyle w:val="Table-Text"/>
              <w:spacing w:line="240" w:lineRule="auto"/>
              <w:contextualSpacing/>
              <w:jc w:val="center"/>
              <w:rPr>
                <w:b/>
                <w:bCs/>
              </w:rPr>
            </w:pPr>
            <w:r w:rsidRPr="00C64172">
              <w:rPr>
                <w:b/>
                <w:bCs/>
              </w:rPr>
              <w:t>Installed Capital Cost ($MM)</w:t>
            </w:r>
          </w:p>
        </w:tc>
        <w:tc>
          <w:tcPr>
            <w:tcW w:w="923" w:type="pct"/>
            <w:shd w:val="clear" w:color="auto" w:fill="auto"/>
            <w:vAlign w:val="center"/>
          </w:tcPr>
          <w:p w14:paraId="1AE4C443" w14:textId="77777777" w:rsidR="00867FDB" w:rsidRPr="00C64172" w:rsidRDefault="00867FDB" w:rsidP="00386CBD">
            <w:pPr>
              <w:pStyle w:val="Table-Text"/>
              <w:spacing w:line="240" w:lineRule="auto"/>
              <w:contextualSpacing/>
              <w:jc w:val="center"/>
              <w:rPr>
                <w:b/>
                <w:bCs/>
              </w:rPr>
            </w:pPr>
            <w:r w:rsidRPr="00C64172">
              <w:rPr>
                <w:b/>
                <w:bCs/>
              </w:rPr>
              <w:t>Annual Operating Costs</w:t>
            </w:r>
          </w:p>
          <w:p w14:paraId="554A0B5D" w14:textId="77777777" w:rsidR="00867FDB" w:rsidRPr="00C64172" w:rsidRDefault="00867FDB" w:rsidP="00386CBD">
            <w:pPr>
              <w:pStyle w:val="Table-Text"/>
              <w:spacing w:line="240" w:lineRule="auto"/>
              <w:contextualSpacing/>
              <w:jc w:val="center"/>
              <w:rPr>
                <w:b/>
                <w:bCs/>
              </w:rPr>
            </w:pPr>
            <w:r w:rsidRPr="00C64172">
              <w:rPr>
                <w:b/>
                <w:bCs/>
              </w:rPr>
              <w:t>($/</w:t>
            </w:r>
            <w:proofErr w:type="spellStart"/>
            <w:r w:rsidRPr="00C64172">
              <w:rPr>
                <w:b/>
                <w:bCs/>
              </w:rPr>
              <w:t>yr</w:t>
            </w:r>
            <w:proofErr w:type="spellEnd"/>
            <w:r w:rsidRPr="00C64172">
              <w:rPr>
                <w:b/>
                <w:bCs/>
              </w:rPr>
              <w:t>)</w:t>
            </w:r>
          </w:p>
        </w:tc>
        <w:tc>
          <w:tcPr>
            <w:tcW w:w="922" w:type="pct"/>
            <w:shd w:val="clear" w:color="auto" w:fill="auto"/>
            <w:vAlign w:val="center"/>
          </w:tcPr>
          <w:p w14:paraId="14A2E480" w14:textId="77777777" w:rsidR="00867FDB" w:rsidRPr="00C64172" w:rsidRDefault="00867FDB" w:rsidP="00386CBD">
            <w:pPr>
              <w:pStyle w:val="Table-Text"/>
              <w:spacing w:line="240" w:lineRule="auto"/>
              <w:contextualSpacing/>
              <w:jc w:val="center"/>
              <w:rPr>
                <w:b/>
                <w:bCs/>
              </w:rPr>
            </w:pPr>
            <w:r w:rsidRPr="00C64172">
              <w:rPr>
                <w:b/>
                <w:bCs/>
              </w:rPr>
              <w:t>Annual Emissions Reduction</w:t>
            </w:r>
          </w:p>
          <w:p w14:paraId="4824C3B0" w14:textId="77777777" w:rsidR="00867FDB" w:rsidRPr="00C64172" w:rsidRDefault="00867FDB" w:rsidP="00386CBD">
            <w:pPr>
              <w:pStyle w:val="Table-Text"/>
              <w:spacing w:line="240" w:lineRule="auto"/>
              <w:contextualSpacing/>
              <w:jc w:val="center"/>
              <w:rPr>
                <w:b/>
                <w:bCs/>
              </w:rPr>
            </w:pPr>
            <w:r w:rsidRPr="00C64172">
              <w:rPr>
                <w:b/>
                <w:bCs/>
              </w:rPr>
              <w:t>(</w:t>
            </w:r>
            <w:proofErr w:type="spellStart"/>
            <w:r w:rsidRPr="00C64172">
              <w:rPr>
                <w:b/>
                <w:bCs/>
              </w:rPr>
              <w:t>tpy</w:t>
            </w:r>
            <w:proofErr w:type="spellEnd"/>
            <w:r w:rsidRPr="00C64172">
              <w:rPr>
                <w:b/>
                <w:bCs/>
              </w:rPr>
              <w:t>)</w:t>
            </w:r>
          </w:p>
        </w:tc>
        <w:tc>
          <w:tcPr>
            <w:tcW w:w="921" w:type="pct"/>
            <w:shd w:val="clear" w:color="auto" w:fill="auto"/>
            <w:vAlign w:val="center"/>
          </w:tcPr>
          <w:p w14:paraId="457411D3" w14:textId="77777777" w:rsidR="00867FDB" w:rsidRPr="00C64172" w:rsidRDefault="00867FDB" w:rsidP="00386CBD">
            <w:pPr>
              <w:pStyle w:val="Table-Text"/>
              <w:spacing w:line="240" w:lineRule="auto"/>
              <w:contextualSpacing/>
              <w:jc w:val="center"/>
              <w:rPr>
                <w:b/>
                <w:bCs/>
              </w:rPr>
            </w:pPr>
            <w:r w:rsidRPr="00C64172">
              <w:rPr>
                <w:b/>
                <w:bCs/>
              </w:rPr>
              <w:t>Pollution Control Cost-effectiveness ($/ton)</w:t>
            </w:r>
          </w:p>
        </w:tc>
      </w:tr>
      <w:tr w:rsidR="00867FDB" w:rsidRPr="005F4D49" w14:paraId="41970C0F" w14:textId="77777777" w:rsidTr="00525FE3">
        <w:trPr>
          <w:trHeight w:hRule="exact" w:val="288"/>
        </w:trPr>
        <w:tc>
          <w:tcPr>
            <w:tcW w:w="1312" w:type="pct"/>
            <w:tcBorders>
              <w:left w:val="single" w:sz="4" w:space="0" w:color="000000"/>
              <w:bottom w:val="single" w:sz="4" w:space="0" w:color="000000"/>
              <w:right w:val="single" w:sz="4" w:space="0" w:color="000000"/>
            </w:tcBorders>
            <w:shd w:val="clear" w:color="auto" w:fill="auto"/>
            <w:vAlign w:val="center"/>
          </w:tcPr>
          <w:p w14:paraId="7DAB6E96" w14:textId="77777777" w:rsidR="00867FDB" w:rsidRPr="005F4D49" w:rsidRDefault="00867FDB" w:rsidP="00386CBD">
            <w:pPr>
              <w:pStyle w:val="Table-Text"/>
              <w:spacing w:line="240" w:lineRule="auto"/>
              <w:contextualSpacing/>
              <w:jc w:val="center"/>
            </w:pPr>
            <w:r w:rsidRPr="005F4D49">
              <w:t>DSI with New PM Control</w:t>
            </w:r>
          </w:p>
        </w:tc>
        <w:tc>
          <w:tcPr>
            <w:tcW w:w="922" w:type="pct"/>
            <w:tcBorders>
              <w:left w:val="single" w:sz="4" w:space="0" w:color="000000"/>
              <w:bottom w:val="single" w:sz="4" w:space="0" w:color="000000"/>
              <w:right w:val="single" w:sz="4" w:space="0" w:color="000000"/>
            </w:tcBorders>
            <w:shd w:val="clear" w:color="auto" w:fill="auto"/>
            <w:vAlign w:val="center"/>
          </w:tcPr>
          <w:p w14:paraId="34BE6A54" w14:textId="77777777" w:rsidR="00867FDB" w:rsidRPr="005F4D49" w:rsidRDefault="00867FDB" w:rsidP="00386CBD">
            <w:pPr>
              <w:pStyle w:val="Table-Text"/>
              <w:spacing w:line="240" w:lineRule="auto"/>
              <w:contextualSpacing/>
              <w:jc w:val="center"/>
            </w:pPr>
            <w:r w:rsidRPr="005F4D49">
              <w:t>$50,466,157</w:t>
            </w:r>
          </w:p>
        </w:tc>
        <w:tc>
          <w:tcPr>
            <w:tcW w:w="923" w:type="pct"/>
            <w:tcBorders>
              <w:left w:val="single" w:sz="4" w:space="0" w:color="000000"/>
              <w:bottom w:val="single" w:sz="4" w:space="0" w:color="000000"/>
              <w:right w:val="single" w:sz="4" w:space="0" w:color="000000"/>
            </w:tcBorders>
            <w:shd w:val="clear" w:color="auto" w:fill="auto"/>
            <w:vAlign w:val="center"/>
          </w:tcPr>
          <w:p w14:paraId="0801D97B" w14:textId="77777777" w:rsidR="00867FDB" w:rsidRPr="005F4D49" w:rsidRDefault="00867FDB" w:rsidP="00386CBD">
            <w:pPr>
              <w:pStyle w:val="Table-Text"/>
              <w:spacing w:line="240" w:lineRule="auto"/>
              <w:contextualSpacing/>
              <w:jc w:val="center"/>
            </w:pPr>
            <w:r w:rsidRPr="005F4D49">
              <w:t>$10,090,749</w:t>
            </w:r>
          </w:p>
        </w:tc>
        <w:tc>
          <w:tcPr>
            <w:tcW w:w="922" w:type="pct"/>
            <w:tcBorders>
              <w:left w:val="single" w:sz="4" w:space="0" w:color="000000"/>
              <w:bottom w:val="single" w:sz="4" w:space="0" w:color="000000"/>
              <w:right w:val="single" w:sz="4" w:space="0" w:color="000000"/>
            </w:tcBorders>
            <w:shd w:val="clear" w:color="auto" w:fill="auto"/>
            <w:vAlign w:val="center"/>
          </w:tcPr>
          <w:p w14:paraId="4A0109AB" w14:textId="77777777" w:rsidR="00867FDB" w:rsidRPr="005F4D49" w:rsidRDefault="00867FDB" w:rsidP="00386CBD">
            <w:pPr>
              <w:pStyle w:val="Table-Text"/>
              <w:spacing w:line="240" w:lineRule="auto"/>
              <w:contextualSpacing/>
              <w:jc w:val="center"/>
            </w:pPr>
            <w:r w:rsidRPr="005F4D49">
              <w:t>108.2</w:t>
            </w:r>
          </w:p>
        </w:tc>
        <w:tc>
          <w:tcPr>
            <w:tcW w:w="921" w:type="pct"/>
            <w:tcBorders>
              <w:left w:val="single" w:sz="4" w:space="0" w:color="000000"/>
              <w:bottom w:val="single" w:sz="4" w:space="0" w:color="000000"/>
              <w:right w:val="single" w:sz="4" w:space="0" w:color="000000"/>
            </w:tcBorders>
            <w:shd w:val="clear" w:color="auto" w:fill="auto"/>
            <w:vAlign w:val="center"/>
          </w:tcPr>
          <w:p w14:paraId="24DCB1A0" w14:textId="77777777" w:rsidR="00867FDB" w:rsidRPr="005F4D49" w:rsidRDefault="00867FDB" w:rsidP="00386CBD">
            <w:pPr>
              <w:pStyle w:val="Table-Text"/>
              <w:spacing w:line="240" w:lineRule="auto"/>
              <w:contextualSpacing/>
              <w:jc w:val="center"/>
            </w:pPr>
            <w:r w:rsidRPr="005F4D49">
              <w:t>$93,300</w:t>
            </w:r>
          </w:p>
        </w:tc>
      </w:tr>
      <w:tr w:rsidR="00867FDB" w:rsidRPr="005F4D49" w14:paraId="2F138546" w14:textId="77777777" w:rsidTr="00525FE3">
        <w:trPr>
          <w:trHeight w:hRule="exact" w:val="288"/>
        </w:trPr>
        <w:tc>
          <w:tcPr>
            <w:tcW w:w="1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6797C" w14:textId="77777777" w:rsidR="00867FDB" w:rsidRPr="005F4D49" w:rsidRDefault="00867FDB" w:rsidP="00386CBD">
            <w:pPr>
              <w:pStyle w:val="Table-Text"/>
              <w:spacing w:line="240" w:lineRule="auto"/>
              <w:contextualSpacing/>
              <w:jc w:val="center"/>
            </w:pPr>
            <w:r w:rsidRPr="005F4D49">
              <w:t>SDA with New PM Control</w:t>
            </w:r>
          </w:p>
        </w:tc>
        <w:tc>
          <w:tcPr>
            <w:tcW w:w="9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5F6250" w14:textId="77777777" w:rsidR="00867FDB" w:rsidRPr="005F4D49" w:rsidRDefault="00867FDB" w:rsidP="00386CBD">
            <w:pPr>
              <w:pStyle w:val="Table-Text"/>
              <w:spacing w:line="240" w:lineRule="auto"/>
              <w:contextualSpacing/>
              <w:jc w:val="center"/>
            </w:pPr>
            <w:r w:rsidRPr="005F4D49">
              <w:t>$120,947,748</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4B6FDA" w14:textId="77777777" w:rsidR="00867FDB" w:rsidRPr="005F4D49" w:rsidRDefault="00867FDB" w:rsidP="00386CBD">
            <w:pPr>
              <w:pStyle w:val="Table-Text"/>
              <w:spacing w:line="240" w:lineRule="auto"/>
              <w:contextualSpacing/>
              <w:jc w:val="center"/>
            </w:pPr>
            <w:r w:rsidRPr="005F4D49">
              <w:t>$19,573,967</w:t>
            </w:r>
          </w:p>
        </w:tc>
        <w:tc>
          <w:tcPr>
            <w:tcW w:w="9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EE168" w14:textId="77777777" w:rsidR="00867FDB" w:rsidRPr="005F4D49" w:rsidRDefault="00867FDB" w:rsidP="00386CBD">
            <w:pPr>
              <w:pStyle w:val="Table-Text"/>
              <w:spacing w:line="240" w:lineRule="auto"/>
              <w:contextualSpacing/>
              <w:jc w:val="center"/>
            </w:pPr>
            <w:r w:rsidRPr="005F4D49">
              <w:t>108.2</w:t>
            </w: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9F2C6" w14:textId="77777777" w:rsidR="00867FDB" w:rsidRPr="005F4D49" w:rsidRDefault="00867FDB" w:rsidP="00386CBD">
            <w:pPr>
              <w:pStyle w:val="Table-Text"/>
              <w:spacing w:line="240" w:lineRule="auto"/>
              <w:contextualSpacing/>
              <w:jc w:val="center"/>
            </w:pPr>
            <w:r w:rsidRPr="005F4D49">
              <w:t>$180,891</w:t>
            </w:r>
          </w:p>
        </w:tc>
      </w:tr>
      <w:tr w:rsidR="00867FDB" w:rsidRPr="005F4D49" w14:paraId="192B2E8F" w14:textId="77777777" w:rsidTr="00525FE3">
        <w:trPr>
          <w:trHeight w:hRule="exact" w:val="288"/>
        </w:trPr>
        <w:tc>
          <w:tcPr>
            <w:tcW w:w="1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CA520" w14:textId="77777777" w:rsidR="00867FDB" w:rsidRPr="005F4D49" w:rsidRDefault="00867FDB" w:rsidP="00386CBD">
            <w:pPr>
              <w:pStyle w:val="Table-Text"/>
              <w:spacing w:line="240" w:lineRule="auto"/>
              <w:contextualSpacing/>
              <w:jc w:val="center"/>
            </w:pPr>
            <w:r w:rsidRPr="005F4D49">
              <w:t>GSA with New PM Control</w:t>
            </w:r>
          </w:p>
        </w:tc>
        <w:tc>
          <w:tcPr>
            <w:tcW w:w="9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87762D" w14:textId="77777777" w:rsidR="00867FDB" w:rsidRPr="005F4D49" w:rsidRDefault="00867FDB" w:rsidP="00386CBD">
            <w:pPr>
              <w:pStyle w:val="Table-Text"/>
              <w:spacing w:line="240" w:lineRule="auto"/>
              <w:contextualSpacing/>
              <w:jc w:val="center"/>
            </w:pPr>
            <w:r w:rsidRPr="005F4D49">
              <w:t>$113,793,152</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CD3CA3" w14:textId="77777777" w:rsidR="00867FDB" w:rsidRPr="005F4D49" w:rsidRDefault="00867FDB" w:rsidP="00386CBD">
            <w:pPr>
              <w:pStyle w:val="Table-Text"/>
              <w:spacing w:line="240" w:lineRule="auto"/>
              <w:contextualSpacing/>
              <w:jc w:val="center"/>
            </w:pPr>
            <w:r w:rsidRPr="005F4D49">
              <w:t>$18,757,651</w:t>
            </w:r>
          </w:p>
        </w:tc>
        <w:tc>
          <w:tcPr>
            <w:tcW w:w="9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C446F" w14:textId="77777777" w:rsidR="00867FDB" w:rsidRPr="005F4D49" w:rsidRDefault="00867FDB" w:rsidP="00386CBD">
            <w:pPr>
              <w:pStyle w:val="Table-Text"/>
              <w:spacing w:line="240" w:lineRule="auto"/>
              <w:contextualSpacing/>
              <w:jc w:val="center"/>
            </w:pPr>
            <w:r w:rsidRPr="005F4D49">
              <w:t>108.2</w:t>
            </w: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A1CAE" w14:textId="77777777" w:rsidR="00867FDB" w:rsidRPr="005F4D49" w:rsidRDefault="00867FDB" w:rsidP="00386CBD">
            <w:pPr>
              <w:pStyle w:val="Table-Text"/>
              <w:spacing w:line="240" w:lineRule="auto"/>
              <w:contextualSpacing/>
              <w:jc w:val="center"/>
            </w:pPr>
            <w:r w:rsidRPr="005F4D49">
              <w:t>$173,347</w:t>
            </w:r>
          </w:p>
        </w:tc>
      </w:tr>
    </w:tbl>
    <w:p w14:paraId="28A5D448" w14:textId="77777777" w:rsidR="00867FDB" w:rsidRPr="005F4D49" w:rsidRDefault="00867FDB" w:rsidP="00B1738B">
      <w:pPr>
        <w:spacing w:line="240" w:lineRule="auto"/>
        <w:contextualSpacing/>
      </w:pPr>
    </w:p>
    <w:p w14:paraId="7CCD87B3" w14:textId="7DDE5943" w:rsidR="00867FDB" w:rsidRPr="005F4D49" w:rsidRDefault="00867FDB" w:rsidP="00B1738B">
      <w:pPr>
        <w:spacing w:line="240" w:lineRule="auto"/>
        <w:contextualSpacing/>
      </w:pPr>
      <w:r>
        <w:t>NPS review finds</w:t>
      </w:r>
      <w:r w:rsidRPr="005F4D49">
        <w:t xml:space="preserve"> several </w:t>
      </w:r>
      <w:r>
        <w:t>areas in which</w:t>
      </w:r>
      <w:r w:rsidRPr="005F4D49">
        <w:t xml:space="preserve"> the UTAC cost analyses</w:t>
      </w:r>
      <w:r>
        <w:t xml:space="preserve"> deviates from CCM recommended methods</w:t>
      </w:r>
      <w:r w:rsidRPr="005F4D49">
        <w:t>:</w:t>
      </w:r>
    </w:p>
    <w:p w14:paraId="73DBCB0C" w14:textId="2D9F871B" w:rsidR="00867FDB" w:rsidRPr="005F4D49" w:rsidRDefault="00867FDB" w:rsidP="00B1738B">
      <w:pPr>
        <w:pStyle w:val="ListParagraph"/>
      </w:pPr>
      <w:r w:rsidRPr="005F4D49">
        <w:t xml:space="preserve">5.5% interest rate instead of </w:t>
      </w:r>
      <w:r w:rsidR="00386CBD">
        <w:t>3.5</w:t>
      </w:r>
      <w:r w:rsidRPr="005F4D49">
        <w:t xml:space="preserve">% </w:t>
      </w:r>
      <w:r w:rsidR="00386CBD">
        <w:t>used by MPCA in other analyses.</w:t>
      </w:r>
    </w:p>
    <w:p w14:paraId="52097049" w14:textId="77777777" w:rsidR="00867FDB" w:rsidRPr="005F4D49" w:rsidRDefault="00867FDB" w:rsidP="00B1738B">
      <w:pPr>
        <w:pStyle w:val="ListParagraph"/>
      </w:pPr>
      <w:r w:rsidRPr="005F4D49">
        <w:t>20-year life instead of 30 years recommended by the CCM</w:t>
      </w:r>
    </w:p>
    <w:p w14:paraId="4F259422" w14:textId="15D55C5B" w:rsidR="00867FDB" w:rsidRPr="005F4D49" w:rsidRDefault="00867FDB" w:rsidP="00B1738B">
      <w:pPr>
        <w:pStyle w:val="ListParagraph"/>
      </w:pPr>
      <w:r w:rsidRPr="005F4D49">
        <w:t xml:space="preserve">50% </w:t>
      </w:r>
      <w:r w:rsidRPr="00A9462F">
        <w:t>SO</w:t>
      </w:r>
      <w:r w:rsidRPr="00A9462F">
        <w:rPr>
          <w:vertAlign w:val="subscript"/>
        </w:rPr>
        <w:t>2</w:t>
      </w:r>
      <w:r w:rsidRPr="005F4D49">
        <w:t xml:space="preserve"> control efficiency instead of 95% for SDA (CCM) or GSA</w:t>
      </w:r>
    </w:p>
    <w:p w14:paraId="6CD3D42B" w14:textId="243BAE13" w:rsidR="00867FDB" w:rsidRDefault="00867FDB" w:rsidP="00B1738B">
      <w:pPr>
        <w:pStyle w:val="Heading4"/>
        <w:spacing w:line="240" w:lineRule="auto"/>
        <w:contextualSpacing/>
      </w:pPr>
      <w:r>
        <w:t>Statutory Factor 2: Time Necessary for Compliance</w:t>
      </w:r>
    </w:p>
    <w:p w14:paraId="1C676958" w14:textId="285ED44C" w:rsidR="00867FDB" w:rsidRPr="0050664B" w:rsidRDefault="00867FDB" w:rsidP="00B1738B">
      <w:pPr>
        <w:spacing w:line="240" w:lineRule="auto"/>
        <w:contextualSpacing/>
      </w:pPr>
      <w:r>
        <w:t xml:space="preserve">According to UTAC: </w:t>
      </w:r>
      <w:r w:rsidRPr="0050664B">
        <w:t>A state SIP revision is needed to approve a new statistically derived emissions limit methodology based on the emission performance of the new system, e.g. 99 percent UPL. Barr assumes that the revisions would occur within 12 to 18 months after the MPCA submits its regional haze SIP for the second implementation period (approximately 2022 to 2023). After the SIP is promulgated, the technology would require significant resources and a time period of approximately five years to engineer, permit, and install the equipment.</w:t>
      </w:r>
    </w:p>
    <w:p w14:paraId="157F64F8" w14:textId="21BF0321" w:rsidR="00867FDB" w:rsidRDefault="00867FDB" w:rsidP="00B1738B">
      <w:pPr>
        <w:pStyle w:val="Heading4"/>
        <w:spacing w:line="240" w:lineRule="auto"/>
        <w:contextualSpacing/>
      </w:pPr>
      <w:r>
        <w:t>Statutory Factor 3: Energy and Non-Air Quality Environmental Impacts</w:t>
      </w:r>
    </w:p>
    <w:p w14:paraId="42303FF9" w14:textId="1C40095C" w:rsidR="00867FDB" w:rsidRPr="00DE23E2" w:rsidRDefault="00867FDB" w:rsidP="00B1738B">
      <w:pPr>
        <w:spacing w:line="240" w:lineRule="auto"/>
        <w:contextualSpacing/>
      </w:pPr>
      <w:r w:rsidRPr="00E92BD0">
        <w:t xml:space="preserve">Energy usage </w:t>
      </w:r>
      <w:r>
        <w:t xml:space="preserve">and costs associated with solid waste handling and disposal are </w:t>
      </w:r>
      <w:r w:rsidRPr="00E92BD0">
        <w:t>most appropriately accounted for in the Cost of Compliance analysis</w:t>
      </w:r>
      <w:r>
        <w:t>.</w:t>
      </w:r>
    </w:p>
    <w:p w14:paraId="53512E92" w14:textId="77777777" w:rsidR="00867FDB" w:rsidRDefault="00867FDB" w:rsidP="00B1738B">
      <w:pPr>
        <w:pStyle w:val="Heading4"/>
        <w:spacing w:line="240" w:lineRule="auto"/>
        <w:contextualSpacing/>
      </w:pPr>
      <w:r w:rsidRPr="00294DA7">
        <w:t>Stat</w:t>
      </w:r>
      <w:r>
        <w:t>utory</w:t>
      </w:r>
      <w:r w:rsidRPr="00294DA7">
        <w:t xml:space="preserve"> Factor 4: Remaining Useful Life</w:t>
      </w:r>
    </w:p>
    <w:p w14:paraId="08928AFB" w14:textId="43412C1A" w:rsidR="00867FDB" w:rsidRDefault="00867FDB" w:rsidP="00B1738B">
      <w:pPr>
        <w:spacing w:line="240" w:lineRule="auto"/>
        <w:contextualSpacing/>
      </w:pPr>
      <w:r w:rsidRPr="0013554A">
        <w:t>The CCM recommends 30 years for scrubber life.</w:t>
      </w:r>
    </w:p>
    <w:p w14:paraId="037FA08E" w14:textId="05B9B606" w:rsidR="00867FDB" w:rsidRPr="004A6233" w:rsidRDefault="00867FDB" w:rsidP="00B1738B">
      <w:pPr>
        <w:pStyle w:val="Heading3"/>
        <w:spacing w:line="240" w:lineRule="auto"/>
        <w:contextualSpacing/>
      </w:pPr>
      <w:r w:rsidRPr="004A6233">
        <w:t>PM Four Factor Analysis</w:t>
      </w:r>
    </w:p>
    <w:p w14:paraId="280DFE7E" w14:textId="77777777" w:rsidR="00867FDB" w:rsidRDefault="00867FDB" w:rsidP="00B1738B">
      <w:pPr>
        <w:pStyle w:val="Heading4"/>
        <w:spacing w:line="240" w:lineRule="auto"/>
        <w:contextualSpacing/>
      </w:pPr>
      <w:r w:rsidRPr="004A6233">
        <w:t xml:space="preserve">Particulate emission reductions were not considered. </w:t>
      </w:r>
    </w:p>
    <w:p w14:paraId="523F0F86" w14:textId="5C0EDB37" w:rsidR="00867FDB" w:rsidRDefault="00867FDB" w:rsidP="00B1738B">
      <w:pPr>
        <w:spacing w:line="240" w:lineRule="auto"/>
        <w:contextualSpacing/>
      </w:pPr>
      <w:r w:rsidRPr="004A6233">
        <w:t xml:space="preserve">UTAC </w:t>
      </w:r>
      <w:r>
        <w:t xml:space="preserve">states </w:t>
      </w:r>
      <w:r w:rsidRPr="004A6233">
        <w:t xml:space="preserve">that the existing wet scrubbers are 94% effective at reducing PM. </w:t>
      </w:r>
      <w:r>
        <w:t>NPS</w:t>
      </w:r>
      <w:r w:rsidRPr="004A6233">
        <w:t xml:space="preserve"> calculations based upon Appendix B of UTAC’s </w:t>
      </w:r>
      <w:r>
        <w:t>four factor</w:t>
      </w:r>
      <w:r w:rsidRPr="004A6233">
        <w:t xml:space="preserve"> estimate that Line 1 PM emissions are almost 1,500 </w:t>
      </w:r>
      <w:proofErr w:type="spellStart"/>
      <w:r w:rsidRPr="004A6233">
        <w:t>tpy</w:t>
      </w:r>
      <w:proofErr w:type="spellEnd"/>
      <w:r w:rsidRPr="004A6233">
        <w:t xml:space="preserve"> and Line 2 PM emissions exceed 3,400 </w:t>
      </w:r>
      <w:proofErr w:type="spellStart"/>
      <w:r w:rsidRPr="004A6233">
        <w:t>tpy</w:t>
      </w:r>
      <w:proofErr w:type="spellEnd"/>
      <w:r w:rsidRPr="004A6233">
        <w:t xml:space="preserve">. (MPCA </w:t>
      </w:r>
      <w:r>
        <w:t>indicates</w:t>
      </w:r>
      <w:r w:rsidRPr="004A6233">
        <w:t xml:space="preserve"> that Line 2 emitted 94 tons of PM</w:t>
      </w:r>
      <w:r w:rsidRPr="004A6233">
        <w:rPr>
          <w:vertAlign w:val="subscript"/>
        </w:rPr>
        <w:t xml:space="preserve">2.5 </w:t>
      </w:r>
      <w:r w:rsidRPr="004A6233">
        <w:t>in 2017.)</w:t>
      </w:r>
    </w:p>
    <w:p w14:paraId="40FCC6F7" w14:textId="77777777" w:rsidR="00386CBD" w:rsidRPr="004A6233" w:rsidRDefault="00386CBD" w:rsidP="00B1738B">
      <w:pPr>
        <w:spacing w:line="240" w:lineRule="auto"/>
        <w:contextualSpacing/>
      </w:pPr>
    </w:p>
    <w:p w14:paraId="2A6FBF22" w14:textId="677A0428" w:rsidR="00774E49" w:rsidRDefault="00867FDB" w:rsidP="00B1738B">
      <w:pPr>
        <w:spacing w:line="240" w:lineRule="auto"/>
        <w:contextualSpacing/>
      </w:pPr>
      <w:r w:rsidRPr="004A6233">
        <w:t xml:space="preserve">According to the CCM, modern fabric filter baghouses and ESPs can remove at least 99.9% of particulate matter. Compared to the existing PM controls, a new baghouse or ESP could reduce annual PM emissions from Line 1 by 1,472 tons and Line 2 by 3,347 tons. </w:t>
      </w:r>
    </w:p>
    <w:p w14:paraId="4EFE6C70" w14:textId="1192F2D6" w:rsidR="00774E49" w:rsidRDefault="00774E49" w:rsidP="00B1738B">
      <w:pPr>
        <w:spacing w:line="240" w:lineRule="auto"/>
        <w:contextualSpacing/>
      </w:pPr>
    </w:p>
    <w:p w14:paraId="76B2083D" w14:textId="2F2A954D" w:rsidR="00774E49" w:rsidRPr="00A057A5" w:rsidRDefault="00774E49" w:rsidP="00774E49">
      <w:pPr>
        <w:spacing w:line="240" w:lineRule="auto"/>
        <w:contextualSpacing/>
        <w:rPr>
          <w:rStyle w:val="SubtleReference"/>
        </w:rPr>
      </w:pPr>
      <w:r w:rsidRPr="00A057A5">
        <w:rPr>
          <w:rStyle w:val="SubtleReference"/>
        </w:rPr>
        <w:t>Integrated Multi-Pollutant Strategy</w:t>
      </w:r>
    </w:p>
    <w:p w14:paraId="0FAE668B" w14:textId="30A0A57C" w:rsidR="00774E49" w:rsidRDefault="00774E49" w:rsidP="00774E49">
      <w:pPr>
        <w:spacing w:line="240" w:lineRule="auto"/>
        <w:contextualSpacing/>
        <w:rPr>
          <w:b/>
          <w:bCs/>
        </w:rPr>
      </w:pPr>
    </w:p>
    <w:p w14:paraId="7F59C1BE" w14:textId="77777777" w:rsidR="00774E49" w:rsidRDefault="00774E49" w:rsidP="00774E49">
      <w:pPr>
        <w:spacing w:line="240" w:lineRule="auto"/>
        <w:contextualSpacing/>
      </w:pPr>
      <w:r w:rsidRPr="00186702">
        <w:t xml:space="preserve">UTAC evaluated replacing the existing wet scrubber on Line 2 with a modern </w:t>
      </w:r>
      <w:r w:rsidRPr="00A9462F">
        <w:t>SO</w:t>
      </w:r>
      <w:r w:rsidRPr="00A9462F">
        <w:rPr>
          <w:vertAlign w:val="subscript"/>
        </w:rPr>
        <w:t>2</w:t>
      </w:r>
      <w:r w:rsidRPr="00186702">
        <w:t xml:space="preserve"> scrubber and fabric filter or ESP.</w:t>
      </w:r>
      <w:r>
        <w:t xml:space="preserve"> </w:t>
      </w:r>
      <w:r w:rsidRPr="00186702">
        <w:t xml:space="preserve">Although tail-end SCR with reheat may be technically-feasible when installed after the existing wet scrubbers, an integrated approach that precedes it with dry scrubbing and a fabric filter would minimize catalyst fouling (improving the technical feasibility of SCR) while drastically reducing PM emissions as well as reducing </w:t>
      </w:r>
      <w:r w:rsidRPr="00A9462F">
        <w:t>SO</w:t>
      </w:r>
      <w:r w:rsidRPr="00A9462F">
        <w:rPr>
          <w:vertAlign w:val="subscript"/>
        </w:rPr>
        <w:t>2</w:t>
      </w:r>
      <w:r w:rsidRPr="00186702">
        <w:t xml:space="preserve"> emissions. The table below illustrates how such an integrated approach could reduce visibility-impairing emissions by thousands of tons per year in a cost-effective manner. </w:t>
      </w:r>
    </w:p>
    <w:p w14:paraId="33AB9FA3" w14:textId="77777777" w:rsidR="00811B6C" w:rsidRDefault="00811B6C" w:rsidP="00774E49">
      <w:pPr>
        <w:spacing w:line="240" w:lineRule="auto"/>
        <w:contextualSpacing/>
      </w:pPr>
    </w:p>
    <w:p w14:paraId="4E19221B" w14:textId="77777777" w:rsidR="00264332" w:rsidRDefault="00264332">
      <w:pPr>
        <w:rPr>
          <w:bCs/>
          <w:i/>
          <w:iCs/>
          <w:color w:val="44546A" w:themeColor="text2"/>
          <w:sz w:val="22"/>
          <w:szCs w:val="18"/>
        </w:rPr>
      </w:pPr>
      <w:r>
        <w:br w:type="page"/>
      </w:r>
    </w:p>
    <w:p w14:paraId="26F2F330" w14:textId="1F7B091B" w:rsidR="00774E49" w:rsidRDefault="00803A0E" w:rsidP="00803A0E">
      <w:pPr>
        <w:pStyle w:val="Caption"/>
      </w:pPr>
      <w:r>
        <w:t xml:space="preserve">Table </w:t>
      </w:r>
      <w:r>
        <w:fldChar w:fldCharType="begin"/>
      </w:r>
      <w:r>
        <w:instrText>SEQ Table \* ARABIC</w:instrText>
      </w:r>
      <w:r>
        <w:fldChar w:fldCharType="separate"/>
      </w:r>
      <w:r>
        <w:rPr>
          <w:noProof/>
        </w:rPr>
        <w:t>20</w:t>
      </w:r>
      <w:r>
        <w:fldChar w:fldCharType="end"/>
      </w:r>
      <w:r>
        <w:t xml:space="preserve">. </w:t>
      </w:r>
      <w:r w:rsidR="00774E49" w:rsidRPr="00435D56">
        <w:t>NPS control</w:t>
      </w:r>
      <w:r w:rsidR="00774E49">
        <w:t xml:space="preserve"> cost estimates for an integrated approach to UTAC emissions</w:t>
      </w:r>
    </w:p>
    <w:tbl>
      <w:tblPr>
        <w:tblW w:w="5000" w:type="pct"/>
        <w:tblLook w:val="04A0" w:firstRow="1" w:lastRow="0" w:firstColumn="1" w:lastColumn="0" w:noHBand="0" w:noVBand="1"/>
      </w:tblPr>
      <w:tblGrid>
        <w:gridCol w:w="5444"/>
        <w:gridCol w:w="1679"/>
        <w:gridCol w:w="2217"/>
      </w:tblGrid>
      <w:tr w:rsidR="00774E49" w:rsidRPr="00774E49" w14:paraId="790C75D7" w14:textId="77777777" w:rsidTr="3328C818">
        <w:trPr>
          <w:trHeight w:hRule="exact" w:val="288"/>
        </w:trPr>
        <w:tc>
          <w:tcPr>
            <w:tcW w:w="2914" w:type="pct"/>
            <w:tcBorders>
              <w:top w:val="single" w:sz="8" w:space="0" w:color="auto"/>
              <w:left w:val="single" w:sz="8" w:space="0" w:color="auto"/>
              <w:bottom w:val="single" w:sz="8" w:space="0" w:color="auto"/>
              <w:right w:val="nil"/>
            </w:tcBorders>
            <w:shd w:val="clear" w:color="auto" w:fill="auto"/>
            <w:noWrap/>
            <w:vAlign w:val="center"/>
            <w:hideMark/>
          </w:tcPr>
          <w:p w14:paraId="516848FC" w14:textId="77777777" w:rsidR="00774E49" w:rsidRPr="005F5921" w:rsidRDefault="00774E49" w:rsidP="000818A7">
            <w:pPr>
              <w:pStyle w:val="Table-Text"/>
              <w:rPr>
                <w:b/>
              </w:rPr>
            </w:pPr>
            <w:r w:rsidRPr="005F5921">
              <w:rPr>
                <w:b/>
              </w:rPr>
              <w:t>UTAC Fairlane Plant</w:t>
            </w:r>
          </w:p>
        </w:tc>
        <w:tc>
          <w:tcPr>
            <w:tcW w:w="8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C4CF81" w14:textId="77777777" w:rsidR="00774E49" w:rsidRPr="005F5921" w:rsidRDefault="00EE344B" w:rsidP="3328C818">
            <w:pPr>
              <w:pStyle w:val="Table-Text"/>
              <w:jc w:val="center"/>
              <w:rPr>
                <w:b/>
                <w:bCs/>
              </w:rPr>
            </w:pPr>
            <w:r w:rsidRPr="3328C818">
              <w:rPr>
                <w:b/>
                <w:bCs/>
              </w:rPr>
              <w:t>Line 1</w:t>
            </w:r>
          </w:p>
        </w:tc>
        <w:tc>
          <w:tcPr>
            <w:tcW w:w="1187" w:type="pct"/>
            <w:tcBorders>
              <w:top w:val="single" w:sz="8" w:space="0" w:color="auto"/>
              <w:left w:val="nil"/>
              <w:bottom w:val="single" w:sz="8" w:space="0" w:color="auto"/>
              <w:right w:val="single" w:sz="8" w:space="0" w:color="auto"/>
            </w:tcBorders>
            <w:shd w:val="clear" w:color="auto" w:fill="auto"/>
            <w:noWrap/>
            <w:vAlign w:val="center"/>
            <w:hideMark/>
          </w:tcPr>
          <w:p w14:paraId="2159472E" w14:textId="77777777" w:rsidR="00774E49" w:rsidRPr="005F5921" w:rsidRDefault="00EE344B" w:rsidP="3328C818">
            <w:pPr>
              <w:pStyle w:val="Table-Text"/>
              <w:jc w:val="center"/>
              <w:rPr>
                <w:b/>
                <w:bCs/>
              </w:rPr>
            </w:pPr>
            <w:r w:rsidRPr="3328C818">
              <w:rPr>
                <w:b/>
                <w:bCs/>
              </w:rPr>
              <w:t>Line 2</w:t>
            </w:r>
          </w:p>
        </w:tc>
      </w:tr>
      <w:tr w:rsidR="00774E49" w:rsidRPr="00774E49" w14:paraId="4E145D87" w14:textId="77777777" w:rsidTr="3328C818">
        <w:trPr>
          <w:trHeight w:hRule="exact" w:val="288"/>
        </w:trPr>
        <w:tc>
          <w:tcPr>
            <w:tcW w:w="2914" w:type="pct"/>
            <w:tcBorders>
              <w:top w:val="nil"/>
              <w:left w:val="single" w:sz="8" w:space="0" w:color="auto"/>
              <w:bottom w:val="nil"/>
              <w:right w:val="nil"/>
            </w:tcBorders>
            <w:shd w:val="clear" w:color="auto" w:fill="auto"/>
            <w:noWrap/>
            <w:vAlign w:val="center"/>
            <w:hideMark/>
          </w:tcPr>
          <w:p w14:paraId="6E11B9E8" w14:textId="77777777" w:rsidR="00774E49" w:rsidRPr="00774E49" w:rsidRDefault="00774E49" w:rsidP="000818A7">
            <w:pPr>
              <w:pStyle w:val="Table-Text"/>
            </w:pPr>
            <w:r w:rsidRPr="00774E49">
              <w:t>Total Annual Cost (GSA+ESP+FF+SCR)</w:t>
            </w:r>
          </w:p>
        </w:tc>
        <w:tc>
          <w:tcPr>
            <w:tcW w:w="899" w:type="pct"/>
            <w:tcBorders>
              <w:top w:val="nil"/>
              <w:left w:val="single" w:sz="8" w:space="0" w:color="auto"/>
              <w:bottom w:val="single" w:sz="4" w:space="0" w:color="auto"/>
              <w:right w:val="single" w:sz="8" w:space="0" w:color="auto"/>
            </w:tcBorders>
            <w:shd w:val="clear" w:color="auto" w:fill="auto"/>
            <w:noWrap/>
            <w:vAlign w:val="center"/>
            <w:hideMark/>
          </w:tcPr>
          <w:p w14:paraId="3915DC6A" w14:textId="77777777" w:rsidR="00774E49" w:rsidRPr="00774E49" w:rsidRDefault="00EE344B" w:rsidP="3328C818">
            <w:pPr>
              <w:pStyle w:val="Table-Text"/>
              <w:jc w:val="center"/>
            </w:pPr>
            <w:r>
              <w:t>?</w:t>
            </w:r>
          </w:p>
        </w:tc>
        <w:tc>
          <w:tcPr>
            <w:tcW w:w="1187" w:type="pct"/>
            <w:tcBorders>
              <w:top w:val="nil"/>
              <w:left w:val="nil"/>
              <w:bottom w:val="single" w:sz="4" w:space="0" w:color="auto"/>
              <w:right w:val="single" w:sz="8" w:space="0" w:color="auto"/>
            </w:tcBorders>
            <w:shd w:val="clear" w:color="auto" w:fill="auto"/>
            <w:noWrap/>
            <w:vAlign w:val="center"/>
            <w:hideMark/>
          </w:tcPr>
          <w:p w14:paraId="16B58DFA" w14:textId="77777777" w:rsidR="00774E49" w:rsidRPr="00774E49" w:rsidRDefault="00EE344B" w:rsidP="3328C818">
            <w:pPr>
              <w:pStyle w:val="Table-Text"/>
              <w:jc w:val="center"/>
            </w:pPr>
            <w:r>
              <w:t>$ 28,783,891</w:t>
            </w:r>
          </w:p>
        </w:tc>
      </w:tr>
      <w:tr w:rsidR="00774E49" w:rsidRPr="00774E49" w14:paraId="440C2C55" w14:textId="77777777" w:rsidTr="3328C818">
        <w:trPr>
          <w:trHeight w:hRule="exact" w:val="288"/>
        </w:trPr>
        <w:tc>
          <w:tcPr>
            <w:tcW w:w="2914" w:type="pct"/>
            <w:tcBorders>
              <w:top w:val="single" w:sz="4" w:space="0" w:color="auto"/>
              <w:left w:val="single" w:sz="8" w:space="0" w:color="auto"/>
              <w:bottom w:val="single" w:sz="4" w:space="0" w:color="auto"/>
              <w:right w:val="nil"/>
            </w:tcBorders>
            <w:shd w:val="clear" w:color="auto" w:fill="auto"/>
            <w:noWrap/>
            <w:vAlign w:val="center"/>
            <w:hideMark/>
          </w:tcPr>
          <w:p w14:paraId="7E54D63C" w14:textId="77777777" w:rsidR="00774E49" w:rsidRPr="00774E49" w:rsidRDefault="00774E49" w:rsidP="000818A7">
            <w:pPr>
              <w:pStyle w:val="Table-Text"/>
            </w:pPr>
            <w:r w:rsidRPr="00774E49">
              <w:t>Tons NO</w:t>
            </w:r>
            <w:r w:rsidRPr="005B32E6">
              <w:rPr>
                <w:vertAlign w:val="subscript"/>
              </w:rPr>
              <w:t>x</w:t>
            </w:r>
            <w:r w:rsidRPr="00774E49">
              <w:t xml:space="preserve"> Removed</w:t>
            </w:r>
          </w:p>
        </w:tc>
        <w:tc>
          <w:tcPr>
            <w:tcW w:w="899" w:type="pct"/>
            <w:tcBorders>
              <w:top w:val="nil"/>
              <w:left w:val="single" w:sz="8" w:space="0" w:color="auto"/>
              <w:bottom w:val="single" w:sz="4" w:space="0" w:color="auto"/>
              <w:right w:val="single" w:sz="8" w:space="0" w:color="auto"/>
            </w:tcBorders>
            <w:shd w:val="clear" w:color="auto" w:fill="auto"/>
            <w:noWrap/>
            <w:vAlign w:val="center"/>
            <w:hideMark/>
          </w:tcPr>
          <w:p w14:paraId="17ABC5F8" w14:textId="77777777" w:rsidR="00774E49" w:rsidRPr="00774E49" w:rsidRDefault="00EE344B" w:rsidP="3328C818">
            <w:pPr>
              <w:pStyle w:val="Table-Text"/>
              <w:jc w:val="center"/>
            </w:pPr>
            <w:r>
              <w:t>1,052</w:t>
            </w:r>
          </w:p>
        </w:tc>
        <w:tc>
          <w:tcPr>
            <w:tcW w:w="1187" w:type="pct"/>
            <w:tcBorders>
              <w:top w:val="nil"/>
              <w:left w:val="nil"/>
              <w:bottom w:val="single" w:sz="4" w:space="0" w:color="auto"/>
              <w:right w:val="single" w:sz="8" w:space="0" w:color="auto"/>
            </w:tcBorders>
            <w:shd w:val="clear" w:color="auto" w:fill="auto"/>
            <w:noWrap/>
            <w:vAlign w:val="center"/>
            <w:hideMark/>
          </w:tcPr>
          <w:p w14:paraId="33D66C79" w14:textId="77777777" w:rsidR="00774E49" w:rsidRPr="00774E49" w:rsidRDefault="00EE344B" w:rsidP="3328C818">
            <w:pPr>
              <w:pStyle w:val="Table-Text"/>
              <w:jc w:val="center"/>
            </w:pPr>
            <w:r>
              <w:t>1,484</w:t>
            </w:r>
          </w:p>
        </w:tc>
      </w:tr>
      <w:tr w:rsidR="00774E49" w:rsidRPr="00774E49" w14:paraId="222038DE" w14:textId="77777777" w:rsidTr="3328C818">
        <w:trPr>
          <w:trHeight w:hRule="exact" w:val="288"/>
        </w:trPr>
        <w:tc>
          <w:tcPr>
            <w:tcW w:w="2914" w:type="pct"/>
            <w:tcBorders>
              <w:top w:val="nil"/>
              <w:left w:val="single" w:sz="8" w:space="0" w:color="auto"/>
              <w:bottom w:val="single" w:sz="4" w:space="0" w:color="auto"/>
              <w:right w:val="nil"/>
            </w:tcBorders>
            <w:shd w:val="clear" w:color="auto" w:fill="auto"/>
            <w:noWrap/>
            <w:vAlign w:val="center"/>
            <w:hideMark/>
          </w:tcPr>
          <w:p w14:paraId="220D9292" w14:textId="77777777" w:rsidR="00774E49" w:rsidRPr="00774E49" w:rsidRDefault="00774E49" w:rsidP="000818A7">
            <w:pPr>
              <w:pStyle w:val="Table-Text"/>
            </w:pPr>
            <w:r w:rsidRPr="00774E49">
              <w:t>Tons PM removed</w:t>
            </w:r>
          </w:p>
        </w:tc>
        <w:tc>
          <w:tcPr>
            <w:tcW w:w="899" w:type="pct"/>
            <w:tcBorders>
              <w:top w:val="nil"/>
              <w:left w:val="single" w:sz="8" w:space="0" w:color="auto"/>
              <w:bottom w:val="single" w:sz="4" w:space="0" w:color="auto"/>
              <w:right w:val="single" w:sz="8" w:space="0" w:color="auto"/>
            </w:tcBorders>
            <w:shd w:val="clear" w:color="auto" w:fill="auto"/>
            <w:noWrap/>
            <w:vAlign w:val="center"/>
            <w:hideMark/>
          </w:tcPr>
          <w:p w14:paraId="7DBCAEC5" w14:textId="77777777" w:rsidR="00774E49" w:rsidRPr="00774E49" w:rsidRDefault="00EE344B" w:rsidP="3328C818">
            <w:pPr>
              <w:pStyle w:val="Table-Text"/>
              <w:jc w:val="center"/>
            </w:pPr>
            <w:r>
              <w:t>1,472</w:t>
            </w:r>
          </w:p>
        </w:tc>
        <w:tc>
          <w:tcPr>
            <w:tcW w:w="1187" w:type="pct"/>
            <w:tcBorders>
              <w:top w:val="nil"/>
              <w:left w:val="nil"/>
              <w:bottom w:val="single" w:sz="4" w:space="0" w:color="auto"/>
              <w:right w:val="single" w:sz="8" w:space="0" w:color="auto"/>
            </w:tcBorders>
            <w:shd w:val="clear" w:color="auto" w:fill="auto"/>
            <w:noWrap/>
            <w:vAlign w:val="center"/>
            <w:hideMark/>
          </w:tcPr>
          <w:p w14:paraId="4A89C390" w14:textId="77777777" w:rsidR="00774E49" w:rsidRPr="00774E49" w:rsidRDefault="00EE344B" w:rsidP="3328C818">
            <w:pPr>
              <w:pStyle w:val="Table-Text"/>
              <w:jc w:val="center"/>
            </w:pPr>
            <w:r>
              <w:t>3,347</w:t>
            </w:r>
          </w:p>
        </w:tc>
      </w:tr>
      <w:tr w:rsidR="00774E49" w:rsidRPr="00774E49" w14:paraId="19D57C06" w14:textId="77777777" w:rsidTr="3328C818">
        <w:trPr>
          <w:trHeight w:hRule="exact" w:val="288"/>
        </w:trPr>
        <w:tc>
          <w:tcPr>
            <w:tcW w:w="2914" w:type="pct"/>
            <w:tcBorders>
              <w:top w:val="nil"/>
              <w:left w:val="single" w:sz="8" w:space="0" w:color="auto"/>
              <w:bottom w:val="single" w:sz="4" w:space="0" w:color="auto"/>
              <w:right w:val="nil"/>
            </w:tcBorders>
            <w:shd w:val="clear" w:color="auto" w:fill="auto"/>
            <w:noWrap/>
            <w:vAlign w:val="center"/>
            <w:hideMark/>
          </w:tcPr>
          <w:p w14:paraId="4932500D" w14:textId="77777777" w:rsidR="00774E49" w:rsidRPr="00774E49" w:rsidRDefault="00774E49" w:rsidP="000818A7">
            <w:pPr>
              <w:pStyle w:val="Table-Text"/>
            </w:pPr>
            <w:r w:rsidRPr="00774E49">
              <w:t>Tons SO</w:t>
            </w:r>
            <w:r w:rsidRPr="005B32E6">
              <w:rPr>
                <w:vertAlign w:val="subscript"/>
              </w:rPr>
              <w:t>2</w:t>
            </w:r>
            <w:r w:rsidRPr="00774E49">
              <w:t xml:space="preserve"> Removed</w:t>
            </w:r>
          </w:p>
        </w:tc>
        <w:tc>
          <w:tcPr>
            <w:tcW w:w="899" w:type="pct"/>
            <w:tcBorders>
              <w:top w:val="nil"/>
              <w:left w:val="single" w:sz="8" w:space="0" w:color="auto"/>
              <w:bottom w:val="single" w:sz="4" w:space="0" w:color="auto"/>
              <w:right w:val="single" w:sz="8" w:space="0" w:color="auto"/>
            </w:tcBorders>
            <w:shd w:val="clear" w:color="auto" w:fill="auto"/>
            <w:noWrap/>
            <w:vAlign w:val="center"/>
            <w:hideMark/>
          </w:tcPr>
          <w:p w14:paraId="2A35CD6E" w14:textId="77777777" w:rsidR="00774E49" w:rsidRPr="00774E49" w:rsidRDefault="00EE344B" w:rsidP="3328C818">
            <w:pPr>
              <w:pStyle w:val="Table-Text"/>
              <w:jc w:val="center"/>
            </w:pPr>
            <w:r>
              <w:t>16</w:t>
            </w:r>
          </w:p>
        </w:tc>
        <w:tc>
          <w:tcPr>
            <w:tcW w:w="1187" w:type="pct"/>
            <w:tcBorders>
              <w:top w:val="nil"/>
              <w:left w:val="nil"/>
              <w:bottom w:val="single" w:sz="4" w:space="0" w:color="auto"/>
              <w:right w:val="single" w:sz="8" w:space="0" w:color="auto"/>
            </w:tcBorders>
            <w:shd w:val="clear" w:color="auto" w:fill="auto"/>
            <w:noWrap/>
            <w:vAlign w:val="center"/>
            <w:hideMark/>
          </w:tcPr>
          <w:p w14:paraId="6D16AC1B" w14:textId="77777777" w:rsidR="00774E49" w:rsidRPr="00774E49" w:rsidRDefault="00EE344B" w:rsidP="3328C818">
            <w:pPr>
              <w:pStyle w:val="Table-Text"/>
              <w:jc w:val="center"/>
            </w:pPr>
            <w:r>
              <w:t>145</w:t>
            </w:r>
          </w:p>
        </w:tc>
      </w:tr>
      <w:tr w:rsidR="00774E49" w:rsidRPr="00774E49" w14:paraId="4A07434F" w14:textId="77777777" w:rsidTr="3328C818">
        <w:trPr>
          <w:trHeight w:hRule="exact" w:val="288"/>
        </w:trPr>
        <w:tc>
          <w:tcPr>
            <w:tcW w:w="2914" w:type="pct"/>
            <w:tcBorders>
              <w:top w:val="nil"/>
              <w:left w:val="single" w:sz="8" w:space="0" w:color="auto"/>
              <w:bottom w:val="single" w:sz="8" w:space="0" w:color="auto"/>
              <w:right w:val="nil"/>
            </w:tcBorders>
            <w:shd w:val="clear" w:color="auto" w:fill="auto"/>
            <w:noWrap/>
            <w:vAlign w:val="center"/>
            <w:hideMark/>
          </w:tcPr>
          <w:p w14:paraId="2E03C188" w14:textId="77777777" w:rsidR="00774E49" w:rsidRPr="00774E49" w:rsidRDefault="00774E49" w:rsidP="000818A7">
            <w:pPr>
              <w:pStyle w:val="Table-Text"/>
            </w:pPr>
            <w:r w:rsidRPr="00774E49">
              <w:t>Total Tons Removed</w:t>
            </w:r>
          </w:p>
        </w:tc>
        <w:tc>
          <w:tcPr>
            <w:tcW w:w="899" w:type="pct"/>
            <w:tcBorders>
              <w:top w:val="nil"/>
              <w:left w:val="single" w:sz="8" w:space="0" w:color="auto"/>
              <w:bottom w:val="single" w:sz="8" w:space="0" w:color="auto"/>
              <w:right w:val="single" w:sz="8" w:space="0" w:color="auto"/>
            </w:tcBorders>
            <w:shd w:val="clear" w:color="auto" w:fill="auto"/>
            <w:noWrap/>
            <w:vAlign w:val="center"/>
            <w:hideMark/>
          </w:tcPr>
          <w:p w14:paraId="61243F98" w14:textId="77777777" w:rsidR="00774E49" w:rsidRPr="00774E49" w:rsidRDefault="00EE344B" w:rsidP="3328C818">
            <w:pPr>
              <w:pStyle w:val="Table-Text"/>
              <w:jc w:val="center"/>
            </w:pPr>
            <w:r>
              <w:t>2,540</w:t>
            </w:r>
          </w:p>
        </w:tc>
        <w:tc>
          <w:tcPr>
            <w:tcW w:w="1187" w:type="pct"/>
            <w:tcBorders>
              <w:top w:val="nil"/>
              <w:left w:val="nil"/>
              <w:bottom w:val="single" w:sz="8" w:space="0" w:color="auto"/>
              <w:right w:val="single" w:sz="8" w:space="0" w:color="auto"/>
            </w:tcBorders>
            <w:shd w:val="clear" w:color="auto" w:fill="auto"/>
            <w:noWrap/>
            <w:vAlign w:val="center"/>
            <w:hideMark/>
          </w:tcPr>
          <w:p w14:paraId="46A8851B" w14:textId="77777777" w:rsidR="00774E49" w:rsidRPr="00774E49" w:rsidRDefault="00EE344B" w:rsidP="3328C818">
            <w:pPr>
              <w:pStyle w:val="Table-Text"/>
              <w:jc w:val="center"/>
            </w:pPr>
            <w:r>
              <w:t>4,976</w:t>
            </w:r>
          </w:p>
        </w:tc>
      </w:tr>
      <w:tr w:rsidR="00774E49" w:rsidRPr="00774E49" w14:paraId="0F22E396" w14:textId="77777777" w:rsidTr="3328C818">
        <w:trPr>
          <w:trHeight w:hRule="exact" w:val="288"/>
        </w:trPr>
        <w:tc>
          <w:tcPr>
            <w:tcW w:w="2914" w:type="pct"/>
            <w:tcBorders>
              <w:top w:val="nil"/>
              <w:left w:val="single" w:sz="8" w:space="0" w:color="auto"/>
              <w:bottom w:val="single" w:sz="8" w:space="0" w:color="auto"/>
              <w:right w:val="nil"/>
            </w:tcBorders>
            <w:shd w:val="clear" w:color="auto" w:fill="auto"/>
            <w:noWrap/>
            <w:vAlign w:val="center"/>
            <w:hideMark/>
          </w:tcPr>
          <w:p w14:paraId="13AE1A20" w14:textId="77777777" w:rsidR="00774E49" w:rsidRPr="00774E49" w:rsidRDefault="00774E49" w:rsidP="000818A7">
            <w:pPr>
              <w:pStyle w:val="Table-Text"/>
            </w:pPr>
            <w:r w:rsidRPr="00774E49">
              <w:t>Cost-Effectiveness ($/ton)</w:t>
            </w:r>
          </w:p>
        </w:tc>
        <w:tc>
          <w:tcPr>
            <w:tcW w:w="899" w:type="pct"/>
            <w:tcBorders>
              <w:top w:val="nil"/>
              <w:left w:val="single" w:sz="8" w:space="0" w:color="auto"/>
              <w:bottom w:val="single" w:sz="8" w:space="0" w:color="auto"/>
              <w:right w:val="single" w:sz="8" w:space="0" w:color="auto"/>
            </w:tcBorders>
            <w:shd w:val="clear" w:color="auto" w:fill="auto"/>
            <w:noWrap/>
            <w:vAlign w:val="center"/>
            <w:hideMark/>
          </w:tcPr>
          <w:p w14:paraId="192CEABC" w14:textId="77777777" w:rsidR="00774E49" w:rsidRPr="00774E49" w:rsidRDefault="00EE344B" w:rsidP="3328C818">
            <w:pPr>
              <w:pStyle w:val="Table-Text"/>
              <w:jc w:val="center"/>
            </w:pPr>
            <w:r>
              <w:t>?</w:t>
            </w:r>
          </w:p>
        </w:tc>
        <w:tc>
          <w:tcPr>
            <w:tcW w:w="1187" w:type="pct"/>
            <w:tcBorders>
              <w:top w:val="nil"/>
              <w:left w:val="nil"/>
              <w:bottom w:val="single" w:sz="8" w:space="0" w:color="auto"/>
              <w:right w:val="single" w:sz="8" w:space="0" w:color="auto"/>
            </w:tcBorders>
            <w:shd w:val="clear" w:color="auto" w:fill="auto"/>
            <w:noWrap/>
            <w:vAlign w:val="center"/>
            <w:hideMark/>
          </w:tcPr>
          <w:p w14:paraId="6B35EF1C" w14:textId="77777777" w:rsidR="00774E49" w:rsidRPr="00774E49" w:rsidRDefault="00EE344B" w:rsidP="3328C818">
            <w:pPr>
              <w:pStyle w:val="Table-Text"/>
              <w:jc w:val="center"/>
            </w:pPr>
            <w:r>
              <w:t>$           5,785</w:t>
            </w:r>
          </w:p>
        </w:tc>
      </w:tr>
    </w:tbl>
    <w:p w14:paraId="4D7AAFAB" w14:textId="0101884B" w:rsidR="00774E49" w:rsidRDefault="00774E49" w:rsidP="00B1738B">
      <w:pPr>
        <w:spacing w:line="240" w:lineRule="auto"/>
        <w:contextualSpacing/>
      </w:pPr>
    </w:p>
    <w:p w14:paraId="32D6568D" w14:textId="1B2E079A" w:rsidR="00321D17" w:rsidRPr="00D92B61" w:rsidRDefault="00321D17" w:rsidP="00B1738B">
      <w:pPr>
        <w:spacing w:line="240" w:lineRule="auto"/>
        <w:contextualSpacing/>
        <w:rPr>
          <w:rStyle w:val="SubtleReference"/>
        </w:rPr>
      </w:pPr>
      <w:r w:rsidRPr="00D92B61">
        <w:rPr>
          <w:rStyle w:val="SubtleReference"/>
        </w:rPr>
        <w:t>MPCA Response to NPS Feedback</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467"/>
      </w:tblGrid>
      <w:tr w:rsidR="00321D17" w:rsidRPr="00321D17" w14:paraId="70D18E58" w14:textId="77777777">
        <w:trPr>
          <w:trHeight w:val="867"/>
        </w:trPr>
        <w:tc>
          <w:tcPr>
            <w:tcW w:w="9467" w:type="dxa"/>
            <w:tcBorders>
              <w:top w:val="none" w:sz="6" w:space="0" w:color="auto"/>
              <w:bottom w:val="none" w:sz="6" w:space="0" w:color="auto"/>
            </w:tcBorders>
          </w:tcPr>
          <w:p w14:paraId="6F2B726C" w14:textId="77777777" w:rsidR="00321D17" w:rsidRPr="00321D17" w:rsidRDefault="00321D17" w:rsidP="00D92B61">
            <w:pPr>
              <w:pStyle w:val="Quote"/>
            </w:pPr>
            <w:r w:rsidRPr="00321D17">
              <w:t xml:space="preserve">MPCA appreciates the suggestion to consider potential emission reduction measures from a multi-pollutant perspective. MPCA believes that is a larger undertaking than can be reasonably completed between the end of the FLM consultation period and the start of the public notice period but will consider this idea as part of future regional haze planning efforts. </w:t>
            </w:r>
          </w:p>
        </w:tc>
      </w:tr>
    </w:tbl>
    <w:p w14:paraId="58553A82" w14:textId="434A5573" w:rsidR="00867FDB" w:rsidRPr="00186702" w:rsidRDefault="00867FDB" w:rsidP="00B1738B">
      <w:pPr>
        <w:pStyle w:val="Heading3"/>
        <w:spacing w:line="240" w:lineRule="auto"/>
        <w:contextualSpacing/>
      </w:pPr>
      <w:r>
        <w:t xml:space="preserve">NPS Conclusions and Recommendations </w:t>
      </w:r>
      <w:r w:rsidRPr="00186702">
        <w:t>United Taconite LLC</w:t>
      </w:r>
      <w:r>
        <w:t>–</w:t>
      </w:r>
      <w:r w:rsidRPr="00186702">
        <w:t>Fairlane Plant</w:t>
      </w:r>
    </w:p>
    <w:p w14:paraId="676232A7" w14:textId="0120E62E" w:rsidR="00867FDB" w:rsidRDefault="00867FDB" w:rsidP="00B1738B">
      <w:pPr>
        <w:spacing w:line="240" w:lineRule="auto"/>
        <w:contextualSpacing/>
      </w:pPr>
      <w:r>
        <w:t xml:space="preserve">NPS review finds that </w:t>
      </w:r>
      <w:r w:rsidRPr="00A9462F">
        <w:t>NO</w:t>
      </w:r>
      <w:r>
        <w:rPr>
          <w:vertAlign w:val="subscript"/>
        </w:rPr>
        <w:t>x</w:t>
      </w:r>
      <w:r w:rsidRPr="00186702">
        <w:t xml:space="preserve">, </w:t>
      </w:r>
      <w:r w:rsidRPr="00A9462F">
        <w:t>SO</w:t>
      </w:r>
      <w:r w:rsidRPr="00A9462F">
        <w:rPr>
          <w:vertAlign w:val="subscript"/>
        </w:rPr>
        <w:t>2</w:t>
      </w:r>
      <w:r w:rsidRPr="00186702">
        <w:t>, and PM emissions from UTAC’s Lines #1 &amp; #2 are not effectively-controlled.</w:t>
      </w:r>
      <w:r>
        <w:t xml:space="preserve"> For example, t</w:t>
      </w:r>
      <w:r w:rsidRPr="00186702">
        <w:t xml:space="preserve">ail-end SCR could reduce </w:t>
      </w:r>
      <w:r w:rsidRPr="00A9462F">
        <w:t>NO</w:t>
      </w:r>
      <w:r>
        <w:rPr>
          <w:vertAlign w:val="subscript"/>
        </w:rPr>
        <w:t>x</w:t>
      </w:r>
      <w:r w:rsidRPr="00186702">
        <w:t xml:space="preserve"> emissions by </w:t>
      </w:r>
      <w:r w:rsidR="00C10F14">
        <w:t>over 2,500</w:t>
      </w:r>
      <w:r w:rsidRPr="00186702">
        <w:t xml:space="preserve"> tons/</w:t>
      </w:r>
      <w:proofErr w:type="spellStart"/>
      <w:r w:rsidRPr="00186702">
        <w:t>yr</w:t>
      </w:r>
      <w:proofErr w:type="spellEnd"/>
      <w:r w:rsidRPr="00186702">
        <w:t xml:space="preserve"> for $</w:t>
      </w:r>
      <w:r w:rsidR="00386CBD">
        <w:t>6</w:t>
      </w:r>
      <w:r w:rsidRPr="00186702">
        <w:t>,000</w:t>
      </w:r>
      <w:r>
        <w:t>–</w:t>
      </w:r>
      <w:r w:rsidRPr="00186702">
        <w:t>$</w:t>
      </w:r>
      <w:r w:rsidR="00386CBD">
        <w:t>9</w:t>
      </w:r>
      <w:r w:rsidRPr="00186702">
        <w:t xml:space="preserve">,000/ton. </w:t>
      </w:r>
      <w:r w:rsidR="002251D3">
        <w:t>MPCA should require SCR on UTAC lines #1 &amp; #2.</w:t>
      </w:r>
    </w:p>
    <w:p w14:paraId="031AA208" w14:textId="2FC6C76D" w:rsidR="00774E49" w:rsidRDefault="00774E49" w:rsidP="00B1738B">
      <w:pPr>
        <w:spacing w:line="240" w:lineRule="auto"/>
        <w:contextualSpacing/>
      </w:pPr>
    </w:p>
    <w:p w14:paraId="1CFC38D0" w14:textId="7C4AB329" w:rsidR="002251D3" w:rsidRDefault="001D6825" w:rsidP="00B1738B">
      <w:pPr>
        <w:spacing w:line="240" w:lineRule="auto"/>
        <w:contextualSpacing/>
      </w:pPr>
      <w:r>
        <w:t>An</w:t>
      </w:r>
      <w:r w:rsidR="00774E49" w:rsidRPr="004A6233">
        <w:t xml:space="preserve"> integrated approach to Line 2 emissions could yield combined emission reductions of </w:t>
      </w:r>
      <w:r w:rsidR="00774E49">
        <w:t xml:space="preserve">almost 5,000 </w:t>
      </w:r>
      <w:r w:rsidR="00774E49" w:rsidRPr="004A6233">
        <w:t>tons/</w:t>
      </w:r>
      <w:proofErr w:type="spellStart"/>
      <w:r w:rsidR="00774E49" w:rsidRPr="004A6233">
        <w:t>yr</w:t>
      </w:r>
      <w:proofErr w:type="spellEnd"/>
      <w:r w:rsidR="00774E49" w:rsidRPr="004A6233">
        <w:t xml:space="preserve"> at a cost of $</w:t>
      </w:r>
      <w:r w:rsidR="00774E49">
        <w:t>29 million</w:t>
      </w:r>
      <w:r w:rsidR="00774E49" w:rsidRPr="004A6233">
        <w:t>/</w:t>
      </w:r>
      <w:proofErr w:type="spellStart"/>
      <w:r w:rsidR="00774E49" w:rsidRPr="004A6233">
        <w:t>yr</w:t>
      </w:r>
      <w:proofErr w:type="spellEnd"/>
      <w:r w:rsidR="00774E49" w:rsidRPr="004A6233">
        <w:t xml:space="preserve"> for a cost-effectiveness value of $</w:t>
      </w:r>
      <w:r w:rsidR="00774E49">
        <w:t>5,800</w:t>
      </w:r>
      <w:r w:rsidR="00774E49" w:rsidRPr="004A6233">
        <w:t>/ton.</w:t>
      </w:r>
      <w:r w:rsidR="002251D3">
        <w:t xml:space="preserve"> </w:t>
      </w:r>
    </w:p>
    <w:p w14:paraId="4129D63F" w14:textId="77777777" w:rsidR="002251D3" w:rsidRDefault="002251D3" w:rsidP="00B1738B">
      <w:pPr>
        <w:spacing w:line="240" w:lineRule="auto"/>
        <w:contextualSpacing/>
      </w:pPr>
    </w:p>
    <w:p w14:paraId="7FC246A1" w14:textId="131C565D" w:rsidR="00867FDB" w:rsidRPr="00402D6A" w:rsidRDefault="00867FDB" w:rsidP="00B1738B">
      <w:pPr>
        <w:spacing w:line="240" w:lineRule="auto"/>
        <w:contextualSpacing/>
      </w:pPr>
      <w:r>
        <w:t>The NPS recommends that MPCA explore this opportunity to substantively address the haze</w:t>
      </w:r>
      <w:r w:rsidR="00774E49">
        <w:t>-</w:t>
      </w:r>
      <w:r>
        <w:t xml:space="preserve">causing emissions from UTAC and other </w:t>
      </w:r>
      <w:r w:rsidR="00774E49">
        <w:t>t</w:t>
      </w:r>
      <w:r>
        <w:t>aconite facilities in Minnesota through the regional haze process.</w:t>
      </w:r>
    </w:p>
    <w:p w14:paraId="20C5C2C3" w14:textId="5EFD2485" w:rsidR="00402D6A" w:rsidRPr="00CE34BC" w:rsidRDefault="00402D6A" w:rsidP="00B1738B">
      <w:pPr>
        <w:spacing w:line="240" w:lineRule="auto"/>
        <w:contextualSpacing/>
      </w:pPr>
    </w:p>
    <w:sectPr w:rsidR="00402D6A" w:rsidRPr="00CE34BC" w:rsidSect="00BE593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B952" w14:textId="77777777" w:rsidR="00651A5B" w:rsidRDefault="00651A5B" w:rsidP="00C715FC">
      <w:pPr>
        <w:spacing w:after="0" w:line="240" w:lineRule="auto"/>
      </w:pPr>
      <w:r>
        <w:separator/>
      </w:r>
    </w:p>
  </w:endnote>
  <w:endnote w:type="continuationSeparator" w:id="0">
    <w:p w14:paraId="5DCADDBE" w14:textId="77777777" w:rsidR="00651A5B" w:rsidRDefault="00651A5B" w:rsidP="00C715FC">
      <w:pPr>
        <w:spacing w:after="0" w:line="240" w:lineRule="auto"/>
      </w:pPr>
      <w:r>
        <w:continuationSeparator/>
      </w:r>
    </w:p>
  </w:endnote>
  <w:endnote w:type="continuationNotice" w:id="1">
    <w:p w14:paraId="6BAFD235" w14:textId="77777777" w:rsidR="00651A5B" w:rsidRDefault="00651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850538"/>
      <w:docPartObj>
        <w:docPartGallery w:val="Page Numbers (Bottom of Page)"/>
        <w:docPartUnique/>
      </w:docPartObj>
    </w:sdtPr>
    <w:sdtEndPr>
      <w:rPr>
        <w:noProof/>
      </w:rPr>
    </w:sdtEndPr>
    <w:sdtContent>
      <w:p w14:paraId="48BD09A3" w14:textId="61323DE8" w:rsidR="009F4248" w:rsidRPr="00C715FC" w:rsidRDefault="009F4248" w:rsidP="003B5841">
        <w:pPr>
          <w:pStyle w:val="PageNumber1"/>
        </w:pPr>
        <w:r w:rsidRPr="00C715FC">
          <w:fldChar w:fldCharType="begin"/>
        </w:r>
        <w:r w:rsidRPr="00C715FC">
          <w:instrText xml:space="preserve"> PAGE   \* MERGEFORMAT </w:instrText>
        </w:r>
        <w:r w:rsidRPr="00C715FC">
          <w:fldChar w:fldCharType="separate"/>
        </w:r>
        <w:r w:rsidRPr="00C715FC">
          <w:rPr>
            <w:noProof/>
          </w:rPr>
          <w:t>2</w:t>
        </w:r>
        <w:r w:rsidRPr="00C715F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7E4C" w14:textId="77777777" w:rsidR="00651A5B" w:rsidRDefault="00651A5B" w:rsidP="00C715FC">
      <w:pPr>
        <w:spacing w:after="0" w:line="240" w:lineRule="auto"/>
      </w:pPr>
      <w:r>
        <w:separator/>
      </w:r>
    </w:p>
  </w:footnote>
  <w:footnote w:type="continuationSeparator" w:id="0">
    <w:p w14:paraId="4780097E" w14:textId="77777777" w:rsidR="00651A5B" w:rsidRDefault="00651A5B" w:rsidP="00C715FC">
      <w:pPr>
        <w:spacing w:after="0" w:line="240" w:lineRule="auto"/>
      </w:pPr>
      <w:r>
        <w:continuationSeparator/>
      </w:r>
    </w:p>
  </w:footnote>
  <w:footnote w:type="continuationNotice" w:id="1">
    <w:p w14:paraId="0DA1CCD0" w14:textId="77777777" w:rsidR="00651A5B" w:rsidRDefault="00651A5B">
      <w:pPr>
        <w:spacing w:after="0" w:line="240" w:lineRule="auto"/>
      </w:pPr>
    </w:p>
  </w:footnote>
  <w:footnote w:id="2">
    <w:p w14:paraId="5B28E98E" w14:textId="77777777" w:rsidR="00315A09" w:rsidRPr="00F9555A" w:rsidRDefault="00315A09" w:rsidP="00315A09">
      <w:pPr>
        <w:spacing w:line="240" w:lineRule="auto"/>
        <w:contextualSpacing/>
        <w:rPr>
          <w:rFonts w:cs="Times New Roman"/>
          <w:color w:val="000000"/>
          <w:sz w:val="20"/>
          <w:szCs w:val="20"/>
        </w:rPr>
      </w:pPr>
      <w:r w:rsidRPr="00F9555A">
        <w:rPr>
          <w:rStyle w:val="FootnoteReference"/>
          <w:rFonts w:cs="Times New Roman"/>
          <w:sz w:val="20"/>
          <w:szCs w:val="20"/>
        </w:rPr>
        <w:footnoteRef/>
      </w:r>
      <w:r w:rsidRPr="00F9555A">
        <w:rPr>
          <w:rFonts w:cs="Times New Roman"/>
          <w:sz w:val="20"/>
          <w:szCs w:val="20"/>
        </w:rPr>
        <w:t xml:space="preserve"> </w:t>
      </w:r>
      <w:r w:rsidRPr="00F9555A">
        <w:rPr>
          <w:rFonts w:cs="Times New Roman"/>
          <w:color w:val="000000"/>
          <w:sz w:val="20"/>
          <w:szCs w:val="20"/>
        </w:rPr>
        <w:t>ENVIRONMENTAL PROTECTION AGENCY, 40 CFR Part 52, [EPA–R09–OAR–2013–0588; FRL–9912–97– OAR], Promulgation of Air Quality Implementation Plans; Arizona; Regional Haze and Interstate Visibility Transport Federal Implementation Plan, ACTION: Final rule. September 3, 2014</w:t>
      </w:r>
    </w:p>
    <w:p w14:paraId="4B94CD78" w14:textId="77777777" w:rsidR="00315A09" w:rsidRDefault="00315A09" w:rsidP="00315A09">
      <w:pPr>
        <w:pStyle w:val="FootnoteText"/>
      </w:pPr>
    </w:p>
  </w:footnote>
  <w:footnote w:id="3">
    <w:p w14:paraId="0B6C218E" w14:textId="1FDA41B6" w:rsidR="00184090" w:rsidRDefault="00184090">
      <w:pPr>
        <w:pStyle w:val="FootnoteText"/>
      </w:pPr>
      <w:r>
        <w:rPr>
          <w:rStyle w:val="FootnoteReference"/>
        </w:rPr>
        <w:footnoteRef/>
      </w:r>
      <w:r>
        <w:t xml:space="preserve"> MPCA’s response to NPS feedback:</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467"/>
      </w:tblGrid>
      <w:tr w:rsidR="00184090" w:rsidRPr="00184090" w14:paraId="6B79802A" w14:textId="77777777">
        <w:trPr>
          <w:trHeight w:val="1356"/>
        </w:trPr>
        <w:tc>
          <w:tcPr>
            <w:tcW w:w="9467" w:type="dxa"/>
            <w:tcBorders>
              <w:top w:val="none" w:sz="6" w:space="0" w:color="auto"/>
              <w:bottom w:val="none" w:sz="6" w:space="0" w:color="auto"/>
            </w:tcBorders>
          </w:tcPr>
          <w:p w14:paraId="4E4FEE65" w14:textId="77777777" w:rsidR="00184090" w:rsidRPr="00184090" w:rsidRDefault="00184090" w:rsidP="00184090">
            <w:pPr>
              <w:autoSpaceDE w:val="0"/>
              <w:autoSpaceDN w:val="0"/>
              <w:adjustRightInd w:val="0"/>
              <w:spacing w:after="0" w:line="240" w:lineRule="auto"/>
              <w:rPr>
                <w:rFonts w:ascii="Calibri" w:hAnsi="Calibri" w:cs="Calibri"/>
                <w:color w:val="000000"/>
                <w:sz w:val="20"/>
                <w:szCs w:val="20"/>
              </w:rPr>
            </w:pPr>
            <w:r w:rsidRPr="00184090">
              <w:rPr>
                <w:rFonts w:ascii="Calibri" w:hAnsi="Calibri" w:cs="Calibri"/>
                <w:color w:val="000000"/>
                <w:sz w:val="20"/>
                <w:szCs w:val="20"/>
              </w:rPr>
              <w:t xml:space="preserve">MPCA appreciates the detailed review and comments provided on the cost estimates provided by the facility and the revisions made by MPCA. While there are multiple ways to perform a cost estimate, MPCA believes it has adequately estimated the potential cost of controls while accounting for the facility-identified site-specific considerations. As a result, MPCA did not change its determination of the controls needed to continue making reasonable progress but will consider reevaluating this facility and emission units as part of the 2025 progress report or the 2028 comprehensive update. </w:t>
            </w:r>
          </w:p>
        </w:tc>
      </w:tr>
    </w:tbl>
    <w:p w14:paraId="2334A312" w14:textId="15C6EC83" w:rsidR="00184090" w:rsidRDefault="00184090">
      <w:pPr>
        <w:pStyle w:val="FootnoteText"/>
      </w:pPr>
    </w:p>
  </w:footnote>
  <w:footnote w:id="4">
    <w:p w14:paraId="54D24D8D" w14:textId="6392370F" w:rsidR="00867FDB" w:rsidRDefault="00867FDB" w:rsidP="00FB3384">
      <w:pPr>
        <w:spacing w:line="240" w:lineRule="auto"/>
        <w:contextualSpacing/>
      </w:pPr>
      <w:r w:rsidRPr="006A56A3">
        <w:rPr>
          <w:rStyle w:val="FootnoteReference"/>
          <w:rFonts w:cs="Times New Roman"/>
          <w:sz w:val="20"/>
          <w:szCs w:val="20"/>
        </w:rPr>
        <w:footnoteRef/>
      </w:r>
      <w:r w:rsidRPr="006A56A3">
        <w:rPr>
          <w:rFonts w:cs="Times New Roman"/>
          <w:sz w:val="20"/>
          <w:szCs w:val="20"/>
        </w:rPr>
        <w:t xml:space="preserve"> </w:t>
      </w:r>
      <w:r w:rsidRPr="006A56A3">
        <w:rPr>
          <w:rFonts w:cs="Times New Roman"/>
          <w:b/>
          <w:bCs/>
          <w:sz w:val="20"/>
          <w:szCs w:val="20"/>
        </w:rPr>
        <w:t>S&amp;L:</w:t>
      </w:r>
      <w:r w:rsidRPr="006A56A3">
        <w:rPr>
          <w:rFonts w:cs="Times New Roman"/>
          <w:sz w:val="20"/>
          <w:szCs w:val="20"/>
        </w:rPr>
        <w:t xml:space="preserve"> Based on commercial testing, removal efficiencies with DSI are limited by the particulate capture device employed. Trona, when captured in an ESP, typically removes 40 to 50% of SO2 without an increase in particulate emissions, whereas hydrated lime may remove an even lower percentage of SO2. A baghouse used with sodium-based sorbents generally achieves a higher SO2 removal efficiency (70 to 90%) than that of an ESP. DSI technology, however, should not be applied to fuels with sulfur content greater than 2 </w:t>
      </w:r>
      <w:proofErr w:type="spellStart"/>
      <w:r w:rsidRPr="006A56A3">
        <w:rPr>
          <w:rFonts w:cs="Times New Roman"/>
          <w:sz w:val="20"/>
          <w:szCs w:val="20"/>
        </w:rPr>
        <w:t>lb</w:t>
      </w:r>
      <w:proofErr w:type="spellEnd"/>
      <w:r w:rsidRPr="006A56A3">
        <w:rPr>
          <w:rFonts w:cs="Times New Roman"/>
          <w:sz w:val="20"/>
          <w:szCs w:val="20"/>
        </w:rPr>
        <w:t xml:space="preserve"> SO2/MMBtu.</w:t>
      </w:r>
    </w:p>
  </w:footnote>
  <w:footnote w:id="5">
    <w:p w14:paraId="005A24DD" w14:textId="6F5323D3" w:rsidR="00FB3384" w:rsidRDefault="00FB3384" w:rsidP="00FB3384">
      <w:pPr>
        <w:pStyle w:val="FootnoteText"/>
        <w:contextualSpacing/>
      </w:pPr>
      <w:r>
        <w:rPr>
          <w:rStyle w:val="FootnoteReference"/>
        </w:rPr>
        <w:footnoteRef/>
      </w:r>
      <w:r>
        <w:t xml:space="preserve"> See the Kincaid and Waukegan entries in Table 10 below.</w:t>
      </w:r>
    </w:p>
  </w:footnote>
  <w:footnote w:id="6">
    <w:p w14:paraId="1726C57B" w14:textId="6806FE35" w:rsidR="00FB3384" w:rsidRDefault="00FB3384" w:rsidP="00FB3384">
      <w:pPr>
        <w:pStyle w:val="FootnoteText"/>
        <w:contextualSpacing/>
      </w:pPr>
      <w:r>
        <w:rPr>
          <w:rStyle w:val="FootnoteReference"/>
        </w:rPr>
        <w:footnoteRef/>
      </w:r>
      <w:r>
        <w:t xml:space="preserve"> See the </w:t>
      </w:r>
      <w:proofErr w:type="spellStart"/>
      <w:r>
        <w:t>Madgett</w:t>
      </w:r>
      <w:proofErr w:type="spellEnd"/>
      <w:r>
        <w:t xml:space="preserve"> entry in Table 10 below.</w:t>
      </w:r>
    </w:p>
    <w:p w14:paraId="5217E8CF" w14:textId="4572B93B" w:rsidR="00FB3384" w:rsidRDefault="00FB3384">
      <w:pPr>
        <w:pStyle w:val="FootnoteText"/>
      </w:pPr>
    </w:p>
  </w:footnote>
  <w:footnote w:id="7">
    <w:p w14:paraId="45A1F7EB" w14:textId="77777777" w:rsidR="0063704C" w:rsidRPr="002F0A51" w:rsidRDefault="0063704C" w:rsidP="0063704C">
      <w:pPr>
        <w:autoSpaceDE w:val="0"/>
        <w:autoSpaceDN w:val="0"/>
        <w:adjustRightInd w:val="0"/>
        <w:spacing w:after="0" w:line="240" w:lineRule="auto"/>
        <w:rPr>
          <w:rFonts w:cs="Times New Roman"/>
          <w:sz w:val="20"/>
          <w:szCs w:val="20"/>
        </w:rPr>
      </w:pPr>
      <w:r w:rsidRPr="002F0A51">
        <w:rPr>
          <w:rStyle w:val="FootnoteReference"/>
          <w:rFonts w:cs="Times New Roman"/>
          <w:sz w:val="20"/>
          <w:szCs w:val="20"/>
        </w:rPr>
        <w:footnoteRef/>
      </w:r>
      <w:r w:rsidRPr="002F0A51">
        <w:rPr>
          <w:rFonts w:cs="Times New Roman"/>
          <w:sz w:val="20"/>
          <w:szCs w:val="20"/>
        </w:rPr>
        <w:t xml:space="preserve"> </w:t>
      </w:r>
      <w:r w:rsidRPr="002F0A51">
        <w:rPr>
          <w:rFonts w:cs="Times New Roman"/>
          <w:b/>
          <w:bCs/>
          <w:sz w:val="20"/>
          <w:szCs w:val="20"/>
        </w:rPr>
        <w:t>ACSC:</w:t>
      </w:r>
      <w:r>
        <w:rPr>
          <w:rFonts w:cs="Times New Roman"/>
          <w:sz w:val="20"/>
          <w:szCs w:val="20"/>
        </w:rPr>
        <w:t xml:space="preserve"> </w:t>
      </w:r>
      <w:r w:rsidRPr="002F0A51">
        <w:rPr>
          <w:rFonts w:cs="Times New Roman"/>
          <w:sz w:val="20"/>
          <w:szCs w:val="20"/>
        </w:rPr>
        <w:t>The beet sugar production process is a seasonal, or campaign-based, production process that typically runs from mid-August to June of each year. During the campaign, the boilers operate continuously, 24 hours per day 7 days per week. The boilers are shut down during summer months at the end of the processing campaign. A typical campaign runs for approximately 265 days (6,000 to 6,500 hours per year).</w:t>
      </w:r>
    </w:p>
  </w:footnote>
  <w:footnote w:id="8">
    <w:p w14:paraId="795BC2FD" w14:textId="45E0282A" w:rsidR="003A57F2" w:rsidRDefault="003A57F2">
      <w:pPr>
        <w:pStyle w:val="FootnoteText"/>
      </w:pPr>
      <w:r>
        <w:rPr>
          <w:rStyle w:val="FootnoteReference"/>
        </w:rPr>
        <w:footnoteRef/>
      </w:r>
      <w:r>
        <w:t xml:space="preserve"> MPCA response to NPS feedback:</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467"/>
      </w:tblGrid>
      <w:tr w:rsidR="003A57F2" w:rsidRPr="003A57F2" w14:paraId="5E07397B" w14:textId="77777777">
        <w:trPr>
          <w:trHeight w:val="1355"/>
        </w:trPr>
        <w:tc>
          <w:tcPr>
            <w:tcW w:w="9467" w:type="dxa"/>
            <w:tcBorders>
              <w:top w:val="none" w:sz="6" w:space="0" w:color="auto"/>
              <w:bottom w:val="none" w:sz="6" w:space="0" w:color="auto"/>
            </w:tcBorders>
          </w:tcPr>
          <w:p w14:paraId="43B6FCA6" w14:textId="77777777" w:rsidR="003A57F2" w:rsidRPr="003A57F2" w:rsidRDefault="003A57F2" w:rsidP="003A57F2">
            <w:pPr>
              <w:autoSpaceDE w:val="0"/>
              <w:autoSpaceDN w:val="0"/>
              <w:adjustRightInd w:val="0"/>
              <w:spacing w:after="0" w:line="240" w:lineRule="auto"/>
              <w:rPr>
                <w:rFonts w:ascii="Calibri" w:hAnsi="Calibri" w:cs="Calibri"/>
                <w:color w:val="000000"/>
                <w:sz w:val="20"/>
                <w:szCs w:val="20"/>
              </w:rPr>
            </w:pPr>
            <w:r w:rsidRPr="003A57F2">
              <w:rPr>
                <w:rFonts w:ascii="Calibri" w:hAnsi="Calibri" w:cs="Calibri"/>
                <w:color w:val="000000"/>
                <w:sz w:val="20"/>
                <w:szCs w:val="20"/>
              </w:rPr>
              <w:t xml:space="preserve">MPCA appreciates the detailed review and comments provided on the cost estimates provided by the facility and the revisions made by MPCA. While there are multiple ways to perform a cost estimate, MPCA believes it has adequately estimated the potential cost of controls while accounting for the facility-identified site-specific considerations. As a result, MPCA did not change its determination of the controls needed to continue making reasonable progress but will consider reevaluating this facility and emission units as part of the 2025 progress report or the 2028 comprehensive update. </w:t>
            </w:r>
          </w:p>
        </w:tc>
      </w:tr>
    </w:tbl>
    <w:p w14:paraId="4371A9F3" w14:textId="77777777" w:rsidR="003A57F2" w:rsidRDefault="003A57F2">
      <w:pPr>
        <w:pStyle w:val="FootnoteText"/>
      </w:pPr>
    </w:p>
  </w:footnote>
  <w:footnote w:id="9">
    <w:p w14:paraId="2D1B7210" w14:textId="38DC34C2" w:rsidR="00873046" w:rsidRDefault="00873046">
      <w:pPr>
        <w:pStyle w:val="FootnoteText"/>
      </w:pPr>
      <w:r>
        <w:rPr>
          <w:rStyle w:val="FootnoteReference"/>
        </w:rPr>
        <w:footnoteRef/>
      </w:r>
      <w:r>
        <w:t xml:space="preserve"> </w:t>
      </w:r>
      <w:r w:rsidRPr="007F266E">
        <w:t>Based on Spring Creek Mine quality specifications, the typical mean sulfur content is 0.38 percent, and the typical mean ash content is 4.12 percent.</w:t>
      </w:r>
    </w:p>
  </w:footnote>
  <w:footnote w:id="10">
    <w:p w14:paraId="6480D8F4" w14:textId="306EF9C1" w:rsidR="00867FDB" w:rsidRDefault="00867FDB" w:rsidP="009A2CCA">
      <w:pPr>
        <w:spacing w:line="240" w:lineRule="auto"/>
        <w:contextualSpacing/>
      </w:pPr>
      <w:r w:rsidRPr="006A56A3">
        <w:rPr>
          <w:rStyle w:val="FootnoteReference"/>
          <w:rFonts w:cs="Times New Roman"/>
          <w:sz w:val="20"/>
          <w:szCs w:val="20"/>
        </w:rPr>
        <w:footnoteRef/>
      </w:r>
      <w:r w:rsidRPr="006A56A3">
        <w:rPr>
          <w:rFonts w:cs="Times New Roman"/>
          <w:sz w:val="20"/>
          <w:szCs w:val="20"/>
        </w:rPr>
        <w:t xml:space="preserve"> </w:t>
      </w:r>
      <w:r w:rsidRPr="006A56A3">
        <w:rPr>
          <w:rFonts w:cs="Times New Roman"/>
          <w:b/>
          <w:bCs/>
          <w:sz w:val="20"/>
          <w:szCs w:val="20"/>
        </w:rPr>
        <w:t>S&amp;L:</w:t>
      </w:r>
      <w:r w:rsidRPr="006A56A3">
        <w:rPr>
          <w:rFonts w:cs="Times New Roman"/>
          <w:sz w:val="20"/>
          <w:szCs w:val="20"/>
        </w:rPr>
        <w:t xml:space="preserve"> Based on commercial testing, removal efficiencies with DSI are limited by the particulate capture device employed. Trona, when captured in an ESP, typically removes 40 to 50% of SO</w:t>
      </w:r>
      <w:r w:rsidRPr="00B448C7">
        <w:rPr>
          <w:rFonts w:cs="Times New Roman"/>
          <w:sz w:val="20"/>
          <w:szCs w:val="20"/>
          <w:vertAlign w:val="subscript"/>
        </w:rPr>
        <w:t>2</w:t>
      </w:r>
      <w:r w:rsidRPr="006A56A3">
        <w:rPr>
          <w:rFonts w:cs="Times New Roman"/>
          <w:sz w:val="20"/>
          <w:szCs w:val="20"/>
        </w:rPr>
        <w:t xml:space="preserve"> without an increase in particulate emissions, whereas hydrated lime may remove an even lower percentage of SO</w:t>
      </w:r>
      <w:r w:rsidRPr="00B448C7">
        <w:rPr>
          <w:rFonts w:cs="Times New Roman"/>
          <w:sz w:val="20"/>
          <w:szCs w:val="20"/>
          <w:vertAlign w:val="subscript"/>
        </w:rPr>
        <w:t>2</w:t>
      </w:r>
      <w:r w:rsidRPr="006A56A3">
        <w:rPr>
          <w:rFonts w:cs="Times New Roman"/>
          <w:sz w:val="20"/>
          <w:szCs w:val="20"/>
        </w:rPr>
        <w:t>. A baghouse used with sodium-based sorbents generally achieves a higher SO</w:t>
      </w:r>
      <w:r w:rsidRPr="00B448C7">
        <w:rPr>
          <w:rFonts w:cs="Times New Roman"/>
          <w:sz w:val="20"/>
          <w:szCs w:val="20"/>
          <w:vertAlign w:val="subscript"/>
        </w:rPr>
        <w:t>2</w:t>
      </w:r>
      <w:r w:rsidRPr="006A56A3">
        <w:rPr>
          <w:rFonts w:cs="Times New Roman"/>
          <w:sz w:val="20"/>
          <w:szCs w:val="20"/>
        </w:rPr>
        <w:t xml:space="preserve"> removal efficiency (70</w:t>
      </w:r>
      <w:r w:rsidR="002C108E">
        <w:rPr>
          <w:rFonts w:cs="Times New Roman"/>
          <w:sz w:val="20"/>
          <w:szCs w:val="20"/>
        </w:rPr>
        <w:t>–</w:t>
      </w:r>
      <w:r w:rsidRPr="006A56A3">
        <w:rPr>
          <w:rFonts w:cs="Times New Roman"/>
          <w:sz w:val="20"/>
          <w:szCs w:val="20"/>
        </w:rPr>
        <w:t xml:space="preserve">90%) than that of an ESP. DSI technology, however, should not be applied to fuels with sulfur content greater than 2 </w:t>
      </w:r>
      <w:proofErr w:type="spellStart"/>
      <w:r w:rsidRPr="006A56A3">
        <w:rPr>
          <w:rFonts w:cs="Times New Roman"/>
          <w:sz w:val="20"/>
          <w:szCs w:val="20"/>
        </w:rPr>
        <w:t>lb</w:t>
      </w:r>
      <w:proofErr w:type="spellEnd"/>
      <w:r w:rsidRPr="006A56A3">
        <w:rPr>
          <w:rFonts w:cs="Times New Roman"/>
          <w:sz w:val="20"/>
          <w:szCs w:val="20"/>
        </w:rPr>
        <w:t xml:space="preserve"> SO</w:t>
      </w:r>
      <w:r w:rsidRPr="00B448C7">
        <w:rPr>
          <w:rFonts w:cs="Times New Roman"/>
          <w:sz w:val="20"/>
          <w:szCs w:val="20"/>
          <w:vertAlign w:val="subscript"/>
        </w:rPr>
        <w:t>2</w:t>
      </w:r>
      <w:r w:rsidRPr="006A56A3">
        <w:rPr>
          <w:rFonts w:cs="Times New Roman"/>
          <w:sz w:val="20"/>
          <w:szCs w:val="20"/>
        </w:rPr>
        <w:t>/MMBtu.</w:t>
      </w:r>
    </w:p>
  </w:footnote>
  <w:footnote w:id="11">
    <w:p w14:paraId="75B0BAB8" w14:textId="2C70291F" w:rsidR="009A2CCA" w:rsidRDefault="009A2CCA" w:rsidP="009A2CCA">
      <w:pPr>
        <w:pStyle w:val="FootnoteText"/>
        <w:contextualSpacing/>
      </w:pPr>
      <w:r>
        <w:rPr>
          <w:rStyle w:val="FootnoteReference"/>
        </w:rPr>
        <w:footnoteRef/>
      </w:r>
      <w:r>
        <w:t xml:space="preserve"> See the Kincaid and Waukegan entries in </w:t>
      </w:r>
      <w:r w:rsidRPr="00B448C7">
        <w:t xml:space="preserve">Table </w:t>
      </w:r>
      <w:r w:rsidR="00A302C3" w:rsidRPr="00B448C7">
        <w:t>8</w:t>
      </w:r>
      <w:r w:rsidRPr="00B448C7">
        <w:t xml:space="preserve"> below</w:t>
      </w:r>
      <w:r w:rsidRPr="00A302C3">
        <w:t>.</w:t>
      </w:r>
    </w:p>
  </w:footnote>
  <w:footnote w:id="12">
    <w:p w14:paraId="1B94CDD9" w14:textId="65E65317" w:rsidR="009A2CCA" w:rsidRDefault="009A2CCA" w:rsidP="009A2CCA">
      <w:pPr>
        <w:pStyle w:val="FootnoteText"/>
        <w:contextualSpacing/>
      </w:pPr>
      <w:r>
        <w:rPr>
          <w:rStyle w:val="FootnoteReference"/>
        </w:rPr>
        <w:footnoteRef/>
      </w:r>
      <w:r>
        <w:t xml:space="preserve"> See the </w:t>
      </w:r>
      <w:proofErr w:type="spellStart"/>
      <w:r>
        <w:t>Madgett</w:t>
      </w:r>
      <w:proofErr w:type="spellEnd"/>
      <w:r>
        <w:t xml:space="preserve"> entry in Table </w:t>
      </w:r>
      <w:r w:rsidR="00A302C3">
        <w:t>8</w:t>
      </w:r>
      <w:r>
        <w:t xml:space="preserve"> below.</w:t>
      </w:r>
    </w:p>
    <w:p w14:paraId="14C68E9D" w14:textId="36A9C085" w:rsidR="009A2CCA" w:rsidRDefault="009A2CCA">
      <w:pPr>
        <w:pStyle w:val="FootnoteText"/>
      </w:pPr>
    </w:p>
  </w:footnote>
  <w:footnote w:id="13">
    <w:p w14:paraId="23C4D1BD" w14:textId="77777777" w:rsidR="00867FDB" w:rsidRPr="002F0A51" w:rsidRDefault="00867FDB" w:rsidP="00867FDB">
      <w:pPr>
        <w:autoSpaceDE w:val="0"/>
        <w:autoSpaceDN w:val="0"/>
        <w:adjustRightInd w:val="0"/>
        <w:spacing w:after="0" w:line="240" w:lineRule="auto"/>
        <w:rPr>
          <w:rFonts w:cs="Times New Roman"/>
          <w:sz w:val="20"/>
          <w:szCs w:val="20"/>
        </w:rPr>
      </w:pPr>
      <w:r w:rsidRPr="002F0A51">
        <w:rPr>
          <w:rStyle w:val="FootnoteReference"/>
          <w:rFonts w:cs="Times New Roman"/>
          <w:sz w:val="20"/>
          <w:szCs w:val="20"/>
        </w:rPr>
        <w:footnoteRef/>
      </w:r>
      <w:r w:rsidRPr="002F0A51">
        <w:rPr>
          <w:rFonts w:cs="Times New Roman"/>
          <w:sz w:val="20"/>
          <w:szCs w:val="20"/>
        </w:rPr>
        <w:t xml:space="preserve"> </w:t>
      </w:r>
      <w:r w:rsidRPr="002F0A51">
        <w:rPr>
          <w:rFonts w:cs="Times New Roman"/>
          <w:b/>
          <w:bCs/>
          <w:sz w:val="20"/>
          <w:szCs w:val="20"/>
        </w:rPr>
        <w:t>ACSC:</w:t>
      </w:r>
      <w:r>
        <w:rPr>
          <w:rFonts w:cs="Times New Roman"/>
          <w:sz w:val="20"/>
          <w:szCs w:val="20"/>
        </w:rPr>
        <w:t xml:space="preserve"> </w:t>
      </w:r>
      <w:r w:rsidRPr="002F0A51">
        <w:rPr>
          <w:rFonts w:cs="Times New Roman"/>
          <w:sz w:val="20"/>
          <w:szCs w:val="20"/>
        </w:rPr>
        <w:t>The beet sugar production process is a seasonal, or campaign-based, production process that typically runs from mid-August to June of each year. During the campaign, the boilers operate continuously, 24 hours per day 7 days per week. The boilers are shut down during summer months at the end of the processing campaign. A typical campaign runs for approximately 265 days (6,000 to 6,500 hours per year).</w:t>
      </w:r>
    </w:p>
  </w:footnote>
  <w:footnote w:id="14">
    <w:p w14:paraId="010A5C46" w14:textId="24AD1418" w:rsidR="004F4540" w:rsidRDefault="004F4540">
      <w:pPr>
        <w:pStyle w:val="FootnoteText"/>
      </w:pPr>
      <w:r>
        <w:rPr>
          <w:rStyle w:val="FootnoteReference"/>
        </w:rPr>
        <w:footnoteRef/>
      </w:r>
      <w:r>
        <w:t xml:space="preserve"> MPCA’s response to NPS feedback:</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467"/>
      </w:tblGrid>
      <w:tr w:rsidR="004F4540" w:rsidRPr="004F4540" w14:paraId="26EDBB51" w14:textId="77777777">
        <w:trPr>
          <w:trHeight w:val="1262"/>
        </w:trPr>
        <w:tc>
          <w:tcPr>
            <w:tcW w:w="9467" w:type="dxa"/>
            <w:tcBorders>
              <w:top w:val="none" w:sz="6" w:space="0" w:color="auto"/>
              <w:bottom w:val="none" w:sz="6" w:space="0" w:color="auto"/>
            </w:tcBorders>
          </w:tcPr>
          <w:p w14:paraId="7C0A01A3" w14:textId="31AC2810" w:rsidR="004F4540" w:rsidRPr="004F4540" w:rsidRDefault="004F4540" w:rsidP="004F4540">
            <w:pPr>
              <w:autoSpaceDE w:val="0"/>
              <w:autoSpaceDN w:val="0"/>
              <w:adjustRightInd w:val="0"/>
              <w:spacing w:after="0" w:line="240" w:lineRule="auto"/>
              <w:rPr>
                <w:rFonts w:ascii="Calibri" w:hAnsi="Calibri" w:cs="Calibri"/>
                <w:color w:val="000000"/>
                <w:sz w:val="20"/>
                <w:szCs w:val="20"/>
              </w:rPr>
            </w:pPr>
            <w:r w:rsidRPr="004F4540">
              <w:rPr>
                <w:rFonts w:ascii="Calibri" w:hAnsi="Calibri" w:cs="Calibri"/>
                <w:color w:val="000000"/>
                <w:sz w:val="20"/>
                <w:szCs w:val="20"/>
              </w:rPr>
              <w:t>Regarding the NO</w:t>
            </w:r>
            <w:r w:rsidRPr="004F4540">
              <w:rPr>
                <w:rFonts w:ascii="Calibri" w:hAnsi="Calibri" w:cs="Calibri"/>
                <w:color w:val="000000"/>
                <w:sz w:val="13"/>
                <w:szCs w:val="13"/>
              </w:rPr>
              <w:t xml:space="preserve">X </w:t>
            </w:r>
            <w:r w:rsidRPr="004F4540">
              <w:rPr>
                <w:rFonts w:ascii="Calibri" w:hAnsi="Calibri" w:cs="Calibri"/>
                <w:color w:val="000000"/>
                <w:sz w:val="20"/>
                <w:szCs w:val="20"/>
              </w:rPr>
              <w:t>controls for Southern Minnesota Beet Sugar Cooperative, MPCA reiterates that there appear to be cost effective NO</w:t>
            </w:r>
            <w:r w:rsidRPr="004F4540">
              <w:rPr>
                <w:rFonts w:ascii="Calibri" w:hAnsi="Calibri" w:cs="Calibri"/>
                <w:color w:val="000000"/>
                <w:sz w:val="13"/>
                <w:szCs w:val="13"/>
              </w:rPr>
              <w:t xml:space="preserve">X </w:t>
            </w:r>
            <w:r w:rsidRPr="004F4540">
              <w:rPr>
                <w:rFonts w:ascii="Calibri" w:hAnsi="Calibri" w:cs="Calibri"/>
                <w:color w:val="000000"/>
                <w:sz w:val="20"/>
                <w:szCs w:val="20"/>
              </w:rPr>
              <w:t xml:space="preserve">controls for this facility, but the facility disagrees with the MPCA’s determination. MPCA decided to move forward with the development of this SIP submittal given that the due date of July 31, 2021, had passed. MPCA welcomes the review and input of U.S. EPA and members of the public on this topic. </w:t>
            </w:r>
          </w:p>
        </w:tc>
      </w:tr>
    </w:tbl>
    <w:p w14:paraId="1E80835F" w14:textId="139CCA52" w:rsidR="004F4540" w:rsidRDefault="004F4540">
      <w:pPr>
        <w:pStyle w:val="FootnoteText"/>
      </w:pPr>
    </w:p>
  </w:footnote>
  <w:footnote w:id="15">
    <w:p w14:paraId="59C29574" w14:textId="672CD21F" w:rsidR="00986600" w:rsidRDefault="00986600">
      <w:pPr>
        <w:pStyle w:val="FootnoteText"/>
      </w:pPr>
      <w:r>
        <w:rPr>
          <w:rStyle w:val="FootnoteReference"/>
        </w:rPr>
        <w:footnoteRef/>
      </w:r>
      <w:r>
        <w:t xml:space="preserve"> See the Kincaid and Waukegan entries in Table </w:t>
      </w:r>
      <w:r w:rsidR="00476113">
        <w:t>8</w:t>
      </w:r>
      <w:r>
        <w:t>.</w:t>
      </w:r>
    </w:p>
  </w:footnote>
  <w:footnote w:id="16">
    <w:p w14:paraId="632E437D" w14:textId="3D85D384" w:rsidR="00986600" w:rsidRDefault="00986600" w:rsidP="00986600">
      <w:pPr>
        <w:pStyle w:val="FootnoteText"/>
      </w:pPr>
      <w:r>
        <w:rPr>
          <w:rStyle w:val="FootnoteReference"/>
        </w:rPr>
        <w:footnoteRef/>
      </w:r>
      <w:r>
        <w:t xml:space="preserve"> See the </w:t>
      </w:r>
      <w:proofErr w:type="spellStart"/>
      <w:r>
        <w:t>Madgett</w:t>
      </w:r>
      <w:proofErr w:type="spellEnd"/>
      <w:r>
        <w:t xml:space="preserve"> entry in Table </w:t>
      </w:r>
      <w:r w:rsidR="00476113">
        <w:t>8</w:t>
      </w:r>
      <w:r>
        <w:t xml:space="preserve"> below.</w:t>
      </w:r>
    </w:p>
    <w:p w14:paraId="0FA17927" w14:textId="00DFEE34" w:rsidR="00986600" w:rsidRDefault="00986600">
      <w:pPr>
        <w:pStyle w:val="FootnoteText"/>
      </w:pPr>
    </w:p>
  </w:footnote>
  <w:footnote w:id="17">
    <w:p w14:paraId="3B332001" w14:textId="30BDD039" w:rsidR="00E62018" w:rsidRDefault="00E62018">
      <w:pPr>
        <w:pStyle w:val="FootnoteText"/>
      </w:pPr>
      <w:r>
        <w:rPr>
          <w:rStyle w:val="FootnoteReference"/>
        </w:rPr>
        <w:footnoteRef/>
      </w:r>
      <w:r>
        <w:t xml:space="preserve"> MPCA’s response to NPS feedback:</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467"/>
      </w:tblGrid>
      <w:tr w:rsidR="00E62018" w:rsidRPr="00E62018" w14:paraId="743BD776" w14:textId="77777777">
        <w:trPr>
          <w:trHeight w:val="1355"/>
        </w:trPr>
        <w:tc>
          <w:tcPr>
            <w:tcW w:w="9467" w:type="dxa"/>
            <w:tcBorders>
              <w:top w:val="none" w:sz="6" w:space="0" w:color="auto"/>
              <w:bottom w:val="none" w:sz="6" w:space="0" w:color="auto"/>
            </w:tcBorders>
          </w:tcPr>
          <w:p w14:paraId="335F909E" w14:textId="77777777" w:rsidR="00E62018" w:rsidRPr="00E62018" w:rsidRDefault="00E62018" w:rsidP="00E62018">
            <w:pPr>
              <w:autoSpaceDE w:val="0"/>
              <w:autoSpaceDN w:val="0"/>
              <w:adjustRightInd w:val="0"/>
              <w:spacing w:after="0" w:line="240" w:lineRule="auto"/>
              <w:rPr>
                <w:rFonts w:ascii="Calibri" w:hAnsi="Calibri" w:cs="Calibri"/>
                <w:color w:val="000000"/>
                <w:sz w:val="20"/>
                <w:szCs w:val="20"/>
              </w:rPr>
            </w:pPr>
            <w:r w:rsidRPr="00E62018">
              <w:rPr>
                <w:rFonts w:ascii="Calibri" w:hAnsi="Calibri" w:cs="Calibri"/>
                <w:color w:val="000000"/>
                <w:sz w:val="20"/>
                <w:szCs w:val="20"/>
              </w:rPr>
              <w:t xml:space="preserve">MPCA appreciates the detailed review and comments provided on the cost estimates provided by the facility and the revisions made by MPCA. While there are multiple ways to perform a cost estimate, MPCA believes it has adequately estimated the potential cost of controls while accounting for the facility-identified site-specific considerations. As a result, MPCA did not change its determination of the controls needed to continue making reasonable progress but will consider reevaluating this facility and emission units as part of the 2025 progress report or the 2028 comprehensive update. </w:t>
            </w:r>
          </w:p>
        </w:tc>
      </w:tr>
    </w:tbl>
    <w:p w14:paraId="4574DC06" w14:textId="7EE53BC6" w:rsidR="00E62018" w:rsidRDefault="00E62018">
      <w:pPr>
        <w:pStyle w:val="FootnoteText"/>
      </w:pPr>
    </w:p>
  </w:footnote>
  <w:footnote w:id="18">
    <w:p w14:paraId="0B67DC95" w14:textId="77777777" w:rsidR="001F5E20" w:rsidRPr="008A02FC" w:rsidRDefault="001F5E20" w:rsidP="001F5E20">
      <w:pPr>
        <w:contextualSpacing/>
        <w:rPr>
          <w:rFonts w:cs="Times New Roman"/>
          <w:sz w:val="20"/>
          <w:szCs w:val="20"/>
        </w:rPr>
      </w:pPr>
      <w:r>
        <w:rPr>
          <w:rStyle w:val="FootnoteReference"/>
        </w:rPr>
        <w:footnoteRef/>
      </w:r>
      <w:r>
        <w:t xml:space="preserve"> </w:t>
      </w:r>
      <w:r w:rsidRPr="008A02FC">
        <w:rPr>
          <w:rFonts w:cs="Times New Roman"/>
          <w:sz w:val="20"/>
          <w:szCs w:val="20"/>
        </w:rPr>
        <w:t>SUN BIO MATERIAL (U.S.) COMPANY</w:t>
      </w:r>
      <w:r>
        <w:rPr>
          <w:rFonts w:cs="Times New Roman"/>
          <w:sz w:val="20"/>
          <w:szCs w:val="20"/>
        </w:rPr>
        <w:t xml:space="preserve">, </w:t>
      </w:r>
      <w:r w:rsidRPr="008A02FC">
        <w:rPr>
          <w:rFonts w:cs="Times New Roman"/>
          <w:sz w:val="20"/>
          <w:szCs w:val="20"/>
        </w:rPr>
        <w:t>PSD PERMIT APPLICATION</w:t>
      </w:r>
      <w:r>
        <w:rPr>
          <w:rFonts w:cs="Times New Roman"/>
          <w:sz w:val="20"/>
          <w:szCs w:val="20"/>
        </w:rPr>
        <w:t xml:space="preserve">, </w:t>
      </w:r>
      <w:r w:rsidRPr="008A02FC">
        <w:rPr>
          <w:rFonts w:cs="Times New Roman"/>
          <w:sz w:val="20"/>
          <w:szCs w:val="20"/>
        </w:rPr>
        <w:t>November 2018</w:t>
      </w:r>
      <w:r>
        <w:rPr>
          <w:rFonts w:cs="Times New Roman"/>
          <w:sz w:val="20"/>
          <w:szCs w:val="20"/>
        </w:rPr>
        <w:t xml:space="preserve">: </w:t>
      </w:r>
      <w:r w:rsidRPr="008A02FC">
        <w:rPr>
          <w:rFonts w:cs="Times New Roman"/>
          <w:sz w:val="20"/>
          <w:szCs w:val="20"/>
        </w:rPr>
        <w:t>The most widely used combustion modification approach in recovery boilers is commonly referred to as “quaternary air/staged combustion.” This technology involves four stages of combustion air supplied at successively higher points in the body of the furnace. Quaternary Air/Staged Combustion minimizes NOx emissions by maintaining the minimum combustion temperature possible at each successive stage in the furnace to combust the black liquor solids while maintaining high sulfur reduction efficiencies, good bed stability, and uniform velocities after the furnace to minimize high temperatures and fouling. Primary air is used for bed stability, efficient carbon burnout, and high sulfur reduction efficiencies. Secondary (low and high) air ensures even air distribution over the char bed for pyrolysis and volatiles burning. NCG gas can be mixed with high secondary air, which provides air to the start‐up burners. Tertiary air is the over‐fire air over black liquor sprays and provides air to load‐carrying burners. Finally, quaternary air is the air staging register at the upper furnace for NOx reduction. Moreover, the “Quaternary Air/Staged Combustion” technology employed on all modern recovery boiler systems already minimizes NO</w:t>
      </w:r>
      <w:r w:rsidRPr="008A02FC">
        <w:rPr>
          <w:rFonts w:cs="Times New Roman"/>
          <w:sz w:val="20"/>
          <w:szCs w:val="20"/>
          <w:vertAlign w:val="subscript"/>
        </w:rPr>
        <w:t>X</w:t>
      </w:r>
      <w:r w:rsidRPr="008A02FC">
        <w:rPr>
          <w:rFonts w:cs="Times New Roman"/>
          <w:sz w:val="20"/>
          <w:szCs w:val="20"/>
        </w:rPr>
        <w:t xml:space="preserve"> emissions while maintaining high reduction efficiencies, good bed stability, and uniform velocities. </w:t>
      </w:r>
    </w:p>
    <w:p w14:paraId="2A85FF25" w14:textId="77777777" w:rsidR="001F5E20" w:rsidRDefault="001F5E20" w:rsidP="001F5E20">
      <w:pPr>
        <w:pStyle w:val="FootnoteText"/>
      </w:pPr>
    </w:p>
  </w:footnote>
  <w:footnote w:id="19">
    <w:p w14:paraId="1FCD600D" w14:textId="162BB8E6" w:rsidR="008E5161" w:rsidRDefault="008E5161">
      <w:pPr>
        <w:pStyle w:val="FootnoteText"/>
      </w:pPr>
      <w:r>
        <w:rPr>
          <w:rStyle w:val="FootnoteReference"/>
        </w:rPr>
        <w:footnoteRef/>
      </w:r>
      <w:r>
        <w:t xml:space="preserve"> MPCA responses to NPS feedback:</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467"/>
      </w:tblGrid>
      <w:tr w:rsidR="008E5161" w:rsidRPr="008E5161" w14:paraId="356B9026" w14:textId="77777777">
        <w:trPr>
          <w:trHeight w:val="1630"/>
        </w:trPr>
        <w:tc>
          <w:tcPr>
            <w:tcW w:w="9467" w:type="dxa"/>
            <w:tcBorders>
              <w:top w:val="none" w:sz="6" w:space="0" w:color="auto"/>
              <w:bottom w:val="none" w:sz="6" w:space="0" w:color="auto"/>
            </w:tcBorders>
          </w:tcPr>
          <w:p w14:paraId="0A737BA3" w14:textId="77777777" w:rsidR="008E5161" w:rsidRPr="008E5161" w:rsidRDefault="008E5161" w:rsidP="008E5161">
            <w:pPr>
              <w:autoSpaceDE w:val="0"/>
              <w:autoSpaceDN w:val="0"/>
              <w:adjustRightInd w:val="0"/>
              <w:spacing w:after="0" w:line="240" w:lineRule="auto"/>
              <w:rPr>
                <w:rFonts w:cs="Times New Roman"/>
                <w:color w:val="000000"/>
                <w:sz w:val="20"/>
                <w:szCs w:val="20"/>
              </w:rPr>
            </w:pPr>
            <w:r w:rsidRPr="008E5161">
              <w:rPr>
                <w:rFonts w:cs="Times New Roman"/>
                <w:color w:val="000000"/>
                <w:sz w:val="20"/>
                <w:szCs w:val="20"/>
              </w:rPr>
              <w:t xml:space="preserve">MPCA added additional detail to Section 2.3.5 regarding the current FIP limits applicable to the taconite companies and a comparison of reported emissions data for recent years. MPCA also added additional clarification to Section 2.6.1 regarding how the MPCA estimated the reductions due to the FIP limits. </w:t>
            </w:r>
          </w:p>
          <w:p w14:paraId="0B5ACCB2" w14:textId="77777777" w:rsidR="008E5161" w:rsidRPr="008E5161" w:rsidRDefault="008E5161" w:rsidP="008E5161">
            <w:pPr>
              <w:autoSpaceDE w:val="0"/>
              <w:autoSpaceDN w:val="0"/>
              <w:adjustRightInd w:val="0"/>
              <w:spacing w:after="0" w:line="240" w:lineRule="auto"/>
              <w:rPr>
                <w:rFonts w:ascii="Calibri" w:hAnsi="Calibri" w:cs="Calibri"/>
                <w:color w:val="000000"/>
                <w:sz w:val="20"/>
                <w:szCs w:val="20"/>
              </w:rPr>
            </w:pPr>
            <w:r w:rsidRPr="008E5161">
              <w:rPr>
                <w:rFonts w:cs="Times New Roman"/>
                <w:color w:val="000000"/>
                <w:sz w:val="20"/>
                <w:szCs w:val="20"/>
              </w:rPr>
              <w:t>MPCA appreciates the suggestion to consider potential emission reduction measures from a multi-pollutant perspective. MPCA believes that is a larger undertaking than can be reasonably completed between the end of the FLM consultation period and the start of the public notice period but will consider this idea as part of future regional haze planning efforts.</w:t>
            </w:r>
            <w:r w:rsidRPr="008E5161">
              <w:rPr>
                <w:rFonts w:ascii="Calibri" w:hAnsi="Calibri" w:cs="Calibri"/>
                <w:color w:val="000000"/>
                <w:sz w:val="20"/>
                <w:szCs w:val="20"/>
              </w:rPr>
              <w:t xml:space="preserve"> </w:t>
            </w:r>
          </w:p>
        </w:tc>
      </w:tr>
    </w:tbl>
    <w:p w14:paraId="26611876" w14:textId="77777777" w:rsidR="008E5161" w:rsidRDefault="008E5161">
      <w:pPr>
        <w:pStyle w:val="FootnoteText"/>
      </w:pPr>
    </w:p>
  </w:footnote>
  <w:footnote w:id="20">
    <w:p w14:paraId="5575F0FE" w14:textId="77777777" w:rsidR="00867FDB" w:rsidRDefault="00867FDB" w:rsidP="00867FDB">
      <w:pPr>
        <w:pStyle w:val="FootnoteText"/>
      </w:pPr>
      <w:r>
        <w:rPr>
          <w:rStyle w:val="FootnoteReference"/>
        </w:rPr>
        <w:footnoteRef/>
      </w:r>
      <w:r w:rsidRPr="006236EB">
        <w:rPr>
          <w:rFonts w:cs="Times New Roman"/>
        </w:rPr>
        <w:t xml:space="preserve"> </w:t>
      </w:r>
      <w:hyperlink r:id="rId1" w:history="1">
        <w:r w:rsidRPr="006236EB">
          <w:rPr>
            <w:rStyle w:val="Hyperlink"/>
            <w:rFonts w:cs="Times New Roman"/>
          </w:rPr>
          <w:t>Taconite | Minnesota DNR (state.mn.us)</w:t>
        </w:r>
      </w:hyperlink>
    </w:p>
  </w:footnote>
  <w:footnote w:id="21">
    <w:p w14:paraId="28AB11A6" w14:textId="77777777" w:rsidR="00867FDB" w:rsidRPr="00B30030" w:rsidRDefault="00867FDB" w:rsidP="00867FDB">
      <w:pPr>
        <w:pStyle w:val="FootnoteText"/>
        <w:contextualSpacing/>
        <w:rPr>
          <w:i/>
        </w:rPr>
      </w:pPr>
      <w:r w:rsidRPr="00B30030">
        <w:rPr>
          <w:rStyle w:val="FootnoteReference"/>
        </w:rPr>
        <w:footnoteRef/>
      </w:r>
      <w:r w:rsidRPr="00B30030">
        <w:t xml:space="preserve"> See 78 Fed. Reg. 8706 (February 6, 2013).</w:t>
      </w:r>
    </w:p>
  </w:footnote>
  <w:footnote w:id="22">
    <w:p w14:paraId="45D0CAD2" w14:textId="77777777" w:rsidR="00867FDB" w:rsidRPr="00B30030" w:rsidRDefault="00867FDB" w:rsidP="00867FDB">
      <w:pPr>
        <w:pStyle w:val="FootnoteText"/>
        <w:rPr>
          <w:i/>
          <w:iCs/>
        </w:rPr>
      </w:pPr>
      <w:r w:rsidRPr="00B30030">
        <w:rPr>
          <w:rStyle w:val="FootnoteReference"/>
          <w:iCs/>
        </w:rPr>
        <w:footnoteRef/>
      </w:r>
      <w:r w:rsidRPr="00B30030">
        <w:rPr>
          <w:iCs/>
        </w:rPr>
        <w:t xml:space="preserve"> See 81 Fed. Reg. 21672 (April 12, 2016).</w:t>
      </w:r>
    </w:p>
  </w:footnote>
  <w:footnote w:id="23">
    <w:p w14:paraId="70CAACE8" w14:textId="30674B84" w:rsidR="00867FDB" w:rsidRPr="00B30030" w:rsidRDefault="00867FDB" w:rsidP="00867FDB">
      <w:pPr>
        <w:spacing w:line="240" w:lineRule="auto"/>
        <w:contextualSpacing/>
        <w:rPr>
          <w:rFonts w:cs="Times New Roman"/>
          <w:sz w:val="20"/>
          <w:szCs w:val="20"/>
        </w:rPr>
      </w:pPr>
      <w:r w:rsidRPr="00B30030">
        <w:rPr>
          <w:rStyle w:val="FootnoteReference"/>
          <w:rFonts w:cs="Times New Roman"/>
          <w:sz w:val="20"/>
          <w:szCs w:val="20"/>
        </w:rPr>
        <w:footnoteRef/>
      </w:r>
      <w:r w:rsidRPr="00B30030">
        <w:rPr>
          <w:rFonts w:cs="Times New Roman"/>
          <w:sz w:val="20"/>
          <w:szCs w:val="20"/>
        </w:rPr>
        <w:t xml:space="preserve"> EPA April 12, 2016 Federal Register: </w:t>
      </w:r>
      <w:bookmarkStart w:id="48" w:name="_Hlk106962399"/>
      <w:r w:rsidR="005202A6">
        <w:rPr>
          <w:rFonts w:cs="Times New Roman"/>
          <w:sz w:val="20"/>
          <w:szCs w:val="20"/>
        </w:rPr>
        <w:t>We</w:t>
      </w:r>
      <w:r w:rsidRPr="00B30030">
        <w:rPr>
          <w:rFonts w:cs="Times New Roman"/>
          <w:sz w:val="20"/>
          <w:szCs w:val="20"/>
        </w:rPr>
        <w:t xml:space="preserve"> expect Minnesota and Michigan to reevaluate SCR with reheat as a potential option for making reasonable progress in future planning periods, but reject the technology as BART for the Minnesota and Michigan taconite facilities at this time.</w:t>
      </w:r>
      <w:bookmarkEnd w:id="48"/>
    </w:p>
  </w:footnote>
  <w:footnote w:id="24">
    <w:p w14:paraId="2A583865" w14:textId="55D0C7CB" w:rsidR="00867FDB" w:rsidRPr="00793991" w:rsidRDefault="00867FDB" w:rsidP="00867FDB">
      <w:pPr>
        <w:contextualSpacing/>
        <w:rPr>
          <w:rFonts w:cs="Times New Roman"/>
          <w:sz w:val="20"/>
          <w:szCs w:val="20"/>
        </w:rPr>
      </w:pPr>
      <w:r w:rsidRPr="00EA5BF6">
        <w:rPr>
          <w:rStyle w:val="FootnoteReference"/>
          <w:rFonts w:cs="Times New Roman"/>
          <w:b/>
          <w:bCs/>
          <w:sz w:val="20"/>
          <w:szCs w:val="20"/>
        </w:rPr>
        <w:footnoteRef/>
      </w:r>
      <w:r w:rsidRPr="00EA5BF6">
        <w:rPr>
          <w:rFonts w:cs="Times New Roman"/>
          <w:b/>
          <w:bCs/>
          <w:sz w:val="20"/>
          <w:szCs w:val="20"/>
        </w:rPr>
        <w:t xml:space="preserve"> </w:t>
      </w:r>
      <w:r w:rsidRPr="00793991">
        <w:rPr>
          <w:rFonts w:cs="Times New Roman"/>
          <w:sz w:val="20"/>
          <w:szCs w:val="20"/>
        </w:rPr>
        <w:t>Regional Haze Four-Factor Analysis for NO</w:t>
      </w:r>
      <w:r w:rsidR="0037145D" w:rsidRPr="0037145D">
        <w:rPr>
          <w:rFonts w:cs="Times New Roman"/>
          <w:sz w:val="20"/>
          <w:szCs w:val="20"/>
          <w:vertAlign w:val="subscript"/>
        </w:rPr>
        <w:t>x</w:t>
      </w:r>
      <w:r w:rsidRPr="00793991">
        <w:rPr>
          <w:rFonts w:cs="Times New Roman"/>
          <w:sz w:val="20"/>
          <w:szCs w:val="20"/>
        </w:rPr>
        <w:t xml:space="preserve"> and SO</w:t>
      </w:r>
      <w:r w:rsidRPr="0037145D">
        <w:rPr>
          <w:rFonts w:cs="Times New Roman"/>
          <w:sz w:val="20"/>
          <w:szCs w:val="20"/>
          <w:vertAlign w:val="subscript"/>
        </w:rPr>
        <w:t>2</w:t>
      </w:r>
      <w:r w:rsidRPr="00793991">
        <w:rPr>
          <w:rFonts w:cs="Times New Roman"/>
          <w:sz w:val="20"/>
          <w:szCs w:val="20"/>
        </w:rPr>
        <w:t xml:space="preserve"> Emissions Control </w:t>
      </w:r>
    </w:p>
    <w:p w14:paraId="157834C4" w14:textId="77777777" w:rsidR="00867FDB" w:rsidRPr="00EA5BF6" w:rsidRDefault="00867FDB" w:rsidP="00867FDB">
      <w:pPr>
        <w:contextualSpacing/>
        <w:rPr>
          <w:rFonts w:cs="Times New Roman"/>
          <w:sz w:val="20"/>
          <w:szCs w:val="20"/>
        </w:rPr>
      </w:pPr>
      <w:r w:rsidRPr="00EA5BF6">
        <w:rPr>
          <w:rFonts w:cs="Times New Roman"/>
          <w:sz w:val="20"/>
          <w:szCs w:val="20"/>
        </w:rPr>
        <w:t xml:space="preserve">Line 1 Pellet Indurating Furnace EQUI 45/EU 040 </w:t>
      </w:r>
    </w:p>
    <w:p w14:paraId="3F8CEDEA" w14:textId="77777777" w:rsidR="00867FDB" w:rsidRPr="00EA5BF6" w:rsidRDefault="00867FDB" w:rsidP="00867FDB">
      <w:pPr>
        <w:contextualSpacing/>
        <w:rPr>
          <w:rFonts w:cs="Times New Roman"/>
          <w:sz w:val="20"/>
          <w:szCs w:val="20"/>
        </w:rPr>
      </w:pPr>
      <w:r w:rsidRPr="00EA5BF6">
        <w:rPr>
          <w:rFonts w:cs="Times New Roman"/>
          <w:sz w:val="20"/>
          <w:szCs w:val="20"/>
        </w:rPr>
        <w:t xml:space="preserve">Line 2 Pellet Indurating Furnace EQUI 47/EU 042 </w:t>
      </w:r>
    </w:p>
    <w:p w14:paraId="1C8FF204" w14:textId="77777777" w:rsidR="00867FDB" w:rsidRPr="00EA5BF6" w:rsidRDefault="00867FDB" w:rsidP="00867FDB">
      <w:pPr>
        <w:contextualSpacing/>
        <w:rPr>
          <w:rFonts w:cs="Times New Roman"/>
          <w:sz w:val="20"/>
          <w:szCs w:val="20"/>
        </w:rPr>
      </w:pPr>
      <w:r w:rsidRPr="00EA5BF6">
        <w:rPr>
          <w:rFonts w:cs="Times New Roman"/>
          <w:sz w:val="20"/>
          <w:szCs w:val="20"/>
        </w:rPr>
        <w:t xml:space="preserve">Prepared for United Taconite LLC – Fairlane Plant </w:t>
      </w:r>
      <w:r>
        <w:rPr>
          <w:rFonts w:cs="Times New Roman"/>
          <w:sz w:val="20"/>
          <w:szCs w:val="20"/>
        </w:rPr>
        <w:t xml:space="preserve"> </w:t>
      </w:r>
      <w:r w:rsidRPr="00EA5BF6">
        <w:rPr>
          <w:rFonts w:cs="Times New Roman"/>
          <w:sz w:val="20"/>
          <w:szCs w:val="20"/>
        </w:rPr>
        <w:t>July 31,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490FD6"/>
    <w:multiLevelType w:val="hybridMultilevel"/>
    <w:tmpl w:val="399B99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8565C"/>
    <w:multiLevelType w:val="hybridMultilevel"/>
    <w:tmpl w:val="9B62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616F2"/>
    <w:multiLevelType w:val="hybridMultilevel"/>
    <w:tmpl w:val="12C4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D02CA"/>
    <w:multiLevelType w:val="hybridMultilevel"/>
    <w:tmpl w:val="6F8CC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704AEE"/>
    <w:multiLevelType w:val="hybridMultilevel"/>
    <w:tmpl w:val="C322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E70E9"/>
    <w:multiLevelType w:val="hybridMultilevel"/>
    <w:tmpl w:val="D3AE6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27D44"/>
    <w:multiLevelType w:val="hybridMultilevel"/>
    <w:tmpl w:val="BBCE6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A2E90"/>
    <w:multiLevelType w:val="hybridMultilevel"/>
    <w:tmpl w:val="0D52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8471E"/>
    <w:multiLevelType w:val="hybridMultilevel"/>
    <w:tmpl w:val="095C4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531E0"/>
    <w:multiLevelType w:val="hybridMultilevel"/>
    <w:tmpl w:val="33EC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8477B"/>
    <w:multiLevelType w:val="hybridMultilevel"/>
    <w:tmpl w:val="DA929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410F1"/>
    <w:multiLevelType w:val="hybridMultilevel"/>
    <w:tmpl w:val="E7DA43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D55F3D"/>
    <w:multiLevelType w:val="hybridMultilevel"/>
    <w:tmpl w:val="D77E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B56018"/>
    <w:multiLevelType w:val="hybridMultilevel"/>
    <w:tmpl w:val="9CC4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366E4"/>
    <w:multiLevelType w:val="hybridMultilevel"/>
    <w:tmpl w:val="E7DA4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CBECB2"/>
    <w:multiLevelType w:val="hybridMultilevel"/>
    <w:tmpl w:val="55CF35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8F51AE8"/>
    <w:multiLevelType w:val="hybridMultilevel"/>
    <w:tmpl w:val="EB58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442407"/>
    <w:multiLevelType w:val="hybridMultilevel"/>
    <w:tmpl w:val="C59694E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BF535E9"/>
    <w:multiLevelType w:val="hybridMultilevel"/>
    <w:tmpl w:val="BA3C3A2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C8F587A"/>
    <w:multiLevelType w:val="hybridMultilevel"/>
    <w:tmpl w:val="014E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B277A"/>
    <w:multiLevelType w:val="hybridMultilevel"/>
    <w:tmpl w:val="61BA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7D06BD"/>
    <w:multiLevelType w:val="hybridMultilevel"/>
    <w:tmpl w:val="738A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1067D2"/>
    <w:multiLevelType w:val="hybridMultilevel"/>
    <w:tmpl w:val="648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396657"/>
    <w:multiLevelType w:val="hybridMultilevel"/>
    <w:tmpl w:val="AAC2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745D2F"/>
    <w:multiLevelType w:val="hybridMultilevel"/>
    <w:tmpl w:val="3C8C271E"/>
    <w:lvl w:ilvl="0" w:tplc="1B88A41A">
      <w:start w:val="1"/>
      <w:numFmt w:val="bullet"/>
      <w:lvlText w:val="•"/>
      <w:lvlJc w:val="left"/>
      <w:pPr>
        <w:tabs>
          <w:tab w:val="num" w:pos="720"/>
        </w:tabs>
        <w:ind w:left="720" w:hanging="360"/>
      </w:pPr>
      <w:rPr>
        <w:rFonts w:ascii="Arial" w:hAnsi="Arial" w:hint="default"/>
      </w:rPr>
    </w:lvl>
    <w:lvl w:ilvl="1" w:tplc="EA74FD3E" w:tentative="1">
      <w:start w:val="1"/>
      <w:numFmt w:val="bullet"/>
      <w:lvlText w:val="•"/>
      <w:lvlJc w:val="left"/>
      <w:pPr>
        <w:tabs>
          <w:tab w:val="num" w:pos="1440"/>
        </w:tabs>
        <w:ind w:left="1440" w:hanging="360"/>
      </w:pPr>
      <w:rPr>
        <w:rFonts w:ascii="Arial" w:hAnsi="Arial" w:hint="default"/>
      </w:rPr>
    </w:lvl>
    <w:lvl w:ilvl="2" w:tplc="F056AAC6" w:tentative="1">
      <w:start w:val="1"/>
      <w:numFmt w:val="bullet"/>
      <w:lvlText w:val="•"/>
      <w:lvlJc w:val="left"/>
      <w:pPr>
        <w:tabs>
          <w:tab w:val="num" w:pos="2160"/>
        </w:tabs>
        <w:ind w:left="2160" w:hanging="360"/>
      </w:pPr>
      <w:rPr>
        <w:rFonts w:ascii="Arial" w:hAnsi="Arial" w:hint="default"/>
      </w:rPr>
    </w:lvl>
    <w:lvl w:ilvl="3" w:tplc="F732D730" w:tentative="1">
      <w:start w:val="1"/>
      <w:numFmt w:val="bullet"/>
      <w:lvlText w:val="•"/>
      <w:lvlJc w:val="left"/>
      <w:pPr>
        <w:tabs>
          <w:tab w:val="num" w:pos="2880"/>
        </w:tabs>
        <w:ind w:left="2880" w:hanging="360"/>
      </w:pPr>
      <w:rPr>
        <w:rFonts w:ascii="Arial" w:hAnsi="Arial" w:hint="default"/>
      </w:rPr>
    </w:lvl>
    <w:lvl w:ilvl="4" w:tplc="D376EA32" w:tentative="1">
      <w:start w:val="1"/>
      <w:numFmt w:val="bullet"/>
      <w:lvlText w:val="•"/>
      <w:lvlJc w:val="left"/>
      <w:pPr>
        <w:tabs>
          <w:tab w:val="num" w:pos="3600"/>
        </w:tabs>
        <w:ind w:left="3600" w:hanging="360"/>
      </w:pPr>
      <w:rPr>
        <w:rFonts w:ascii="Arial" w:hAnsi="Arial" w:hint="default"/>
      </w:rPr>
    </w:lvl>
    <w:lvl w:ilvl="5" w:tplc="0D42F3C8" w:tentative="1">
      <w:start w:val="1"/>
      <w:numFmt w:val="bullet"/>
      <w:lvlText w:val="•"/>
      <w:lvlJc w:val="left"/>
      <w:pPr>
        <w:tabs>
          <w:tab w:val="num" w:pos="4320"/>
        </w:tabs>
        <w:ind w:left="4320" w:hanging="360"/>
      </w:pPr>
      <w:rPr>
        <w:rFonts w:ascii="Arial" w:hAnsi="Arial" w:hint="default"/>
      </w:rPr>
    </w:lvl>
    <w:lvl w:ilvl="6" w:tplc="EC44908C" w:tentative="1">
      <w:start w:val="1"/>
      <w:numFmt w:val="bullet"/>
      <w:lvlText w:val="•"/>
      <w:lvlJc w:val="left"/>
      <w:pPr>
        <w:tabs>
          <w:tab w:val="num" w:pos="5040"/>
        </w:tabs>
        <w:ind w:left="5040" w:hanging="360"/>
      </w:pPr>
      <w:rPr>
        <w:rFonts w:ascii="Arial" w:hAnsi="Arial" w:hint="default"/>
      </w:rPr>
    </w:lvl>
    <w:lvl w:ilvl="7" w:tplc="B2922FAE" w:tentative="1">
      <w:start w:val="1"/>
      <w:numFmt w:val="bullet"/>
      <w:lvlText w:val="•"/>
      <w:lvlJc w:val="left"/>
      <w:pPr>
        <w:tabs>
          <w:tab w:val="num" w:pos="5760"/>
        </w:tabs>
        <w:ind w:left="5760" w:hanging="360"/>
      </w:pPr>
      <w:rPr>
        <w:rFonts w:ascii="Arial" w:hAnsi="Arial" w:hint="default"/>
      </w:rPr>
    </w:lvl>
    <w:lvl w:ilvl="8" w:tplc="86F6F4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AE07BF3"/>
    <w:multiLevelType w:val="hybridMultilevel"/>
    <w:tmpl w:val="F466A5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A86168"/>
    <w:multiLevelType w:val="hybridMultilevel"/>
    <w:tmpl w:val="1660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190FB0"/>
    <w:multiLevelType w:val="hybridMultilevel"/>
    <w:tmpl w:val="155A8CEC"/>
    <w:lvl w:ilvl="0" w:tplc="19DEB662">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63A0626"/>
    <w:multiLevelType w:val="hybridMultilevel"/>
    <w:tmpl w:val="1070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4319A1"/>
    <w:multiLevelType w:val="hybridMultilevel"/>
    <w:tmpl w:val="EBFA8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4263D0"/>
    <w:multiLevelType w:val="hybridMultilevel"/>
    <w:tmpl w:val="E756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AA0127"/>
    <w:multiLevelType w:val="hybridMultilevel"/>
    <w:tmpl w:val="A216D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F2491A"/>
    <w:multiLevelType w:val="hybridMultilevel"/>
    <w:tmpl w:val="4754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223639"/>
    <w:multiLevelType w:val="hybridMultilevel"/>
    <w:tmpl w:val="BDE8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271C56"/>
    <w:multiLevelType w:val="hybridMultilevel"/>
    <w:tmpl w:val="8814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590575"/>
    <w:multiLevelType w:val="multilevel"/>
    <w:tmpl w:val="4C66646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none"/>
      <w:pStyle w:val="Heading4"/>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4E5130C5"/>
    <w:multiLevelType w:val="hybridMultilevel"/>
    <w:tmpl w:val="8918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747875"/>
    <w:multiLevelType w:val="hybridMultilevel"/>
    <w:tmpl w:val="C776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792D46"/>
    <w:multiLevelType w:val="hybridMultilevel"/>
    <w:tmpl w:val="39E8D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503780"/>
    <w:multiLevelType w:val="hybridMultilevel"/>
    <w:tmpl w:val="D1AAF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164793"/>
    <w:multiLevelType w:val="hybridMultilevel"/>
    <w:tmpl w:val="30C8E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F8081A"/>
    <w:multiLevelType w:val="hybridMultilevel"/>
    <w:tmpl w:val="0A942E06"/>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42" w15:restartNumberingAfterBreak="0">
    <w:nsid w:val="5D735F17"/>
    <w:multiLevelType w:val="hybridMultilevel"/>
    <w:tmpl w:val="7E286590"/>
    <w:lvl w:ilvl="0" w:tplc="A2F2AC48">
      <w:start w:val="1"/>
      <w:numFmt w:val="bullet"/>
      <w:lvlText w:val="•"/>
      <w:lvlJc w:val="left"/>
      <w:pPr>
        <w:tabs>
          <w:tab w:val="num" w:pos="720"/>
        </w:tabs>
        <w:ind w:left="720" w:hanging="360"/>
      </w:pPr>
      <w:rPr>
        <w:rFonts w:ascii="Arial" w:hAnsi="Arial" w:hint="default"/>
      </w:rPr>
    </w:lvl>
    <w:lvl w:ilvl="1" w:tplc="E31EBC22" w:tentative="1">
      <w:start w:val="1"/>
      <w:numFmt w:val="bullet"/>
      <w:lvlText w:val="•"/>
      <w:lvlJc w:val="left"/>
      <w:pPr>
        <w:tabs>
          <w:tab w:val="num" w:pos="1440"/>
        </w:tabs>
        <w:ind w:left="1440" w:hanging="360"/>
      </w:pPr>
      <w:rPr>
        <w:rFonts w:ascii="Arial" w:hAnsi="Arial" w:hint="default"/>
      </w:rPr>
    </w:lvl>
    <w:lvl w:ilvl="2" w:tplc="E0BAFD72" w:tentative="1">
      <w:start w:val="1"/>
      <w:numFmt w:val="bullet"/>
      <w:lvlText w:val="•"/>
      <w:lvlJc w:val="left"/>
      <w:pPr>
        <w:tabs>
          <w:tab w:val="num" w:pos="2160"/>
        </w:tabs>
        <w:ind w:left="2160" w:hanging="360"/>
      </w:pPr>
      <w:rPr>
        <w:rFonts w:ascii="Arial" w:hAnsi="Arial" w:hint="default"/>
      </w:rPr>
    </w:lvl>
    <w:lvl w:ilvl="3" w:tplc="B946695C" w:tentative="1">
      <w:start w:val="1"/>
      <w:numFmt w:val="bullet"/>
      <w:lvlText w:val="•"/>
      <w:lvlJc w:val="left"/>
      <w:pPr>
        <w:tabs>
          <w:tab w:val="num" w:pos="2880"/>
        </w:tabs>
        <w:ind w:left="2880" w:hanging="360"/>
      </w:pPr>
      <w:rPr>
        <w:rFonts w:ascii="Arial" w:hAnsi="Arial" w:hint="default"/>
      </w:rPr>
    </w:lvl>
    <w:lvl w:ilvl="4" w:tplc="67C694EE" w:tentative="1">
      <w:start w:val="1"/>
      <w:numFmt w:val="bullet"/>
      <w:lvlText w:val="•"/>
      <w:lvlJc w:val="left"/>
      <w:pPr>
        <w:tabs>
          <w:tab w:val="num" w:pos="3600"/>
        </w:tabs>
        <w:ind w:left="3600" w:hanging="360"/>
      </w:pPr>
      <w:rPr>
        <w:rFonts w:ascii="Arial" w:hAnsi="Arial" w:hint="default"/>
      </w:rPr>
    </w:lvl>
    <w:lvl w:ilvl="5" w:tplc="DE4EEAB6" w:tentative="1">
      <w:start w:val="1"/>
      <w:numFmt w:val="bullet"/>
      <w:lvlText w:val="•"/>
      <w:lvlJc w:val="left"/>
      <w:pPr>
        <w:tabs>
          <w:tab w:val="num" w:pos="4320"/>
        </w:tabs>
        <w:ind w:left="4320" w:hanging="360"/>
      </w:pPr>
      <w:rPr>
        <w:rFonts w:ascii="Arial" w:hAnsi="Arial" w:hint="default"/>
      </w:rPr>
    </w:lvl>
    <w:lvl w:ilvl="6" w:tplc="F40629F6" w:tentative="1">
      <w:start w:val="1"/>
      <w:numFmt w:val="bullet"/>
      <w:lvlText w:val="•"/>
      <w:lvlJc w:val="left"/>
      <w:pPr>
        <w:tabs>
          <w:tab w:val="num" w:pos="5040"/>
        </w:tabs>
        <w:ind w:left="5040" w:hanging="360"/>
      </w:pPr>
      <w:rPr>
        <w:rFonts w:ascii="Arial" w:hAnsi="Arial" w:hint="default"/>
      </w:rPr>
    </w:lvl>
    <w:lvl w:ilvl="7" w:tplc="1B2E0058" w:tentative="1">
      <w:start w:val="1"/>
      <w:numFmt w:val="bullet"/>
      <w:lvlText w:val="•"/>
      <w:lvlJc w:val="left"/>
      <w:pPr>
        <w:tabs>
          <w:tab w:val="num" w:pos="5760"/>
        </w:tabs>
        <w:ind w:left="5760" w:hanging="360"/>
      </w:pPr>
      <w:rPr>
        <w:rFonts w:ascii="Arial" w:hAnsi="Arial" w:hint="default"/>
      </w:rPr>
    </w:lvl>
    <w:lvl w:ilvl="8" w:tplc="66BE062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EDB4029"/>
    <w:multiLevelType w:val="hybridMultilevel"/>
    <w:tmpl w:val="E7DA4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255D53"/>
    <w:multiLevelType w:val="hybridMultilevel"/>
    <w:tmpl w:val="26501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A03A3B"/>
    <w:multiLevelType w:val="hybridMultilevel"/>
    <w:tmpl w:val="41D2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4C1D61"/>
    <w:multiLevelType w:val="hybridMultilevel"/>
    <w:tmpl w:val="6E4610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0EA47DE"/>
    <w:multiLevelType w:val="hybridMultilevel"/>
    <w:tmpl w:val="C3C2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BE5069"/>
    <w:multiLevelType w:val="hybridMultilevel"/>
    <w:tmpl w:val="89088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6322CF"/>
    <w:multiLevelType w:val="hybridMultilevel"/>
    <w:tmpl w:val="27B2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F56487"/>
    <w:multiLevelType w:val="hybridMultilevel"/>
    <w:tmpl w:val="AA724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916B18"/>
    <w:multiLevelType w:val="hybridMultilevel"/>
    <w:tmpl w:val="86CC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1B70F7"/>
    <w:multiLevelType w:val="hybridMultilevel"/>
    <w:tmpl w:val="F9CE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CC5D40"/>
    <w:multiLevelType w:val="hybridMultilevel"/>
    <w:tmpl w:val="5284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706BDE"/>
    <w:multiLevelType w:val="hybridMultilevel"/>
    <w:tmpl w:val="DA4E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F20124"/>
    <w:multiLevelType w:val="hybridMultilevel"/>
    <w:tmpl w:val="D14C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050265"/>
    <w:multiLevelType w:val="hybridMultilevel"/>
    <w:tmpl w:val="E7DA4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325463">
    <w:abstractNumId w:val="35"/>
  </w:num>
  <w:num w:numId="2" w16cid:durableId="392390459">
    <w:abstractNumId w:val="31"/>
  </w:num>
  <w:num w:numId="3" w16cid:durableId="374088918">
    <w:abstractNumId w:val="33"/>
  </w:num>
  <w:num w:numId="4" w16cid:durableId="1443769696">
    <w:abstractNumId w:val="49"/>
  </w:num>
  <w:num w:numId="5" w16cid:durableId="1928223489">
    <w:abstractNumId w:val="10"/>
  </w:num>
  <w:num w:numId="6" w16cid:durableId="2070228442">
    <w:abstractNumId w:val="9"/>
  </w:num>
  <w:num w:numId="7" w16cid:durableId="1365324185">
    <w:abstractNumId w:val="37"/>
  </w:num>
  <w:num w:numId="8" w16cid:durableId="84158458">
    <w:abstractNumId w:val="12"/>
  </w:num>
  <w:num w:numId="9" w16cid:durableId="1657487944">
    <w:abstractNumId w:val="39"/>
  </w:num>
  <w:num w:numId="10" w16cid:durableId="185876712">
    <w:abstractNumId w:val="44"/>
  </w:num>
  <w:num w:numId="11" w16cid:durableId="1122966650">
    <w:abstractNumId w:val="40"/>
  </w:num>
  <w:num w:numId="12" w16cid:durableId="859514381">
    <w:abstractNumId w:val="25"/>
  </w:num>
  <w:num w:numId="13" w16cid:durableId="177814997">
    <w:abstractNumId w:val="27"/>
  </w:num>
  <w:num w:numId="14" w16cid:durableId="1595741760">
    <w:abstractNumId w:val="6"/>
  </w:num>
  <w:num w:numId="15" w16cid:durableId="1269462010">
    <w:abstractNumId w:val="29"/>
  </w:num>
  <w:num w:numId="16" w16cid:durableId="31076255">
    <w:abstractNumId w:val="16"/>
  </w:num>
  <w:num w:numId="17" w16cid:durableId="602807824">
    <w:abstractNumId w:val="13"/>
  </w:num>
  <w:num w:numId="18" w16cid:durableId="44917992">
    <w:abstractNumId w:val="4"/>
  </w:num>
  <w:num w:numId="19" w16cid:durableId="1634168717">
    <w:abstractNumId w:val="7"/>
  </w:num>
  <w:num w:numId="20" w16cid:durableId="1228373352">
    <w:abstractNumId w:val="50"/>
  </w:num>
  <w:num w:numId="21" w16cid:durableId="1326396612">
    <w:abstractNumId w:val="14"/>
  </w:num>
  <w:num w:numId="22" w16cid:durableId="115758803">
    <w:abstractNumId w:val="43"/>
  </w:num>
  <w:num w:numId="23" w16cid:durableId="347878748">
    <w:abstractNumId w:val="56"/>
  </w:num>
  <w:num w:numId="24" w16cid:durableId="1272544722">
    <w:abstractNumId w:val="52"/>
  </w:num>
  <w:num w:numId="25" w16cid:durableId="1011949965">
    <w:abstractNumId w:val="5"/>
  </w:num>
  <w:num w:numId="26" w16cid:durableId="1345942559">
    <w:abstractNumId w:val="30"/>
  </w:num>
  <w:num w:numId="27" w16cid:durableId="635641794">
    <w:abstractNumId w:val="22"/>
  </w:num>
  <w:num w:numId="28" w16cid:durableId="74211377">
    <w:abstractNumId w:val="48"/>
  </w:num>
  <w:num w:numId="29" w16cid:durableId="26492325">
    <w:abstractNumId w:val="36"/>
  </w:num>
  <w:num w:numId="30" w16cid:durableId="326593881">
    <w:abstractNumId w:val="20"/>
  </w:num>
  <w:num w:numId="31" w16cid:durableId="813567594">
    <w:abstractNumId w:val="23"/>
  </w:num>
  <w:num w:numId="32" w16cid:durableId="676689595">
    <w:abstractNumId w:val="51"/>
  </w:num>
  <w:num w:numId="33" w16cid:durableId="703017717">
    <w:abstractNumId w:val="55"/>
  </w:num>
  <w:num w:numId="34" w16cid:durableId="759833319">
    <w:abstractNumId w:val="21"/>
  </w:num>
  <w:num w:numId="35" w16cid:durableId="778060834">
    <w:abstractNumId w:val="54"/>
  </w:num>
  <w:num w:numId="36" w16cid:durableId="22025091">
    <w:abstractNumId w:val="47"/>
  </w:num>
  <w:num w:numId="37" w16cid:durableId="1140609257">
    <w:abstractNumId w:val="8"/>
  </w:num>
  <w:num w:numId="38" w16cid:durableId="1047874896">
    <w:abstractNumId w:val="42"/>
  </w:num>
  <w:num w:numId="39" w16cid:durableId="1167400091">
    <w:abstractNumId w:val="32"/>
  </w:num>
  <w:num w:numId="40" w16cid:durableId="434593503">
    <w:abstractNumId w:val="24"/>
  </w:num>
  <w:num w:numId="41" w16cid:durableId="1414161115">
    <w:abstractNumId w:val="34"/>
  </w:num>
  <w:num w:numId="42" w16cid:durableId="1183593829">
    <w:abstractNumId w:val="1"/>
  </w:num>
  <w:num w:numId="43" w16cid:durableId="249311682">
    <w:abstractNumId w:val="45"/>
  </w:num>
  <w:num w:numId="44" w16cid:durableId="317421891">
    <w:abstractNumId w:val="38"/>
  </w:num>
  <w:num w:numId="45" w16cid:durableId="1617519822">
    <w:abstractNumId w:val="19"/>
  </w:num>
  <w:num w:numId="46" w16cid:durableId="105083952">
    <w:abstractNumId w:val="28"/>
  </w:num>
  <w:num w:numId="47" w16cid:durableId="832373081">
    <w:abstractNumId w:val="53"/>
  </w:num>
  <w:num w:numId="48" w16cid:durableId="1876381583">
    <w:abstractNumId w:val="11"/>
  </w:num>
  <w:num w:numId="49" w16cid:durableId="1795057073">
    <w:abstractNumId w:val="17"/>
  </w:num>
  <w:num w:numId="50" w16cid:durableId="104932608">
    <w:abstractNumId w:val="18"/>
  </w:num>
  <w:num w:numId="51" w16cid:durableId="490606723">
    <w:abstractNumId w:val="3"/>
  </w:num>
  <w:num w:numId="52" w16cid:durableId="360475071">
    <w:abstractNumId w:val="46"/>
  </w:num>
  <w:num w:numId="53" w16cid:durableId="1013471">
    <w:abstractNumId w:val="15"/>
  </w:num>
  <w:num w:numId="54" w16cid:durableId="367534234">
    <w:abstractNumId w:val="0"/>
  </w:num>
  <w:num w:numId="55" w16cid:durableId="1978028922">
    <w:abstractNumId w:val="2"/>
  </w:num>
  <w:num w:numId="56" w16cid:durableId="1092168932">
    <w:abstractNumId w:val="41"/>
  </w:num>
  <w:num w:numId="57" w16cid:durableId="142691806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D4"/>
    <w:rsid w:val="000000C9"/>
    <w:rsid w:val="000004FF"/>
    <w:rsid w:val="00000B2D"/>
    <w:rsid w:val="00001216"/>
    <w:rsid w:val="00001A9D"/>
    <w:rsid w:val="00001BDD"/>
    <w:rsid w:val="00002236"/>
    <w:rsid w:val="0000231C"/>
    <w:rsid w:val="000027BA"/>
    <w:rsid w:val="00002B1C"/>
    <w:rsid w:val="00002E99"/>
    <w:rsid w:val="0000381C"/>
    <w:rsid w:val="00003F34"/>
    <w:rsid w:val="0000485A"/>
    <w:rsid w:val="00004B40"/>
    <w:rsid w:val="00004CE3"/>
    <w:rsid w:val="00004EF8"/>
    <w:rsid w:val="00005577"/>
    <w:rsid w:val="000057EF"/>
    <w:rsid w:val="0000591A"/>
    <w:rsid w:val="00005EC3"/>
    <w:rsid w:val="00005FBF"/>
    <w:rsid w:val="000067DA"/>
    <w:rsid w:val="00007420"/>
    <w:rsid w:val="00007A80"/>
    <w:rsid w:val="00007AA2"/>
    <w:rsid w:val="00007BE1"/>
    <w:rsid w:val="0001122E"/>
    <w:rsid w:val="0001151D"/>
    <w:rsid w:val="0001160C"/>
    <w:rsid w:val="0001186C"/>
    <w:rsid w:val="00011C17"/>
    <w:rsid w:val="00011DCB"/>
    <w:rsid w:val="00012C78"/>
    <w:rsid w:val="0001320D"/>
    <w:rsid w:val="000133AF"/>
    <w:rsid w:val="00014A7D"/>
    <w:rsid w:val="0001628F"/>
    <w:rsid w:val="00017569"/>
    <w:rsid w:val="00017653"/>
    <w:rsid w:val="00017B58"/>
    <w:rsid w:val="00017E96"/>
    <w:rsid w:val="00020034"/>
    <w:rsid w:val="00020D1F"/>
    <w:rsid w:val="000211C1"/>
    <w:rsid w:val="00021B5B"/>
    <w:rsid w:val="00021EDA"/>
    <w:rsid w:val="00021EE5"/>
    <w:rsid w:val="000223B5"/>
    <w:rsid w:val="00022B14"/>
    <w:rsid w:val="00022C5A"/>
    <w:rsid w:val="000239F0"/>
    <w:rsid w:val="0002410F"/>
    <w:rsid w:val="0002536A"/>
    <w:rsid w:val="00025400"/>
    <w:rsid w:val="00026175"/>
    <w:rsid w:val="0002627C"/>
    <w:rsid w:val="000267C8"/>
    <w:rsid w:val="00026D92"/>
    <w:rsid w:val="000274B3"/>
    <w:rsid w:val="0002761B"/>
    <w:rsid w:val="00027685"/>
    <w:rsid w:val="0003139E"/>
    <w:rsid w:val="00032A7B"/>
    <w:rsid w:val="00033148"/>
    <w:rsid w:val="00033581"/>
    <w:rsid w:val="00033A40"/>
    <w:rsid w:val="000340F5"/>
    <w:rsid w:val="00035FCD"/>
    <w:rsid w:val="00036568"/>
    <w:rsid w:val="00037230"/>
    <w:rsid w:val="00037C62"/>
    <w:rsid w:val="0004025D"/>
    <w:rsid w:val="00040D71"/>
    <w:rsid w:val="000414D9"/>
    <w:rsid w:val="00041C28"/>
    <w:rsid w:val="00041CAB"/>
    <w:rsid w:val="000426F9"/>
    <w:rsid w:val="00042811"/>
    <w:rsid w:val="00043C8A"/>
    <w:rsid w:val="00044679"/>
    <w:rsid w:val="000448AA"/>
    <w:rsid w:val="00044B3B"/>
    <w:rsid w:val="00044C31"/>
    <w:rsid w:val="00045C8B"/>
    <w:rsid w:val="00045EC0"/>
    <w:rsid w:val="000471C7"/>
    <w:rsid w:val="000476A0"/>
    <w:rsid w:val="00047D38"/>
    <w:rsid w:val="000508EF"/>
    <w:rsid w:val="00050C36"/>
    <w:rsid w:val="00051908"/>
    <w:rsid w:val="0005297B"/>
    <w:rsid w:val="00052BFF"/>
    <w:rsid w:val="000534A0"/>
    <w:rsid w:val="000539A1"/>
    <w:rsid w:val="0005423D"/>
    <w:rsid w:val="00055995"/>
    <w:rsid w:val="000569AB"/>
    <w:rsid w:val="00056B52"/>
    <w:rsid w:val="00056BE8"/>
    <w:rsid w:val="00057687"/>
    <w:rsid w:val="00061C94"/>
    <w:rsid w:val="00062C28"/>
    <w:rsid w:val="00062E36"/>
    <w:rsid w:val="000636BA"/>
    <w:rsid w:val="000650E9"/>
    <w:rsid w:val="0006613C"/>
    <w:rsid w:val="00066B58"/>
    <w:rsid w:val="00067595"/>
    <w:rsid w:val="0006777B"/>
    <w:rsid w:val="00067A92"/>
    <w:rsid w:val="00067AEE"/>
    <w:rsid w:val="00067F77"/>
    <w:rsid w:val="0007002D"/>
    <w:rsid w:val="000709AF"/>
    <w:rsid w:val="0007240E"/>
    <w:rsid w:val="00072978"/>
    <w:rsid w:val="000746DA"/>
    <w:rsid w:val="000746FD"/>
    <w:rsid w:val="00074B30"/>
    <w:rsid w:val="00075AA6"/>
    <w:rsid w:val="00076044"/>
    <w:rsid w:val="000769E5"/>
    <w:rsid w:val="00076F01"/>
    <w:rsid w:val="00077400"/>
    <w:rsid w:val="0007771F"/>
    <w:rsid w:val="00080B4F"/>
    <w:rsid w:val="000810EC"/>
    <w:rsid w:val="000818A7"/>
    <w:rsid w:val="00082437"/>
    <w:rsid w:val="00082AF9"/>
    <w:rsid w:val="00082BE0"/>
    <w:rsid w:val="00082E7B"/>
    <w:rsid w:val="00083BAA"/>
    <w:rsid w:val="00083EE7"/>
    <w:rsid w:val="00083F12"/>
    <w:rsid w:val="000841D5"/>
    <w:rsid w:val="000844A4"/>
    <w:rsid w:val="00084CEE"/>
    <w:rsid w:val="00085046"/>
    <w:rsid w:val="000852EE"/>
    <w:rsid w:val="00085F0B"/>
    <w:rsid w:val="0008620D"/>
    <w:rsid w:val="00086420"/>
    <w:rsid w:val="00086FD4"/>
    <w:rsid w:val="00087437"/>
    <w:rsid w:val="00087500"/>
    <w:rsid w:val="00087665"/>
    <w:rsid w:val="000876B6"/>
    <w:rsid w:val="00090C36"/>
    <w:rsid w:val="0009155A"/>
    <w:rsid w:val="00091B3F"/>
    <w:rsid w:val="00092541"/>
    <w:rsid w:val="000931B7"/>
    <w:rsid w:val="000931E0"/>
    <w:rsid w:val="00093717"/>
    <w:rsid w:val="000937B0"/>
    <w:rsid w:val="0009436F"/>
    <w:rsid w:val="000945B9"/>
    <w:rsid w:val="00094739"/>
    <w:rsid w:val="00095B2F"/>
    <w:rsid w:val="00097297"/>
    <w:rsid w:val="00097B06"/>
    <w:rsid w:val="000A00A5"/>
    <w:rsid w:val="000A02E3"/>
    <w:rsid w:val="000A0A8B"/>
    <w:rsid w:val="000A0E1D"/>
    <w:rsid w:val="000A12B0"/>
    <w:rsid w:val="000A1AF8"/>
    <w:rsid w:val="000A1BB3"/>
    <w:rsid w:val="000A1C1C"/>
    <w:rsid w:val="000A1F7C"/>
    <w:rsid w:val="000A2A12"/>
    <w:rsid w:val="000A2AA5"/>
    <w:rsid w:val="000A3866"/>
    <w:rsid w:val="000A4920"/>
    <w:rsid w:val="000A502A"/>
    <w:rsid w:val="000A5B60"/>
    <w:rsid w:val="000A5F69"/>
    <w:rsid w:val="000A6077"/>
    <w:rsid w:val="000A64AE"/>
    <w:rsid w:val="000A6ACB"/>
    <w:rsid w:val="000A6BCB"/>
    <w:rsid w:val="000A716C"/>
    <w:rsid w:val="000A71EE"/>
    <w:rsid w:val="000B0CCA"/>
    <w:rsid w:val="000B1388"/>
    <w:rsid w:val="000B1AA5"/>
    <w:rsid w:val="000B2694"/>
    <w:rsid w:val="000B2DC5"/>
    <w:rsid w:val="000B2FAC"/>
    <w:rsid w:val="000B37ED"/>
    <w:rsid w:val="000B3DA4"/>
    <w:rsid w:val="000B4DFE"/>
    <w:rsid w:val="000B559B"/>
    <w:rsid w:val="000B60DC"/>
    <w:rsid w:val="000B673A"/>
    <w:rsid w:val="000B67A4"/>
    <w:rsid w:val="000B73DE"/>
    <w:rsid w:val="000B7601"/>
    <w:rsid w:val="000B78AA"/>
    <w:rsid w:val="000C0159"/>
    <w:rsid w:val="000C024B"/>
    <w:rsid w:val="000C1673"/>
    <w:rsid w:val="000C1E28"/>
    <w:rsid w:val="000C2519"/>
    <w:rsid w:val="000C266D"/>
    <w:rsid w:val="000C2772"/>
    <w:rsid w:val="000C2EF1"/>
    <w:rsid w:val="000C3376"/>
    <w:rsid w:val="000C36BA"/>
    <w:rsid w:val="000C37FC"/>
    <w:rsid w:val="000C39E5"/>
    <w:rsid w:val="000C3D5A"/>
    <w:rsid w:val="000C41A7"/>
    <w:rsid w:val="000C48FB"/>
    <w:rsid w:val="000C492A"/>
    <w:rsid w:val="000C5447"/>
    <w:rsid w:val="000C5516"/>
    <w:rsid w:val="000C5A3C"/>
    <w:rsid w:val="000C5C98"/>
    <w:rsid w:val="000C605D"/>
    <w:rsid w:val="000C6426"/>
    <w:rsid w:val="000C7393"/>
    <w:rsid w:val="000D04B4"/>
    <w:rsid w:val="000D053E"/>
    <w:rsid w:val="000D0DCE"/>
    <w:rsid w:val="000D13DF"/>
    <w:rsid w:val="000D17E9"/>
    <w:rsid w:val="000D22D1"/>
    <w:rsid w:val="000D2481"/>
    <w:rsid w:val="000D2650"/>
    <w:rsid w:val="000D2D58"/>
    <w:rsid w:val="000D3B3D"/>
    <w:rsid w:val="000D3D01"/>
    <w:rsid w:val="000D4132"/>
    <w:rsid w:val="000D476C"/>
    <w:rsid w:val="000D5465"/>
    <w:rsid w:val="000D5ADD"/>
    <w:rsid w:val="000D5C35"/>
    <w:rsid w:val="000D60EF"/>
    <w:rsid w:val="000D627A"/>
    <w:rsid w:val="000D6B29"/>
    <w:rsid w:val="000D6B76"/>
    <w:rsid w:val="000D7095"/>
    <w:rsid w:val="000D7AD6"/>
    <w:rsid w:val="000D7E2F"/>
    <w:rsid w:val="000E031C"/>
    <w:rsid w:val="000E066D"/>
    <w:rsid w:val="000E2B11"/>
    <w:rsid w:val="000E2C43"/>
    <w:rsid w:val="000E3176"/>
    <w:rsid w:val="000E320B"/>
    <w:rsid w:val="000E35B1"/>
    <w:rsid w:val="000E37D1"/>
    <w:rsid w:val="000E3FB6"/>
    <w:rsid w:val="000E40A1"/>
    <w:rsid w:val="000E5166"/>
    <w:rsid w:val="000E570C"/>
    <w:rsid w:val="000E5BDC"/>
    <w:rsid w:val="000E6BD1"/>
    <w:rsid w:val="000E72E8"/>
    <w:rsid w:val="000E787C"/>
    <w:rsid w:val="000E7BCE"/>
    <w:rsid w:val="000E7FB4"/>
    <w:rsid w:val="000F0227"/>
    <w:rsid w:val="000F03CC"/>
    <w:rsid w:val="000F1096"/>
    <w:rsid w:val="000F111D"/>
    <w:rsid w:val="000F15D0"/>
    <w:rsid w:val="000F187D"/>
    <w:rsid w:val="000F1F29"/>
    <w:rsid w:val="000F2231"/>
    <w:rsid w:val="000F25A4"/>
    <w:rsid w:val="000F4CCC"/>
    <w:rsid w:val="000F5399"/>
    <w:rsid w:val="000F561F"/>
    <w:rsid w:val="000F6E3B"/>
    <w:rsid w:val="000F715A"/>
    <w:rsid w:val="00100229"/>
    <w:rsid w:val="0010114D"/>
    <w:rsid w:val="0010179E"/>
    <w:rsid w:val="00101BC0"/>
    <w:rsid w:val="00102D48"/>
    <w:rsid w:val="00102DC7"/>
    <w:rsid w:val="00103429"/>
    <w:rsid w:val="00103CFD"/>
    <w:rsid w:val="00104696"/>
    <w:rsid w:val="00104B75"/>
    <w:rsid w:val="00104F04"/>
    <w:rsid w:val="00105621"/>
    <w:rsid w:val="00105A16"/>
    <w:rsid w:val="001067BA"/>
    <w:rsid w:val="00106B90"/>
    <w:rsid w:val="00106BA2"/>
    <w:rsid w:val="00106F24"/>
    <w:rsid w:val="001070F5"/>
    <w:rsid w:val="0010789A"/>
    <w:rsid w:val="00107B0D"/>
    <w:rsid w:val="00107DDE"/>
    <w:rsid w:val="00110B3C"/>
    <w:rsid w:val="00111A1C"/>
    <w:rsid w:val="0011251B"/>
    <w:rsid w:val="00112534"/>
    <w:rsid w:val="0011282C"/>
    <w:rsid w:val="00112B52"/>
    <w:rsid w:val="00112BF6"/>
    <w:rsid w:val="00112FD5"/>
    <w:rsid w:val="001133D3"/>
    <w:rsid w:val="00113A74"/>
    <w:rsid w:val="00113BF5"/>
    <w:rsid w:val="001154B2"/>
    <w:rsid w:val="00115696"/>
    <w:rsid w:val="0011619F"/>
    <w:rsid w:val="0011641C"/>
    <w:rsid w:val="001168A8"/>
    <w:rsid w:val="001173A1"/>
    <w:rsid w:val="00117521"/>
    <w:rsid w:val="00120776"/>
    <w:rsid w:val="0012077C"/>
    <w:rsid w:val="0012093C"/>
    <w:rsid w:val="00121631"/>
    <w:rsid w:val="0012237C"/>
    <w:rsid w:val="00122668"/>
    <w:rsid w:val="00122BA3"/>
    <w:rsid w:val="00123022"/>
    <w:rsid w:val="001249F6"/>
    <w:rsid w:val="0012593E"/>
    <w:rsid w:val="00126E8C"/>
    <w:rsid w:val="00126FFB"/>
    <w:rsid w:val="0013047D"/>
    <w:rsid w:val="001329CB"/>
    <w:rsid w:val="00132A3B"/>
    <w:rsid w:val="001331E0"/>
    <w:rsid w:val="00133437"/>
    <w:rsid w:val="00133F71"/>
    <w:rsid w:val="0013403F"/>
    <w:rsid w:val="00134615"/>
    <w:rsid w:val="001352DB"/>
    <w:rsid w:val="0013554A"/>
    <w:rsid w:val="001355C0"/>
    <w:rsid w:val="00135FFC"/>
    <w:rsid w:val="0013738A"/>
    <w:rsid w:val="001402A7"/>
    <w:rsid w:val="00140536"/>
    <w:rsid w:val="00140643"/>
    <w:rsid w:val="00141DD2"/>
    <w:rsid w:val="00141E16"/>
    <w:rsid w:val="00142C46"/>
    <w:rsid w:val="00143043"/>
    <w:rsid w:val="001433EB"/>
    <w:rsid w:val="001437CE"/>
    <w:rsid w:val="001444D1"/>
    <w:rsid w:val="00145654"/>
    <w:rsid w:val="00145AE6"/>
    <w:rsid w:val="00147147"/>
    <w:rsid w:val="00147722"/>
    <w:rsid w:val="001479E1"/>
    <w:rsid w:val="001503D5"/>
    <w:rsid w:val="00151F5A"/>
    <w:rsid w:val="001526D9"/>
    <w:rsid w:val="00152C06"/>
    <w:rsid w:val="001535FF"/>
    <w:rsid w:val="00153A24"/>
    <w:rsid w:val="00154DBC"/>
    <w:rsid w:val="00154EFD"/>
    <w:rsid w:val="00155813"/>
    <w:rsid w:val="00155A96"/>
    <w:rsid w:val="0016012F"/>
    <w:rsid w:val="00160D62"/>
    <w:rsid w:val="00163CBA"/>
    <w:rsid w:val="0016412A"/>
    <w:rsid w:val="0016439B"/>
    <w:rsid w:val="00164BF1"/>
    <w:rsid w:val="00164CEA"/>
    <w:rsid w:val="00164DB0"/>
    <w:rsid w:val="001655ED"/>
    <w:rsid w:val="00165626"/>
    <w:rsid w:val="00165776"/>
    <w:rsid w:val="001657FF"/>
    <w:rsid w:val="0016621C"/>
    <w:rsid w:val="0016670B"/>
    <w:rsid w:val="00166992"/>
    <w:rsid w:val="00167E41"/>
    <w:rsid w:val="00167EBD"/>
    <w:rsid w:val="0017060C"/>
    <w:rsid w:val="0017104B"/>
    <w:rsid w:val="00172361"/>
    <w:rsid w:val="00172488"/>
    <w:rsid w:val="0017281A"/>
    <w:rsid w:val="00172A2E"/>
    <w:rsid w:val="00172EAF"/>
    <w:rsid w:val="00175619"/>
    <w:rsid w:val="0017564A"/>
    <w:rsid w:val="00175FEF"/>
    <w:rsid w:val="00177987"/>
    <w:rsid w:val="00177D25"/>
    <w:rsid w:val="00180377"/>
    <w:rsid w:val="001806FF"/>
    <w:rsid w:val="00180C6C"/>
    <w:rsid w:val="00181A71"/>
    <w:rsid w:val="001827C6"/>
    <w:rsid w:val="00182BEC"/>
    <w:rsid w:val="00182F17"/>
    <w:rsid w:val="00183BE7"/>
    <w:rsid w:val="00183F48"/>
    <w:rsid w:val="00184090"/>
    <w:rsid w:val="00184709"/>
    <w:rsid w:val="00184757"/>
    <w:rsid w:val="00186051"/>
    <w:rsid w:val="00186702"/>
    <w:rsid w:val="0018680E"/>
    <w:rsid w:val="00190503"/>
    <w:rsid w:val="001905AB"/>
    <w:rsid w:val="00191060"/>
    <w:rsid w:val="00192B6D"/>
    <w:rsid w:val="0019352E"/>
    <w:rsid w:val="00193993"/>
    <w:rsid w:val="00193CAB"/>
    <w:rsid w:val="0019484F"/>
    <w:rsid w:val="00194FE8"/>
    <w:rsid w:val="00194FF3"/>
    <w:rsid w:val="0019691B"/>
    <w:rsid w:val="001969BE"/>
    <w:rsid w:val="001972D7"/>
    <w:rsid w:val="00197557"/>
    <w:rsid w:val="001A0BAB"/>
    <w:rsid w:val="001A1AEF"/>
    <w:rsid w:val="001A1B22"/>
    <w:rsid w:val="001A2857"/>
    <w:rsid w:val="001A2BE9"/>
    <w:rsid w:val="001A3D1E"/>
    <w:rsid w:val="001A3FA9"/>
    <w:rsid w:val="001A48AB"/>
    <w:rsid w:val="001A4D03"/>
    <w:rsid w:val="001A625A"/>
    <w:rsid w:val="001A6623"/>
    <w:rsid w:val="001A7048"/>
    <w:rsid w:val="001B0492"/>
    <w:rsid w:val="001B2091"/>
    <w:rsid w:val="001B27BF"/>
    <w:rsid w:val="001B2A26"/>
    <w:rsid w:val="001B375D"/>
    <w:rsid w:val="001B380D"/>
    <w:rsid w:val="001B3CD8"/>
    <w:rsid w:val="001B44A6"/>
    <w:rsid w:val="001B4B4D"/>
    <w:rsid w:val="001B61B1"/>
    <w:rsid w:val="001B68EE"/>
    <w:rsid w:val="001B6B3A"/>
    <w:rsid w:val="001B7961"/>
    <w:rsid w:val="001C0AE9"/>
    <w:rsid w:val="001C1086"/>
    <w:rsid w:val="001C11F0"/>
    <w:rsid w:val="001C16B4"/>
    <w:rsid w:val="001C235F"/>
    <w:rsid w:val="001C3812"/>
    <w:rsid w:val="001C38A7"/>
    <w:rsid w:val="001C3F6D"/>
    <w:rsid w:val="001C459A"/>
    <w:rsid w:val="001C51F6"/>
    <w:rsid w:val="001C5261"/>
    <w:rsid w:val="001C5ACC"/>
    <w:rsid w:val="001C7CA0"/>
    <w:rsid w:val="001D0367"/>
    <w:rsid w:val="001D0CB7"/>
    <w:rsid w:val="001D4509"/>
    <w:rsid w:val="001D4817"/>
    <w:rsid w:val="001D57B1"/>
    <w:rsid w:val="001D5C26"/>
    <w:rsid w:val="001D623F"/>
    <w:rsid w:val="001D6410"/>
    <w:rsid w:val="001D6681"/>
    <w:rsid w:val="001D6825"/>
    <w:rsid w:val="001D6BB5"/>
    <w:rsid w:val="001D6C2A"/>
    <w:rsid w:val="001D6DE6"/>
    <w:rsid w:val="001D6F1D"/>
    <w:rsid w:val="001D722C"/>
    <w:rsid w:val="001D7338"/>
    <w:rsid w:val="001E040F"/>
    <w:rsid w:val="001E08A1"/>
    <w:rsid w:val="001E1828"/>
    <w:rsid w:val="001E19E3"/>
    <w:rsid w:val="001E255F"/>
    <w:rsid w:val="001E259B"/>
    <w:rsid w:val="001E28F7"/>
    <w:rsid w:val="001E2946"/>
    <w:rsid w:val="001E29D5"/>
    <w:rsid w:val="001E2AA7"/>
    <w:rsid w:val="001E3980"/>
    <w:rsid w:val="001E4028"/>
    <w:rsid w:val="001E44D7"/>
    <w:rsid w:val="001E456B"/>
    <w:rsid w:val="001E468C"/>
    <w:rsid w:val="001E4818"/>
    <w:rsid w:val="001E4A44"/>
    <w:rsid w:val="001E597F"/>
    <w:rsid w:val="001E5E4E"/>
    <w:rsid w:val="001E6173"/>
    <w:rsid w:val="001E69F2"/>
    <w:rsid w:val="001E7C56"/>
    <w:rsid w:val="001F02C9"/>
    <w:rsid w:val="001F061C"/>
    <w:rsid w:val="001F0916"/>
    <w:rsid w:val="001F1093"/>
    <w:rsid w:val="001F25F3"/>
    <w:rsid w:val="001F2605"/>
    <w:rsid w:val="001F2AEA"/>
    <w:rsid w:val="001F2B79"/>
    <w:rsid w:val="001F3343"/>
    <w:rsid w:val="001F37D9"/>
    <w:rsid w:val="001F3A63"/>
    <w:rsid w:val="001F3E9C"/>
    <w:rsid w:val="001F4591"/>
    <w:rsid w:val="001F4C6B"/>
    <w:rsid w:val="001F4CFF"/>
    <w:rsid w:val="001F5E20"/>
    <w:rsid w:val="001F6B21"/>
    <w:rsid w:val="001F6F13"/>
    <w:rsid w:val="0020067A"/>
    <w:rsid w:val="002009C4"/>
    <w:rsid w:val="00200CC2"/>
    <w:rsid w:val="002010A7"/>
    <w:rsid w:val="002014A4"/>
    <w:rsid w:val="00201515"/>
    <w:rsid w:val="002023F7"/>
    <w:rsid w:val="0020244D"/>
    <w:rsid w:val="00203B8E"/>
    <w:rsid w:val="00204CCD"/>
    <w:rsid w:val="00205938"/>
    <w:rsid w:val="002067D9"/>
    <w:rsid w:val="0020680A"/>
    <w:rsid w:val="0020750A"/>
    <w:rsid w:val="00207612"/>
    <w:rsid w:val="00207791"/>
    <w:rsid w:val="002100D8"/>
    <w:rsid w:val="00210150"/>
    <w:rsid w:val="00210255"/>
    <w:rsid w:val="0021079E"/>
    <w:rsid w:val="00210A0A"/>
    <w:rsid w:val="00210B26"/>
    <w:rsid w:val="002129DA"/>
    <w:rsid w:val="0021303F"/>
    <w:rsid w:val="00214A8E"/>
    <w:rsid w:val="002156BB"/>
    <w:rsid w:val="00215911"/>
    <w:rsid w:val="00215E0D"/>
    <w:rsid w:val="00215E1B"/>
    <w:rsid w:val="00215F71"/>
    <w:rsid w:val="0021637D"/>
    <w:rsid w:val="00216739"/>
    <w:rsid w:val="00216AED"/>
    <w:rsid w:val="00216BAB"/>
    <w:rsid w:val="00216F82"/>
    <w:rsid w:val="0021717F"/>
    <w:rsid w:val="00217CDB"/>
    <w:rsid w:val="00220FA9"/>
    <w:rsid w:val="00222A8E"/>
    <w:rsid w:val="00222ADD"/>
    <w:rsid w:val="0022308D"/>
    <w:rsid w:val="002245B7"/>
    <w:rsid w:val="0022470A"/>
    <w:rsid w:val="00224757"/>
    <w:rsid w:val="00224865"/>
    <w:rsid w:val="002251D3"/>
    <w:rsid w:val="00225759"/>
    <w:rsid w:val="00225813"/>
    <w:rsid w:val="00226283"/>
    <w:rsid w:val="0022652F"/>
    <w:rsid w:val="00227027"/>
    <w:rsid w:val="002276E1"/>
    <w:rsid w:val="00227A6C"/>
    <w:rsid w:val="00227DEE"/>
    <w:rsid w:val="002306DD"/>
    <w:rsid w:val="00230EAB"/>
    <w:rsid w:val="00231210"/>
    <w:rsid w:val="00233EB8"/>
    <w:rsid w:val="00234E34"/>
    <w:rsid w:val="00235863"/>
    <w:rsid w:val="002372D8"/>
    <w:rsid w:val="00237A5C"/>
    <w:rsid w:val="00237B8F"/>
    <w:rsid w:val="00237E5E"/>
    <w:rsid w:val="00240EAE"/>
    <w:rsid w:val="00241FCE"/>
    <w:rsid w:val="0024239E"/>
    <w:rsid w:val="002423EC"/>
    <w:rsid w:val="00243E29"/>
    <w:rsid w:val="00244336"/>
    <w:rsid w:val="002451CC"/>
    <w:rsid w:val="0024521F"/>
    <w:rsid w:val="002456C8"/>
    <w:rsid w:val="00245701"/>
    <w:rsid w:val="00245AA1"/>
    <w:rsid w:val="00245F4F"/>
    <w:rsid w:val="0024662F"/>
    <w:rsid w:val="00246BF7"/>
    <w:rsid w:val="00246C8B"/>
    <w:rsid w:val="00247E4A"/>
    <w:rsid w:val="00250094"/>
    <w:rsid w:val="0025058D"/>
    <w:rsid w:val="002509C2"/>
    <w:rsid w:val="0025125A"/>
    <w:rsid w:val="002518A1"/>
    <w:rsid w:val="00252F87"/>
    <w:rsid w:val="00253004"/>
    <w:rsid w:val="00253714"/>
    <w:rsid w:val="00254D4B"/>
    <w:rsid w:val="002574E5"/>
    <w:rsid w:val="00257A25"/>
    <w:rsid w:val="002605E3"/>
    <w:rsid w:val="00262358"/>
    <w:rsid w:val="00262437"/>
    <w:rsid w:val="00262616"/>
    <w:rsid w:val="0026318B"/>
    <w:rsid w:val="00264332"/>
    <w:rsid w:val="002645F9"/>
    <w:rsid w:val="00264860"/>
    <w:rsid w:val="002649C2"/>
    <w:rsid w:val="00264EC6"/>
    <w:rsid w:val="00264EEC"/>
    <w:rsid w:val="00266BF7"/>
    <w:rsid w:val="0027110B"/>
    <w:rsid w:val="00272551"/>
    <w:rsid w:val="00273207"/>
    <w:rsid w:val="0027344D"/>
    <w:rsid w:val="00273BE7"/>
    <w:rsid w:val="002745A2"/>
    <w:rsid w:val="00274B76"/>
    <w:rsid w:val="002756AC"/>
    <w:rsid w:val="0027743D"/>
    <w:rsid w:val="0027749F"/>
    <w:rsid w:val="00277B2D"/>
    <w:rsid w:val="0028034E"/>
    <w:rsid w:val="00280A99"/>
    <w:rsid w:val="00280C34"/>
    <w:rsid w:val="0028109B"/>
    <w:rsid w:val="00282280"/>
    <w:rsid w:val="002827FD"/>
    <w:rsid w:val="00282D50"/>
    <w:rsid w:val="00284197"/>
    <w:rsid w:val="00284F9A"/>
    <w:rsid w:val="00286422"/>
    <w:rsid w:val="00286559"/>
    <w:rsid w:val="00286FF2"/>
    <w:rsid w:val="0028701C"/>
    <w:rsid w:val="00287A3C"/>
    <w:rsid w:val="00287EDF"/>
    <w:rsid w:val="00290C7C"/>
    <w:rsid w:val="00291CBF"/>
    <w:rsid w:val="00291CE5"/>
    <w:rsid w:val="00291DDC"/>
    <w:rsid w:val="00292B2A"/>
    <w:rsid w:val="0029358F"/>
    <w:rsid w:val="00293E74"/>
    <w:rsid w:val="00294361"/>
    <w:rsid w:val="00294517"/>
    <w:rsid w:val="00294C96"/>
    <w:rsid w:val="00294DA7"/>
    <w:rsid w:val="00295B52"/>
    <w:rsid w:val="0029616C"/>
    <w:rsid w:val="00296C0C"/>
    <w:rsid w:val="00296D99"/>
    <w:rsid w:val="00296D9A"/>
    <w:rsid w:val="00296E48"/>
    <w:rsid w:val="0029799C"/>
    <w:rsid w:val="00297DE6"/>
    <w:rsid w:val="00297F4D"/>
    <w:rsid w:val="002A114B"/>
    <w:rsid w:val="002A11A5"/>
    <w:rsid w:val="002A1206"/>
    <w:rsid w:val="002A13EC"/>
    <w:rsid w:val="002A1873"/>
    <w:rsid w:val="002A23C1"/>
    <w:rsid w:val="002A3EC6"/>
    <w:rsid w:val="002A40BA"/>
    <w:rsid w:val="002A468A"/>
    <w:rsid w:val="002A49CE"/>
    <w:rsid w:val="002A4E7C"/>
    <w:rsid w:val="002A59F0"/>
    <w:rsid w:val="002A61C0"/>
    <w:rsid w:val="002A6209"/>
    <w:rsid w:val="002A7286"/>
    <w:rsid w:val="002A7392"/>
    <w:rsid w:val="002A7779"/>
    <w:rsid w:val="002A79DB"/>
    <w:rsid w:val="002A7A7A"/>
    <w:rsid w:val="002B057E"/>
    <w:rsid w:val="002B0D2E"/>
    <w:rsid w:val="002B1629"/>
    <w:rsid w:val="002B16E0"/>
    <w:rsid w:val="002B1A76"/>
    <w:rsid w:val="002B3022"/>
    <w:rsid w:val="002B506D"/>
    <w:rsid w:val="002B5747"/>
    <w:rsid w:val="002B5A63"/>
    <w:rsid w:val="002B5D91"/>
    <w:rsid w:val="002B5E99"/>
    <w:rsid w:val="002B6267"/>
    <w:rsid w:val="002B64FE"/>
    <w:rsid w:val="002B6759"/>
    <w:rsid w:val="002B72C5"/>
    <w:rsid w:val="002B772A"/>
    <w:rsid w:val="002B7A7A"/>
    <w:rsid w:val="002B7C99"/>
    <w:rsid w:val="002B7FB6"/>
    <w:rsid w:val="002C0525"/>
    <w:rsid w:val="002C0BDA"/>
    <w:rsid w:val="002C108E"/>
    <w:rsid w:val="002C1C70"/>
    <w:rsid w:val="002C2278"/>
    <w:rsid w:val="002C2362"/>
    <w:rsid w:val="002C289F"/>
    <w:rsid w:val="002C3073"/>
    <w:rsid w:val="002C3370"/>
    <w:rsid w:val="002C3977"/>
    <w:rsid w:val="002C3B8B"/>
    <w:rsid w:val="002C3EC9"/>
    <w:rsid w:val="002C4A69"/>
    <w:rsid w:val="002C4C5D"/>
    <w:rsid w:val="002C4D10"/>
    <w:rsid w:val="002C5108"/>
    <w:rsid w:val="002C59F0"/>
    <w:rsid w:val="002C61B1"/>
    <w:rsid w:val="002C6F17"/>
    <w:rsid w:val="002C6FD0"/>
    <w:rsid w:val="002C7768"/>
    <w:rsid w:val="002D04F0"/>
    <w:rsid w:val="002D065D"/>
    <w:rsid w:val="002D07B6"/>
    <w:rsid w:val="002D2099"/>
    <w:rsid w:val="002D2D38"/>
    <w:rsid w:val="002D3687"/>
    <w:rsid w:val="002D3C96"/>
    <w:rsid w:val="002D5166"/>
    <w:rsid w:val="002D544C"/>
    <w:rsid w:val="002D68F4"/>
    <w:rsid w:val="002D6B61"/>
    <w:rsid w:val="002D76D0"/>
    <w:rsid w:val="002E0040"/>
    <w:rsid w:val="002E0647"/>
    <w:rsid w:val="002E08FF"/>
    <w:rsid w:val="002E0E41"/>
    <w:rsid w:val="002E0FD4"/>
    <w:rsid w:val="002E1446"/>
    <w:rsid w:val="002E1D4D"/>
    <w:rsid w:val="002E2465"/>
    <w:rsid w:val="002E3A3E"/>
    <w:rsid w:val="002E4111"/>
    <w:rsid w:val="002E5024"/>
    <w:rsid w:val="002E547D"/>
    <w:rsid w:val="002E55DA"/>
    <w:rsid w:val="002E5A39"/>
    <w:rsid w:val="002E5D91"/>
    <w:rsid w:val="002E66A9"/>
    <w:rsid w:val="002E6C51"/>
    <w:rsid w:val="002E70A7"/>
    <w:rsid w:val="002E7120"/>
    <w:rsid w:val="002E717B"/>
    <w:rsid w:val="002E7843"/>
    <w:rsid w:val="002F08A3"/>
    <w:rsid w:val="002F0ACE"/>
    <w:rsid w:val="002F0D70"/>
    <w:rsid w:val="002F15F6"/>
    <w:rsid w:val="002F1FE5"/>
    <w:rsid w:val="002F38C7"/>
    <w:rsid w:val="002F3A62"/>
    <w:rsid w:val="002F3D5F"/>
    <w:rsid w:val="002F3EF6"/>
    <w:rsid w:val="002F4A46"/>
    <w:rsid w:val="002F4CAF"/>
    <w:rsid w:val="002F5AAE"/>
    <w:rsid w:val="002F5E28"/>
    <w:rsid w:val="002F5FC5"/>
    <w:rsid w:val="002F6539"/>
    <w:rsid w:val="002F6910"/>
    <w:rsid w:val="002F7154"/>
    <w:rsid w:val="002F7157"/>
    <w:rsid w:val="002F79F5"/>
    <w:rsid w:val="002F7BC2"/>
    <w:rsid w:val="00300459"/>
    <w:rsid w:val="0030072B"/>
    <w:rsid w:val="00300742"/>
    <w:rsid w:val="00300D4F"/>
    <w:rsid w:val="00302520"/>
    <w:rsid w:val="003031AE"/>
    <w:rsid w:val="0030468E"/>
    <w:rsid w:val="003046B2"/>
    <w:rsid w:val="00306CB4"/>
    <w:rsid w:val="00307C10"/>
    <w:rsid w:val="00310242"/>
    <w:rsid w:val="003107DA"/>
    <w:rsid w:val="00310C2F"/>
    <w:rsid w:val="0031118D"/>
    <w:rsid w:val="00311D48"/>
    <w:rsid w:val="00311FC7"/>
    <w:rsid w:val="003128C0"/>
    <w:rsid w:val="003136AD"/>
    <w:rsid w:val="003138B6"/>
    <w:rsid w:val="00313DAA"/>
    <w:rsid w:val="00314075"/>
    <w:rsid w:val="00314B56"/>
    <w:rsid w:val="0031560A"/>
    <w:rsid w:val="003156D0"/>
    <w:rsid w:val="00315A09"/>
    <w:rsid w:val="0031621A"/>
    <w:rsid w:val="00316758"/>
    <w:rsid w:val="0031756F"/>
    <w:rsid w:val="00317959"/>
    <w:rsid w:val="003214CB"/>
    <w:rsid w:val="00321D17"/>
    <w:rsid w:val="003222AB"/>
    <w:rsid w:val="0032288F"/>
    <w:rsid w:val="00322C51"/>
    <w:rsid w:val="00323B82"/>
    <w:rsid w:val="00323FB0"/>
    <w:rsid w:val="003242C5"/>
    <w:rsid w:val="00324515"/>
    <w:rsid w:val="0032465F"/>
    <w:rsid w:val="00324681"/>
    <w:rsid w:val="00324B5A"/>
    <w:rsid w:val="003256BA"/>
    <w:rsid w:val="00325C8C"/>
    <w:rsid w:val="00325F23"/>
    <w:rsid w:val="00326BE0"/>
    <w:rsid w:val="00326F1A"/>
    <w:rsid w:val="003275FF"/>
    <w:rsid w:val="003278C4"/>
    <w:rsid w:val="003304DB"/>
    <w:rsid w:val="003320FF"/>
    <w:rsid w:val="0033210A"/>
    <w:rsid w:val="003335AC"/>
    <w:rsid w:val="00334007"/>
    <w:rsid w:val="003342EB"/>
    <w:rsid w:val="00334C08"/>
    <w:rsid w:val="00334D54"/>
    <w:rsid w:val="003351BA"/>
    <w:rsid w:val="00335393"/>
    <w:rsid w:val="0033580A"/>
    <w:rsid w:val="00336373"/>
    <w:rsid w:val="00336930"/>
    <w:rsid w:val="00336E53"/>
    <w:rsid w:val="003373D5"/>
    <w:rsid w:val="003378BD"/>
    <w:rsid w:val="00340134"/>
    <w:rsid w:val="00340347"/>
    <w:rsid w:val="003406C6"/>
    <w:rsid w:val="00340F49"/>
    <w:rsid w:val="003417E2"/>
    <w:rsid w:val="00341B01"/>
    <w:rsid w:val="00341BA2"/>
    <w:rsid w:val="0034372F"/>
    <w:rsid w:val="00343D11"/>
    <w:rsid w:val="003446C6"/>
    <w:rsid w:val="00344AF7"/>
    <w:rsid w:val="00345C24"/>
    <w:rsid w:val="00346650"/>
    <w:rsid w:val="00347A8C"/>
    <w:rsid w:val="0035056D"/>
    <w:rsid w:val="00351575"/>
    <w:rsid w:val="00351A22"/>
    <w:rsid w:val="00351DFE"/>
    <w:rsid w:val="00352309"/>
    <w:rsid w:val="00352936"/>
    <w:rsid w:val="00352A29"/>
    <w:rsid w:val="00354642"/>
    <w:rsid w:val="00354CC4"/>
    <w:rsid w:val="00355883"/>
    <w:rsid w:val="0035594C"/>
    <w:rsid w:val="00356437"/>
    <w:rsid w:val="003567AD"/>
    <w:rsid w:val="00357BCB"/>
    <w:rsid w:val="00360B63"/>
    <w:rsid w:val="00361D47"/>
    <w:rsid w:val="00363335"/>
    <w:rsid w:val="003633E3"/>
    <w:rsid w:val="00364321"/>
    <w:rsid w:val="003646AD"/>
    <w:rsid w:val="0036474F"/>
    <w:rsid w:val="003649E9"/>
    <w:rsid w:val="00364D83"/>
    <w:rsid w:val="00365E59"/>
    <w:rsid w:val="00366258"/>
    <w:rsid w:val="00366B27"/>
    <w:rsid w:val="00367269"/>
    <w:rsid w:val="003678F0"/>
    <w:rsid w:val="00370E44"/>
    <w:rsid w:val="0037145D"/>
    <w:rsid w:val="00371D48"/>
    <w:rsid w:val="003724A7"/>
    <w:rsid w:val="0037296D"/>
    <w:rsid w:val="0037350B"/>
    <w:rsid w:val="003738B9"/>
    <w:rsid w:val="003742E5"/>
    <w:rsid w:val="0037437C"/>
    <w:rsid w:val="00374658"/>
    <w:rsid w:val="00374663"/>
    <w:rsid w:val="00374750"/>
    <w:rsid w:val="00375033"/>
    <w:rsid w:val="00375508"/>
    <w:rsid w:val="00375900"/>
    <w:rsid w:val="00376021"/>
    <w:rsid w:val="00376AB7"/>
    <w:rsid w:val="00376F72"/>
    <w:rsid w:val="00376FC4"/>
    <w:rsid w:val="003801D4"/>
    <w:rsid w:val="00380DBF"/>
    <w:rsid w:val="00380EF9"/>
    <w:rsid w:val="003815E0"/>
    <w:rsid w:val="00381800"/>
    <w:rsid w:val="00381CBE"/>
    <w:rsid w:val="00381EDC"/>
    <w:rsid w:val="0038244D"/>
    <w:rsid w:val="00382C4A"/>
    <w:rsid w:val="0038348E"/>
    <w:rsid w:val="003839C1"/>
    <w:rsid w:val="00383B75"/>
    <w:rsid w:val="00383ED9"/>
    <w:rsid w:val="00384126"/>
    <w:rsid w:val="00384967"/>
    <w:rsid w:val="00384CAD"/>
    <w:rsid w:val="00385C6E"/>
    <w:rsid w:val="00386120"/>
    <w:rsid w:val="0038633D"/>
    <w:rsid w:val="00386746"/>
    <w:rsid w:val="00386CBD"/>
    <w:rsid w:val="00387408"/>
    <w:rsid w:val="003876C7"/>
    <w:rsid w:val="003900FE"/>
    <w:rsid w:val="00390856"/>
    <w:rsid w:val="00390D1C"/>
    <w:rsid w:val="00391F5B"/>
    <w:rsid w:val="00393335"/>
    <w:rsid w:val="003934EE"/>
    <w:rsid w:val="00393B07"/>
    <w:rsid w:val="00393F7D"/>
    <w:rsid w:val="00394132"/>
    <w:rsid w:val="00394772"/>
    <w:rsid w:val="00394F63"/>
    <w:rsid w:val="00395292"/>
    <w:rsid w:val="00395434"/>
    <w:rsid w:val="003954A3"/>
    <w:rsid w:val="00395AAE"/>
    <w:rsid w:val="003969D2"/>
    <w:rsid w:val="003972D1"/>
    <w:rsid w:val="003A0C52"/>
    <w:rsid w:val="003A1B2A"/>
    <w:rsid w:val="003A1FBA"/>
    <w:rsid w:val="003A2304"/>
    <w:rsid w:val="003A27CA"/>
    <w:rsid w:val="003A3579"/>
    <w:rsid w:val="003A3EEE"/>
    <w:rsid w:val="003A4064"/>
    <w:rsid w:val="003A412E"/>
    <w:rsid w:val="003A4CC0"/>
    <w:rsid w:val="003A4E06"/>
    <w:rsid w:val="003A548F"/>
    <w:rsid w:val="003A57F2"/>
    <w:rsid w:val="003A61D9"/>
    <w:rsid w:val="003A78A3"/>
    <w:rsid w:val="003B0F51"/>
    <w:rsid w:val="003B1AEC"/>
    <w:rsid w:val="003B1C6B"/>
    <w:rsid w:val="003B1F0E"/>
    <w:rsid w:val="003B2002"/>
    <w:rsid w:val="003B2DC0"/>
    <w:rsid w:val="003B2F43"/>
    <w:rsid w:val="003B3DEA"/>
    <w:rsid w:val="003B4030"/>
    <w:rsid w:val="003B445C"/>
    <w:rsid w:val="003B5841"/>
    <w:rsid w:val="003B6242"/>
    <w:rsid w:val="003B684E"/>
    <w:rsid w:val="003B751B"/>
    <w:rsid w:val="003B794C"/>
    <w:rsid w:val="003B7957"/>
    <w:rsid w:val="003C0B8F"/>
    <w:rsid w:val="003C1A97"/>
    <w:rsid w:val="003C1DB8"/>
    <w:rsid w:val="003C1E0F"/>
    <w:rsid w:val="003C2007"/>
    <w:rsid w:val="003C2875"/>
    <w:rsid w:val="003C3677"/>
    <w:rsid w:val="003C37D0"/>
    <w:rsid w:val="003C4CF2"/>
    <w:rsid w:val="003C61B1"/>
    <w:rsid w:val="003C67A9"/>
    <w:rsid w:val="003C7416"/>
    <w:rsid w:val="003C772F"/>
    <w:rsid w:val="003C7AB5"/>
    <w:rsid w:val="003C7D62"/>
    <w:rsid w:val="003D0290"/>
    <w:rsid w:val="003D0702"/>
    <w:rsid w:val="003D374A"/>
    <w:rsid w:val="003D572B"/>
    <w:rsid w:val="003D783F"/>
    <w:rsid w:val="003E07D3"/>
    <w:rsid w:val="003E2570"/>
    <w:rsid w:val="003E2750"/>
    <w:rsid w:val="003E44A8"/>
    <w:rsid w:val="003E51C8"/>
    <w:rsid w:val="003E59BB"/>
    <w:rsid w:val="003E6C0A"/>
    <w:rsid w:val="003F00E3"/>
    <w:rsid w:val="003F1006"/>
    <w:rsid w:val="003F18F5"/>
    <w:rsid w:val="003F1F41"/>
    <w:rsid w:val="003F2152"/>
    <w:rsid w:val="003F21DE"/>
    <w:rsid w:val="003F2F3C"/>
    <w:rsid w:val="003F2FA1"/>
    <w:rsid w:val="003F31CF"/>
    <w:rsid w:val="003F33CB"/>
    <w:rsid w:val="003F3457"/>
    <w:rsid w:val="003F3678"/>
    <w:rsid w:val="003F4451"/>
    <w:rsid w:val="003F537C"/>
    <w:rsid w:val="003F5F78"/>
    <w:rsid w:val="003F61CE"/>
    <w:rsid w:val="003F6458"/>
    <w:rsid w:val="003F6A6F"/>
    <w:rsid w:val="003F770C"/>
    <w:rsid w:val="0040063C"/>
    <w:rsid w:val="00400A26"/>
    <w:rsid w:val="00400A3A"/>
    <w:rsid w:val="00401428"/>
    <w:rsid w:val="00402C66"/>
    <w:rsid w:val="00402D6A"/>
    <w:rsid w:val="0040384E"/>
    <w:rsid w:val="0040387C"/>
    <w:rsid w:val="00403A39"/>
    <w:rsid w:val="00403F41"/>
    <w:rsid w:val="004047D6"/>
    <w:rsid w:val="00406792"/>
    <w:rsid w:val="00407940"/>
    <w:rsid w:val="004103E1"/>
    <w:rsid w:val="00410806"/>
    <w:rsid w:val="00410A6D"/>
    <w:rsid w:val="00411A53"/>
    <w:rsid w:val="00411AA5"/>
    <w:rsid w:val="00412CB0"/>
    <w:rsid w:val="00412E2B"/>
    <w:rsid w:val="00412E4B"/>
    <w:rsid w:val="00412E60"/>
    <w:rsid w:val="00412F70"/>
    <w:rsid w:val="00412FCC"/>
    <w:rsid w:val="00413739"/>
    <w:rsid w:val="004137C2"/>
    <w:rsid w:val="00413C55"/>
    <w:rsid w:val="004145CD"/>
    <w:rsid w:val="00414877"/>
    <w:rsid w:val="004149C6"/>
    <w:rsid w:val="00414E23"/>
    <w:rsid w:val="00416BFA"/>
    <w:rsid w:val="00416F6B"/>
    <w:rsid w:val="00417578"/>
    <w:rsid w:val="004176FA"/>
    <w:rsid w:val="004208DA"/>
    <w:rsid w:val="00420977"/>
    <w:rsid w:val="0042174C"/>
    <w:rsid w:val="00421DF1"/>
    <w:rsid w:val="0042272C"/>
    <w:rsid w:val="00422FC2"/>
    <w:rsid w:val="00422FE7"/>
    <w:rsid w:val="00423513"/>
    <w:rsid w:val="004240CE"/>
    <w:rsid w:val="00424986"/>
    <w:rsid w:val="00425A41"/>
    <w:rsid w:val="00426299"/>
    <w:rsid w:val="00426A4A"/>
    <w:rsid w:val="004278B0"/>
    <w:rsid w:val="00427CE4"/>
    <w:rsid w:val="00427FBC"/>
    <w:rsid w:val="004306BE"/>
    <w:rsid w:val="0043080A"/>
    <w:rsid w:val="004310E8"/>
    <w:rsid w:val="00431201"/>
    <w:rsid w:val="00431420"/>
    <w:rsid w:val="00432A2E"/>
    <w:rsid w:val="00432F38"/>
    <w:rsid w:val="00433492"/>
    <w:rsid w:val="00433F28"/>
    <w:rsid w:val="00434C48"/>
    <w:rsid w:val="00434F3B"/>
    <w:rsid w:val="00435167"/>
    <w:rsid w:val="004351D4"/>
    <w:rsid w:val="00435D56"/>
    <w:rsid w:val="004361C2"/>
    <w:rsid w:val="004368B6"/>
    <w:rsid w:val="00437639"/>
    <w:rsid w:val="0043792A"/>
    <w:rsid w:val="00437CDB"/>
    <w:rsid w:val="00440403"/>
    <w:rsid w:val="004408AB"/>
    <w:rsid w:val="00440D99"/>
    <w:rsid w:val="00441017"/>
    <w:rsid w:val="00441AB2"/>
    <w:rsid w:val="00441BBF"/>
    <w:rsid w:val="00441E5F"/>
    <w:rsid w:val="0044211E"/>
    <w:rsid w:val="0044266A"/>
    <w:rsid w:val="00442D84"/>
    <w:rsid w:val="00442DA0"/>
    <w:rsid w:val="0044328F"/>
    <w:rsid w:val="00443939"/>
    <w:rsid w:val="00443EC1"/>
    <w:rsid w:val="00445285"/>
    <w:rsid w:val="00445AB6"/>
    <w:rsid w:val="00446123"/>
    <w:rsid w:val="00446351"/>
    <w:rsid w:val="0044691F"/>
    <w:rsid w:val="004470A5"/>
    <w:rsid w:val="00447717"/>
    <w:rsid w:val="00447E16"/>
    <w:rsid w:val="00447F55"/>
    <w:rsid w:val="00450322"/>
    <w:rsid w:val="00450F9C"/>
    <w:rsid w:val="00451B05"/>
    <w:rsid w:val="00451D89"/>
    <w:rsid w:val="00451EB9"/>
    <w:rsid w:val="00452381"/>
    <w:rsid w:val="004526D9"/>
    <w:rsid w:val="00452EA2"/>
    <w:rsid w:val="004533D5"/>
    <w:rsid w:val="00453FDA"/>
    <w:rsid w:val="00454CE2"/>
    <w:rsid w:val="00455F5E"/>
    <w:rsid w:val="004566EE"/>
    <w:rsid w:val="004568F9"/>
    <w:rsid w:val="00457090"/>
    <w:rsid w:val="00457240"/>
    <w:rsid w:val="004604AD"/>
    <w:rsid w:val="00460FE1"/>
    <w:rsid w:val="004613AA"/>
    <w:rsid w:val="004614B5"/>
    <w:rsid w:val="00461537"/>
    <w:rsid w:val="00461789"/>
    <w:rsid w:val="0046250B"/>
    <w:rsid w:val="00462655"/>
    <w:rsid w:val="004637C2"/>
    <w:rsid w:val="004640A3"/>
    <w:rsid w:val="00464316"/>
    <w:rsid w:val="00464A15"/>
    <w:rsid w:val="00464F78"/>
    <w:rsid w:val="00466412"/>
    <w:rsid w:val="00466ADF"/>
    <w:rsid w:val="0046786B"/>
    <w:rsid w:val="00467EBB"/>
    <w:rsid w:val="0047001A"/>
    <w:rsid w:val="004706D7"/>
    <w:rsid w:val="00470BF9"/>
    <w:rsid w:val="00471840"/>
    <w:rsid w:val="00471D23"/>
    <w:rsid w:val="00472035"/>
    <w:rsid w:val="004724F2"/>
    <w:rsid w:val="00472E7B"/>
    <w:rsid w:val="00472F30"/>
    <w:rsid w:val="004730BC"/>
    <w:rsid w:val="00473C50"/>
    <w:rsid w:val="0047444C"/>
    <w:rsid w:val="00475619"/>
    <w:rsid w:val="0047580A"/>
    <w:rsid w:val="00475D0E"/>
    <w:rsid w:val="00475F6D"/>
    <w:rsid w:val="00476113"/>
    <w:rsid w:val="004762B2"/>
    <w:rsid w:val="00476482"/>
    <w:rsid w:val="0047660D"/>
    <w:rsid w:val="00477D84"/>
    <w:rsid w:val="00480038"/>
    <w:rsid w:val="004821D4"/>
    <w:rsid w:val="0048279F"/>
    <w:rsid w:val="0048321B"/>
    <w:rsid w:val="0048455A"/>
    <w:rsid w:val="00485EF1"/>
    <w:rsid w:val="004878D6"/>
    <w:rsid w:val="00487AA4"/>
    <w:rsid w:val="00487FE1"/>
    <w:rsid w:val="00490A26"/>
    <w:rsid w:val="00491DA9"/>
    <w:rsid w:val="004941F3"/>
    <w:rsid w:val="0049540D"/>
    <w:rsid w:val="00496016"/>
    <w:rsid w:val="00496744"/>
    <w:rsid w:val="004969D8"/>
    <w:rsid w:val="0049700F"/>
    <w:rsid w:val="0049731C"/>
    <w:rsid w:val="004973FD"/>
    <w:rsid w:val="004A0361"/>
    <w:rsid w:val="004A047F"/>
    <w:rsid w:val="004A04A8"/>
    <w:rsid w:val="004A0678"/>
    <w:rsid w:val="004A0B51"/>
    <w:rsid w:val="004A0F88"/>
    <w:rsid w:val="004A1C89"/>
    <w:rsid w:val="004A22DF"/>
    <w:rsid w:val="004A2720"/>
    <w:rsid w:val="004A3DF9"/>
    <w:rsid w:val="004A4266"/>
    <w:rsid w:val="004A482E"/>
    <w:rsid w:val="004A489D"/>
    <w:rsid w:val="004A4AC8"/>
    <w:rsid w:val="004A4D29"/>
    <w:rsid w:val="004A530F"/>
    <w:rsid w:val="004A544B"/>
    <w:rsid w:val="004A555A"/>
    <w:rsid w:val="004A5847"/>
    <w:rsid w:val="004A5C95"/>
    <w:rsid w:val="004A6233"/>
    <w:rsid w:val="004A71A7"/>
    <w:rsid w:val="004A71CF"/>
    <w:rsid w:val="004A7A9C"/>
    <w:rsid w:val="004B07E2"/>
    <w:rsid w:val="004B0C0C"/>
    <w:rsid w:val="004B10A0"/>
    <w:rsid w:val="004B1D19"/>
    <w:rsid w:val="004B3A88"/>
    <w:rsid w:val="004B3FC2"/>
    <w:rsid w:val="004B48D7"/>
    <w:rsid w:val="004B4D35"/>
    <w:rsid w:val="004B4D46"/>
    <w:rsid w:val="004B579A"/>
    <w:rsid w:val="004B62CA"/>
    <w:rsid w:val="004B6B1C"/>
    <w:rsid w:val="004B7AEF"/>
    <w:rsid w:val="004B7F94"/>
    <w:rsid w:val="004C04FF"/>
    <w:rsid w:val="004C0F9D"/>
    <w:rsid w:val="004C14DB"/>
    <w:rsid w:val="004C16F2"/>
    <w:rsid w:val="004C1CA2"/>
    <w:rsid w:val="004C2EEB"/>
    <w:rsid w:val="004C315B"/>
    <w:rsid w:val="004C3524"/>
    <w:rsid w:val="004C5884"/>
    <w:rsid w:val="004C72C7"/>
    <w:rsid w:val="004C78D5"/>
    <w:rsid w:val="004C7A9A"/>
    <w:rsid w:val="004D0186"/>
    <w:rsid w:val="004D12E4"/>
    <w:rsid w:val="004D169C"/>
    <w:rsid w:val="004D212E"/>
    <w:rsid w:val="004D2988"/>
    <w:rsid w:val="004D2B98"/>
    <w:rsid w:val="004D459B"/>
    <w:rsid w:val="004D4B04"/>
    <w:rsid w:val="004D4C8A"/>
    <w:rsid w:val="004D5F9C"/>
    <w:rsid w:val="004D5FAE"/>
    <w:rsid w:val="004D5FBE"/>
    <w:rsid w:val="004D661A"/>
    <w:rsid w:val="004D7B68"/>
    <w:rsid w:val="004E0AC8"/>
    <w:rsid w:val="004E1C7A"/>
    <w:rsid w:val="004E204F"/>
    <w:rsid w:val="004E2C64"/>
    <w:rsid w:val="004E32A1"/>
    <w:rsid w:val="004E367D"/>
    <w:rsid w:val="004E4446"/>
    <w:rsid w:val="004E49DA"/>
    <w:rsid w:val="004E4E50"/>
    <w:rsid w:val="004E540A"/>
    <w:rsid w:val="004E5DAE"/>
    <w:rsid w:val="004E6C9F"/>
    <w:rsid w:val="004E6D95"/>
    <w:rsid w:val="004E7EC8"/>
    <w:rsid w:val="004F0F81"/>
    <w:rsid w:val="004F14D9"/>
    <w:rsid w:val="004F1815"/>
    <w:rsid w:val="004F19C0"/>
    <w:rsid w:val="004F2A0D"/>
    <w:rsid w:val="004F3358"/>
    <w:rsid w:val="004F3A3D"/>
    <w:rsid w:val="004F4540"/>
    <w:rsid w:val="004F49A7"/>
    <w:rsid w:val="004F4DEC"/>
    <w:rsid w:val="004F50F3"/>
    <w:rsid w:val="004F67BC"/>
    <w:rsid w:val="004F6CA8"/>
    <w:rsid w:val="00500340"/>
    <w:rsid w:val="00500A1C"/>
    <w:rsid w:val="00500CFD"/>
    <w:rsid w:val="0050126B"/>
    <w:rsid w:val="00501D22"/>
    <w:rsid w:val="0050217D"/>
    <w:rsid w:val="00502C58"/>
    <w:rsid w:val="00502D59"/>
    <w:rsid w:val="00503BA8"/>
    <w:rsid w:val="0050489E"/>
    <w:rsid w:val="00504A36"/>
    <w:rsid w:val="00504E52"/>
    <w:rsid w:val="00505365"/>
    <w:rsid w:val="0050664B"/>
    <w:rsid w:val="00506F69"/>
    <w:rsid w:val="00507C5B"/>
    <w:rsid w:val="00510697"/>
    <w:rsid w:val="005108D4"/>
    <w:rsid w:val="00510ED9"/>
    <w:rsid w:val="00511B42"/>
    <w:rsid w:val="00511BAF"/>
    <w:rsid w:val="00511CB4"/>
    <w:rsid w:val="00511E4A"/>
    <w:rsid w:val="0051203A"/>
    <w:rsid w:val="005123EE"/>
    <w:rsid w:val="00512C8C"/>
    <w:rsid w:val="0051517D"/>
    <w:rsid w:val="00515206"/>
    <w:rsid w:val="00515299"/>
    <w:rsid w:val="005152C2"/>
    <w:rsid w:val="00515C29"/>
    <w:rsid w:val="00516EF9"/>
    <w:rsid w:val="00520038"/>
    <w:rsid w:val="005202A6"/>
    <w:rsid w:val="005203DF"/>
    <w:rsid w:val="00520CED"/>
    <w:rsid w:val="0052135B"/>
    <w:rsid w:val="00521876"/>
    <w:rsid w:val="00521E87"/>
    <w:rsid w:val="00521F3A"/>
    <w:rsid w:val="00522078"/>
    <w:rsid w:val="005222F1"/>
    <w:rsid w:val="00522F48"/>
    <w:rsid w:val="005232AE"/>
    <w:rsid w:val="005235F1"/>
    <w:rsid w:val="00523D9A"/>
    <w:rsid w:val="00525258"/>
    <w:rsid w:val="00525FE3"/>
    <w:rsid w:val="005267B2"/>
    <w:rsid w:val="005267DA"/>
    <w:rsid w:val="0052703B"/>
    <w:rsid w:val="005303DA"/>
    <w:rsid w:val="00530A8F"/>
    <w:rsid w:val="00530D0E"/>
    <w:rsid w:val="0053115F"/>
    <w:rsid w:val="00531B90"/>
    <w:rsid w:val="00531D54"/>
    <w:rsid w:val="0053254C"/>
    <w:rsid w:val="00533319"/>
    <w:rsid w:val="00533530"/>
    <w:rsid w:val="005336AC"/>
    <w:rsid w:val="0053447E"/>
    <w:rsid w:val="005346A8"/>
    <w:rsid w:val="005349D3"/>
    <w:rsid w:val="00534B51"/>
    <w:rsid w:val="0053508A"/>
    <w:rsid w:val="00536CA8"/>
    <w:rsid w:val="005408C1"/>
    <w:rsid w:val="00541070"/>
    <w:rsid w:val="00541741"/>
    <w:rsid w:val="00541899"/>
    <w:rsid w:val="005427A7"/>
    <w:rsid w:val="005428CB"/>
    <w:rsid w:val="00542AE5"/>
    <w:rsid w:val="00543483"/>
    <w:rsid w:val="005447F7"/>
    <w:rsid w:val="00544CB3"/>
    <w:rsid w:val="00545672"/>
    <w:rsid w:val="00546809"/>
    <w:rsid w:val="00546D65"/>
    <w:rsid w:val="005474AE"/>
    <w:rsid w:val="005477FE"/>
    <w:rsid w:val="005508B4"/>
    <w:rsid w:val="00551008"/>
    <w:rsid w:val="00551D64"/>
    <w:rsid w:val="005534B1"/>
    <w:rsid w:val="00553FA2"/>
    <w:rsid w:val="0055471B"/>
    <w:rsid w:val="00554D2F"/>
    <w:rsid w:val="00554E76"/>
    <w:rsid w:val="005551DF"/>
    <w:rsid w:val="005555C7"/>
    <w:rsid w:val="005558F4"/>
    <w:rsid w:val="00555B0E"/>
    <w:rsid w:val="00556886"/>
    <w:rsid w:val="00556BDF"/>
    <w:rsid w:val="005578B4"/>
    <w:rsid w:val="00557C5F"/>
    <w:rsid w:val="00557D4C"/>
    <w:rsid w:val="00560CBC"/>
    <w:rsid w:val="00561EFD"/>
    <w:rsid w:val="00562A88"/>
    <w:rsid w:val="00563D18"/>
    <w:rsid w:val="0056472F"/>
    <w:rsid w:val="00564C6B"/>
    <w:rsid w:val="0056589C"/>
    <w:rsid w:val="00565976"/>
    <w:rsid w:val="00566019"/>
    <w:rsid w:val="00567282"/>
    <w:rsid w:val="0056762B"/>
    <w:rsid w:val="00567706"/>
    <w:rsid w:val="005704C9"/>
    <w:rsid w:val="005710A6"/>
    <w:rsid w:val="005721FB"/>
    <w:rsid w:val="00572C8B"/>
    <w:rsid w:val="00572E56"/>
    <w:rsid w:val="00573670"/>
    <w:rsid w:val="00573A18"/>
    <w:rsid w:val="00573EC4"/>
    <w:rsid w:val="0057497C"/>
    <w:rsid w:val="00574EA1"/>
    <w:rsid w:val="00575728"/>
    <w:rsid w:val="005757D1"/>
    <w:rsid w:val="00575AD4"/>
    <w:rsid w:val="00575B96"/>
    <w:rsid w:val="00575E6E"/>
    <w:rsid w:val="005767AD"/>
    <w:rsid w:val="00576AC1"/>
    <w:rsid w:val="00576F7A"/>
    <w:rsid w:val="00577778"/>
    <w:rsid w:val="00580376"/>
    <w:rsid w:val="005803AD"/>
    <w:rsid w:val="00580A5C"/>
    <w:rsid w:val="005817DF"/>
    <w:rsid w:val="00581AF6"/>
    <w:rsid w:val="00582C4C"/>
    <w:rsid w:val="00582CA4"/>
    <w:rsid w:val="00585D35"/>
    <w:rsid w:val="0058646F"/>
    <w:rsid w:val="0058654A"/>
    <w:rsid w:val="005865A1"/>
    <w:rsid w:val="00586EAA"/>
    <w:rsid w:val="005902BB"/>
    <w:rsid w:val="00590BF6"/>
    <w:rsid w:val="00591237"/>
    <w:rsid w:val="00591BB4"/>
    <w:rsid w:val="00591FCF"/>
    <w:rsid w:val="00593116"/>
    <w:rsid w:val="00593A1E"/>
    <w:rsid w:val="00594048"/>
    <w:rsid w:val="0059437A"/>
    <w:rsid w:val="00594615"/>
    <w:rsid w:val="0059576F"/>
    <w:rsid w:val="005964F9"/>
    <w:rsid w:val="00596714"/>
    <w:rsid w:val="00596F41"/>
    <w:rsid w:val="00597123"/>
    <w:rsid w:val="00597E64"/>
    <w:rsid w:val="005A023B"/>
    <w:rsid w:val="005A1425"/>
    <w:rsid w:val="005A1B33"/>
    <w:rsid w:val="005A26D9"/>
    <w:rsid w:val="005A2F98"/>
    <w:rsid w:val="005A318A"/>
    <w:rsid w:val="005A33F0"/>
    <w:rsid w:val="005A361B"/>
    <w:rsid w:val="005A3E4C"/>
    <w:rsid w:val="005A514D"/>
    <w:rsid w:val="005A5436"/>
    <w:rsid w:val="005A63C9"/>
    <w:rsid w:val="005A6870"/>
    <w:rsid w:val="005A69E5"/>
    <w:rsid w:val="005A6F68"/>
    <w:rsid w:val="005A7482"/>
    <w:rsid w:val="005A757C"/>
    <w:rsid w:val="005A79EF"/>
    <w:rsid w:val="005B046B"/>
    <w:rsid w:val="005B091D"/>
    <w:rsid w:val="005B128B"/>
    <w:rsid w:val="005B1785"/>
    <w:rsid w:val="005B1B34"/>
    <w:rsid w:val="005B1FAD"/>
    <w:rsid w:val="005B2875"/>
    <w:rsid w:val="005B32E6"/>
    <w:rsid w:val="005B3823"/>
    <w:rsid w:val="005B40CC"/>
    <w:rsid w:val="005B4724"/>
    <w:rsid w:val="005B4E3B"/>
    <w:rsid w:val="005B4EB3"/>
    <w:rsid w:val="005B4EB5"/>
    <w:rsid w:val="005B5DCE"/>
    <w:rsid w:val="005B6410"/>
    <w:rsid w:val="005B683D"/>
    <w:rsid w:val="005B6953"/>
    <w:rsid w:val="005B759B"/>
    <w:rsid w:val="005B7D36"/>
    <w:rsid w:val="005B7E1C"/>
    <w:rsid w:val="005B7E48"/>
    <w:rsid w:val="005C0902"/>
    <w:rsid w:val="005C0FFE"/>
    <w:rsid w:val="005C1318"/>
    <w:rsid w:val="005C1DC9"/>
    <w:rsid w:val="005C21CD"/>
    <w:rsid w:val="005C2FD4"/>
    <w:rsid w:val="005C4368"/>
    <w:rsid w:val="005C4B49"/>
    <w:rsid w:val="005C4CC0"/>
    <w:rsid w:val="005C50D5"/>
    <w:rsid w:val="005C5588"/>
    <w:rsid w:val="005C5CF1"/>
    <w:rsid w:val="005C614D"/>
    <w:rsid w:val="005C7151"/>
    <w:rsid w:val="005C732A"/>
    <w:rsid w:val="005C76B6"/>
    <w:rsid w:val="005D09D0"/>
    <w:rsid w:val="005D17BF"/>
    <w:rsid w:val="005D2C4C"/>
    <w:rsid w:val="005D32B6"/>
    <w:rsid w:val="005D36AA"/>
    <w:rsid w:val="005D373B"/>
    <w:rsid w:val="005D49D9"/>
    <w:rsid w:val="005D4B5A"/>
    <w:rsid w:val="005D4B6D"/>
    <w:rsid w:val="005D4CA4"/>
    <w:rsid w:val="005D59DD"/>
    <w:rsid w:val="005D63A0"/>
    <w:rsid w:val="005D6EB7"/>
    <w:rsid w:val="005D7703"/>
    <w:rsid w:val="005D788F"/>
    <w:rsid w:val="005D7CCF"/>
    <w:rsid w:val="005E11E8"/>
    <w:rsid w:val="005E16B4"/>
    <w:rsid w:val="005E1DE9"/>
    <w:rsid w:val="005E2647"/>
    <w:rsid w:val="005E2746"/>
    <w:rsid w:val="005E27F2"/>
    <w:rsid w:val="005E3B0D"/>
    <w:rsid w:val="005E5C0F"/>
    <w:rsid w:val="005E6721"/>
    <w:rsid w:val="005E6F0E"/>
    <w:rsid w:val="005E766F"/>
    <w:rsid w:val="005E76E8"/>
    <w:rsid w:val="005F0869"/>
    <w:rsid w:val="005F08ED"/>
    <w:rsid w:val="005F0A7A"/>
    <w:rsid w:val="005F0A98"/>
    <w:rsid w:val="005F0C90"/>
    <w:rsid w:val="005F1E99"/>
    <w:rsid w:val="005F24DA"/>
    <w:rsid w:val="005F25FC"/>
    <w:rsid w:val="005F292A"/>
    <w:rsid w:val="005F33DB"/>
    <w:rsid w:val="005F364E"/>
    <w:rsid w:val="005F3C5D"/>
    <w:rsid w:val="005F4D49"/>
    <w:rsid w:val="005F4D6D"/>
    <w:rsid w:val="005F5921"/>
    <w:rsid w:val="005F619C"/>
    <w:rsid w:val="005F71D7"/>
    <w:rsid w:val="005F7A5C"/>
    <w:rsid w:val="005F7E79"/>
    <w:rsid w:val="006005E1"/>
    <w:rsid w:val="00600860"/>
    <w:rsid w:val="00601761"/>
    <w:rsid w:val="006017B1"/>
    <w:rsid w:val="00601AFF"/>
    <w:rsid w:val="00601EEA"/>
    <w:rsid w:val="006026FA"/>
    <w:rsid w:val="00603570"/>
    <w:rsid w:val="006043DE"/>
    <w:rsid w:val="00604AF7"/>
    <w:rsid w:val="0060608A"/>
    <w:rsid w:val="00606D5F"/>
    <w:rsid w:val="006070F8"/>
    <w:rsid w:val="00607207"/>
    <w:rsid w:val="00607BDA"/>
    <w:rsid w:val="00610850"/>
    <w:rsid w:val="00610928"/>
    <w:rsid w:val="00612A85"/>
    <w:rsid w:val="0061312D"/>
    <w:rsid w:val="006142C5"/>
    <w:rsid w:val="006144E9"/>
    <w:rsid w:val="00614CF9"/>
    <w:rsid w:val="006152E6"/>
    <w:rsid w:val="00615FB7"/>
    <w:rsid w:val="00616F9A"/>
    <w:rsid w:val="00617044"/>
    <w:rsid w:val="00620C22"/>
    <w:rsid w:val="00620E58"/>
    <w:rsid w:val="00620F69"/>
    <w:rsid w:val="00622814"/>
    <w:rsid w:val="00623A15"/>
    <w:rsid w:val="00623E7D"/>
    <w:rsid w:val="006253A5"/>
    <w:rsid w:val="006256F5"/>
    <w:rsid w:val="00626726"/>
    <w:rsid w:val="00627625"/>
    <w:rsid w:val="00627E20"/>
    <w:rsid w:val="00630557"/>
    <w:rsid w:val="006305FB"/>
    <w:rsid w:val="006306D9"/>
    <w:rsid w:val="00630A85"/>
    <w:rsid w:val="00630AA5"/>
    <w:rsid w:val="0063221D"/>
    <w:rsid w:val="006323F6"/>
    <w:rsid w:val="00633281"/>
    <w:rsid w:val="006332CA"/>
    <w:rsid w:val="006338E3"/>
    <w:rsid w:val="006339BB"/>
    <w:rsid w:val="00633A08"/>
    <w:rsid w:val="00633B8E"/>
    <w:rsid w:val="0063446C"/>
    <w:rsid w:val="0063481C"/>
    <w:rsid w:val="0063492C"/>
    <w:rsid w:val="00635646"/>
    <w:rsid w:val="00635817"/>
    <w:rsid w:val="00635CCE"/>
    <w:rsid w:val="006360B3"/>
    <w:rsid w:val="00636565"/>
    <w:rsid w:val="00636E5C"/>
    <w:rsid w:val="00636F98"/>
    <w:rsid w:val="0063704C"/>
    <w:rsid w:val="00637331"/>
    <w:rsid w:val="00637709"/>
    <w:rsid w:val="00637AEB"/>
    <w:rsid w:val="00637DA2"/>
    <w:rsid w:val="00640339"/>
    <w:rsid w:val="00640381"/>
    <w:rsid w:val="00640639"/>
    <w:rsid w:val="00640A7D"/>
    <w:rsid w:val="0064222E"/>
    <w:rsid w:val="0064290B"/>
    <w:rsid w:val="00642C9A"/>
    <w:rsid w:val="00643B9A"/>
    <w:rsid w:val="00643DD2"/>
    <w:rsid w:val="00644400"/>
    <w:rsid w:val="00645B03"/>
    <w:rsid w:val="00645E80"/>
    <w:rsid w:val="00646031"/>
    <w:rsid w:val="0064671E"/>
    <w:rsid w:val="00646BCA"/>
    <w:rsid w:val="00646CD1"/>
    <w:rsid w:val="00646D18"/>
    <w:rsid w:val="00646EDA"/>
    <w:rsid w:val="00650625"/>
    <w:rsid w:val="006508C8"/>
    <w:rsid w:val="006510AB"/>
    <w:rsid w:val="00651A5B"/>
    <w:rsid w:val="00651C93"/>
    <w:rsid w:val="00652D34"/>
    <w:rsid w:val="006530FE"/>
    <w:rsid w:val="006546AE"/>
    <w:rsid w:val="006549BB"/>
    <w:rsid w:val="00654A67"/>
    <w:rsid w:val="00654E52"/>
    <w:rsid w:val="0065525C"/>
    <w:rsid w:val="006553F3"/>
    <w:rsid w:val="00656081"/>
    <w:rsid w:val="00656244"/>
    <w:rsid w:val="006567B2"/>
    <w:rsid w:val="0065682F"/>
    <w:rsid w:val="00656973"/>
    <w:rsid w:val="00657083"/>
    <w:rsid w:val="0065741F"/>
    <w:rsid w:val="00657E42"/>
    <w:rsid w:val="006615E8"/>
    <w:rsid w:val="00661F06"/>
    <w:rsid w:val="00662BC6"/>
    <w:rsid w:val="00663DBC"/>
    <w:rsid w:val="00664501"/>
    <w:rsid w:val="006653E3"/>
    <w:rsid w:val="006656E4"/>
    <w:rsid w:val="00666131"/>
    <w:rsid w:val="0066651B"/>
    <w:rsid w:val="00666847"/>
    <w:rsid w:val="006669C2"/>
    <w:rsid w:val="00667CD8"/>
    <w:rsid w:val="00670237"/>
    <w:rsid w:val="006702F8"/>
    <w:rsid w:val="00670492"/>
    <w:rsid w:val="00670736"/>
    <w:rsid w:val="00670C02"/>
    <w:rsid w:val="00672E1D"/>
    <w:rsid w:val="00673183"/>
    <w:rsid w:val="006734C7"/>
    <w:rsid w:val="00673A06"/>
    <w:rsid w:val="00674033"/>
    <w:rsid w:val="006747DC"/>
    <w:rsid w:val="00674849"/>
    <w:rsid w:val="006749B1"/>
    <w:rsid w:val="00675AA0"/>
    <w:rsid w:val="00675FDD"/>
    <w:rsid w:val="00676D1C"/>
    <w:rsid w:val="00676F41"/>
    <w:rsid w:val="0067715F"/>
    <w:rsid w:val="00677342"/>
    <w:rsid w:val="006806A9"/>
    <w:rsid w:val="00680DF1"/>
    <w:rsid w:val="00681B3E"/>
    <w:rsid w:val="00681C1B"/>
    <w:rsid w:val="00682F8D"/>
    <w:rsid w:val="00683456"/>
    <w:rsid w:val="006838CB"/>
    <w:rsid w:val="0068405A"/>
    <w:rsid w:val="0068490E"/>
    <w:rsid w:val="00684A24"/>
    <w:rsid w:val="00684BC7"/>
    <w:rsid w:val="006857A8"/>
    <w:rsid w:val="006862B1"/>
    <w:rsid w:val="006864A8"/>
    <w:rsid w:val="006864DD"/>
    <w:rsid w:val="00687131"/>
    <w:rsid w:val="006876C2"/>
    <w:rsid w:val="00687D29"/>
    <w:rsid w:val="00687D6B"/>
    <w:rsid w:val="00690B8C"/>
    <w:rsid w:val="00690D93"/>
    <w:rsid w:val="006911A3"/>
    <w:rsid w:val="00691DDE"/>
    <w:rsid w:val="00691FBE"/>
    <w:rsid w:val="0069211A"/>
    <w:rsid w:val="0069219C"/>
    <w:rsid w:val="006929D2"/>
    <w:rsid w:val="00692DD3"/>
    <w:rsid w:val="00692F82"/>
    <w:rsid w:val="00693936"/>
    <w:rsid w:val="006939A5"/>
    <w:rsid w:val="00693B67"/>
    <w:rsid w:val="00694160"/>
    <w:rsid w:val="006943E4"/>
    <w:rsid w:val="0069483B"/>
    <w:rsid w:val="00694E76"/>
    <w:rsid w:val="0069568A"/>
    <w:rsid w:val="00695917"/>
    <w:rsid w:val="00695F1B"/>
    <w:rsid w:val="00696543"/>
    <w:rsid w:val="0069744D"/>
    <w:rsid w:val="006A19DF"/>
    <w:rsid w:val="006A1BE8"/>
    <w:rsid w:val="006A24F2"/>
    <w:rsid w:val="006A2775"/>
    <w:rsid w:val="006A371B"/>
    <w:rsid w:val="006A435A"/>
    <w:rsid w:val="006A4480"/>
    <w:rsid w:val="006A4623"/>
    <w:rsid w:val="006A4633"/>
    <w:rsid w:val="006A5BEE"/>
    <w:rsid w:val="006A68CB"/>
    <w:rsid w:val="006A7285"/>
    <w:rsid w:val="006A7497"/>
    <w:rsid w:val="006A79E5"/>
    <w:rsid w:val="006B0974"/>
    <w:rsid w:val="006B24AF"/>
    <w:rsid w:val="006B2E60"/>
    <w:rsid w:val="006B3C5E"/>
    <w:rsid w:val="006B4677"/>
    <w:rsid w:val="006B545A"/>
    <w:rsid w:val="006B56BD"/>
    <w:rsid w:val="006B5EA1"/>
    <w:rsid w:val="006B628B"/>
    <w:rsid w:val="006B6735"/>
    <w:rsid w:val="006B7B83"/>
    <w:rsid w:val="006B7C46"/>
    <w:rsid w:val="006C034D"/>
    <w:rsid w:val="006C0ABD"/>
    <w:rsid w:val="006C19CD"/>
    <w:rsid w:val="006C1DF9"/>
    <w:rsid w:val="006C20AF"/>
    <w:rsid w:val="006C26FB"/>
    <w:rsid w:val="006C33C6"/>
    <w:rsid w:val="006C3D4F"/>
    <w:rsid w:val="006C4B7A"/>
    <w:rsid w:val="006C4BE3"/>
    <w:rsid w:val="006C4D86"/>
    <w:rsid w:val="006C5E9D"/>
    <w:rsid w:val="006D0032"/>
    <w:rsid w:val="006D123A"/>
    <w:rsid w:val="006D18CF"/>
    <w:rsid w:val="006D251D"/>
    <w:rsid w:val="006D3034"/>
    <w:rsid w:val="006D345D"/>
    <w:rsid w:val="006D3D67"/>
    <w:rsid w:val="006D44AF"/>
    <w:rsid w:val="006D462B"/>
    <w:rsid w:val="006D4DA2"/>
    <w:rsid w:val="006D5445"/>
    <w:rsid w:val="006D55FC"/>
    <w:rsid w:val="006D60B5"/>
    <w:rsid w:val="006D6542"/>
    <w:rsid w:val="006D65AD"/>
    <w:rsid w:val="006D65DC"/>
    <w:rsid w:val="006D6CB0"/>
    <w:rsid w:val="006D73BC"/>
    <w:rsid w:val="006D7527"/>
    <w:rsid w:val="006E0E8C"/>
    <w:rsid w:val="006E1341"/>
    <w:rsid w:val="006E18B3"/>
    <w:rsid w:val="006E20B8"/>
    <w:rsid w:val="006E42E6"/>
    <w:rsid w:val="006E4BE9"/>
    <w:rsid w:val="006E50CB"/>
    <w:rsid w:val="006E5140"/>
    <w:rsid w:val="006E5886"/>
    <w:rsid w:val="006E591E"/>
    <w:rsid w:val="006E5C15"/>
    <w:rsid w:val="006E602B"/>
    <w:rsid w:val="006E6279"/>
    <w:rsid w:val="006E6AB2"/>
    <w:rsid w:val="006E746A"/>
    <w:rsid w:val="006F068B"/>
    <w:rsid w:val="006F0D59"/>
    <w:rsid w:val="006F18F0"/>
    <w:rsid w:val="006F20AF"/>
    <w:rsid w:val="006F2502"/>
    <w:rsid w:val="006F28A6"/>
    <w:rsid w:val="006F415F"/>
    <w:rsid w:val="006F425A"/>
    <w:rsid w:val="006F43F3"/>
    <w:rsid w:val="006F48EA"/>
    <w:rsid w:val="006F4CD2"/>
    <w:rsid w:val="006F4F3B"/>
    <w:rsid w:val="006F53F8"/>
    <w:rsid w:val="006F5A17"/>
    <w:rsid w:val="006F5DC3"/>
    <w:rsid w:val="006F60E8"/>
    <w:rsid w:val="006F68B6"/>
    <w:rsid w:val="006F6BAC"/>
    <w:rsid w:val="006F7A85"/>
    <w:rsid w:val="006F7FDB"/>
    <w:rsid w:val="0070028A"/>
    <w:rsid w:val="00700310"/>
    <w:rsid w:val="0070082D"/>
    <w:rsid w:val="00701172"/>
    <w:rsid w:val="00701A68"/>
    <w:rsid w:val="00701BD5"/>
    <w:rsid w:val="007024AC"/>
    <w:rsid w:val="00702A85"/>
    <w:rsid w:val="00702A9F"/>
    <w:rsid w:val="00702BC8"/>
    <w:rsid w:val="0070440C"/>
    <w:rsid w:val="007047A3"/>
    <w:rsid w:val="00705FC2"/>
    <w:rsid w:val="00706734"/>
    <w:rsid w:val="00707FF9"/>
    <w:rsid w:val="007107F5"/>
    <w:rsid w:val="0071166A"/>
    <w:rsid w:val="00711B1A"/>
    <w:rsid w:val="00711C27"/>
    <w:rsid w:val="00712861"/>
    <w:rsid w:val="00712EC4"/>
    <w:rsid w:val="0071320F"/>
    <w:rsid w:val="0071364C"/>
    <w:rsid w:val="0071368C"/>
    <w:rsid w:val="007139B5"/>
    <w:rsid w:val="007144E2"/>
    <w:rsid w:val="0071757F"/>
    <w:rsid w:val="007176B5"/>
    <w:rsid w:val="00717BB3"/>
    <w:rsid w:val="00717F04"/>
    <w:rsid w:val="00720283"/>
    <w:rsid w:val="0072039B"/>
    <w:rsid w:val="00720B06"/>
    <w:rsid w:val="00721D18"/>
    <w:rsid w:val="00722C4E"/>
    <w:rsid w:val="007268D4"/>
    <w:rsid w:val="00726DBD"/>
    <w:rsid w:val="007303A3"/>
    <w:rsid w:val="007308EE"/>
    <w:rsid w:val="00732A88"/>
    <w:rsid w:val="00732DDB"/>
    <w:rsid w:val="007339D3"/>
    <w:rsid w:val="00733EF0"/>
    <w:rsid w:val="00734988"/>
    <w:rsid w:val="00734D03"/>
    <w:rsid w:val="007352F5"/>
    <w:rsid w:val="007355AB"/>
    <w:rsid w:val="007356E5"/>
    <w:rsid w:val="00736ED2"/>
    <w:rsid w:val="00737953"/>
    <w:rsid w:val="00740A95"/>
    <w:rsid w:val="00740CE0"/>
    <w:rsid w:val="00741AE1"/>
    <w:rsid w:val="00741C02"/>
    <w:rsid w:val="00741C07"/>
    <w:rsid w:val="0074277A"/>
    <w:rsid w:val="007432A4"/>
    <w:rsid w:val="0074334F"/>
    <w:rsid w:val="00743B65"/>
    <w:rsid w:val="00743D20"/>
    <w:rsid w:val="00744173"/>
    <w:rsid w:val="00745BC3"/>
    <w:rsid w:val="00745DB5"/>
    <w:rsid w:val="007469DB"/>
    <w:rsid w:val="00746F21"/>
    <w:rsid w:val="0074728F"/>
    <w:rsid w:val="0074757B"/>
    <w:rsid w:val="00750527"/>
    <w:rsid w:val="0075068A"/>
    <w:rsid w:val="00750A7F"/>
    <w:rsid w:val="00750EF0"/>
    <w:rsid w:val="00751127"/>
    <w:rsid w:val="00751AEE"/>
    <w:rsid w:val="00751BAD"/>
    <w:rsid w:val="007524B2"/>
    <w:rsid w:val="00752AD5"/>
    <w:rsid w:val="00753866"/>
    <w:rsid w:val="00753913"/>
    <w:rsid w:val="00754290"/>
    <w:rsid w:val="007549BB"/>
    <w:rsid w:val="00754D9E"/>
    <w:rsid w:val="00755794"/>
    <w:rsid w:val="00755F52"/>
    <w:rsid w:val="0075672B"/>
    <w:rsid w:val="00757399"/>
    <w:rsid w:val="00757901"/>
    <w:rsid w:val="00760230"/>
    <w:rsid w:val="007604C8"/>
    <w:rsid w:val="00760E6E"/>
    <w:rsid w:val="007610B1"/>
    <w:rsid w:val="0076128A"/>
    <w:rsid w:val="007616AD"/>
    <w:rsid w:val="007622BE"/>
    <w:rsid w:val="00763244"/>
    <w:rsid w:val="007636CE"/>
    <w:rsid w:val="00763850"/>
    <w:rsid w:val="00763ECC"/>
    <w:rsid w:val="0076448F"/>
    <w:rsid w:val="007648DB"/>
    <w:rsid w:val="00765629"/>
    <w:rsid w:val="00766C4A"/>
    <w:rsid w:val="00766C8F"/>
    <w:rsid w:val="00766E28"/>
    <w:rsid w:val="00767669"/>
    <w:rsid w:val="00770C92"/>
    <w:rsid w:val="00773EAA"/>
    <w:rsid w:val="00774E49"/>
    <w:rsid w:val="0077553D"/>
    <w:rsid w:val="00775B34"/>
    <w:rsid w:val="00776893"/>
    <w:rsid w:val="00776B2A"/>
    <w:rsid w:val="007771F6"/>
    <w:rsid w:val="00777A6B"/>
    <w:rsid w:val="00777B19"/>
    <w:rsid w:val="00777B38"/>
    <w:rsid w:val="00777CC9"/>
    <w:rsid w:val="00780219"/>
    <w:rsid w:val="0078058E"/>
    <w:rsid w:val="00780607"/>
    <w:rsid w:val="00780C3D"/>
    <w:rsid w:val="007816BC"/>
    <w:rsid w:val="00781709"/>
    <w:rsid w:val="00782282"/>
    <w:rsid w:val="007824EF"/>
    <w:rsid w:val="00783034"/>
    <w:rsid w:val="00783396"/>
    <w:rsid w:val="007835D9"/>
    <w:rsid w:val="00783705"/>
    <w:rsid w:val="007849E7"/>
    <w:rsid w:val="00784BA9"/>
    <w:rsid w:val="007865DC"/>
    <w:rsid w:val="00786FF4"/>
    <w:rsid w:val="00787A1F"/>
    <w:rsid w:val="00787AE8"/>
    <w:rsid w:val="00790086"/>
    <w:rsid w:val="00790092"/>
    <w:rsid w:val="007910AE"/>
    <w:rsid w:val="00792081"/>
    <w:rsid w:val="0079370C"/>
    <w:rsid w:val="00793991"/>
    <w:rsid w:val="00794892"/>
    <w:rsid w:val="00794EC5"/>
    <w:rsid w:val="00795085"/>
    <w:rsid w:val="007953C5"/>
    <w:rsid w:val="007956ED"/>
    <w:rsid w:val="007957A3"/>
    <w:rsid w:val="00796BDE"/>
    <w:rsid w:val="00796EAB"/>
    <w:rsid w:val="00796F2F"/>
    <w:rsid w:val="007A1220"/>
    <w:rsid w:val="007A1C89"/>
    <w:rsid w:val="007A20C9"/>
    <w:rsid w:val="007A2563"/>
    <w:rsid w:val="007A26A8"/>
    <w:rsid w:val="007A344C"/>
    <w:rsid w:val="007A4549"/>
    <w:rsid w:val="007A4E52"/>
    <w:rsid w:val="007A5E1C"/>
    <w:rsid w:val="007A5F1A"/>
    <w:rsid w:val="007A67C5"/>
    <w:rsid w:val="007A7048"/>
    <w:rsid w:val="007A79FF"/>
    <w:rsid w:val="007A7CD7"/>
    <w:rsid w:val="007A7D35"/>
    <w:rsid w:val="007B03C1"/>
    <w:rsid w:val="007B0425"/>
    <w:rsid w:val="007B19E1"/>
    <w:rsid w:val="007B1EC9"/>
    <w:rsid w:val="007B2462"/>
    <w:rsid w:val="007B336E"/>
    <w:rsid w:val="007B4421"/>
    <w:rsid w:val="007B461B"/>
    <w:rsid w:val="007B496D"/>
    <w:rsid w:val="007B4D50"/>
    <w:rsid w:val="007B4DB7"/>
    <w:rsid w:val="007B4F22"/>
    <w:rsid w:val="007B5BB1"/>
    <w:rsid w:val="007B604B"/>
    <w:rsid w:val="007B71B3"/>
    <w:rsid w:val="007B7306"/>
    <w:rsid w:val="007B73B5"/>
    <w:rsid w:val="007B78CB"/>
    <w:rsid w:val="007C0135"/>
    <w:rsid w:val="007C05A1"/>
    <w:rsid w:val="007C0EC0"/>
    <w:rsid w:val="007C1C9D"/>
    <w:rsid w:val="007C2CE5"/>
    <w:rsid w:val="007C2D96"/>
    <w:rsid w:val="007C377A"/>
    <w:rsid w:val="007C384E"/>
    <w:rsid w:val="007C38D0"/>
    <w:rsid w:val="007C3F4A"/>
    <w:rsid w:val="007C444B"/>
    <w:rsid w:val="007C485E"/>
    <w:rsid w:val="007C48DE"/>
    <w:rsid w:val="007C5173"/>
    <w:rsid w:val="007C521D"/>
    <w:rsid w:val="007C59E5"/>
    <w:rsid w:val="007C5FE8"/>
    <w:rsid w:val="007C6496"/>
    <w:rsid w:val="007C6A8B"/>
    <w:rsid w:val="007C70D6"/>
    <w:rsid w:val="007C7720"/>
    <w:rsid w:val="007C7C2D"/>
    <w:rsid w:val="007C7C77"/>
    <w:rsid w:val="007D19C4"/>
    <w:rsid w:val="007D31E3"/>
    <w:rsid w:val="007D356B"/>
    <w:rsid w:val="007D3827"/>
    <w:rsid w:val="007D395A"/>
    <w:rsid w:val="007D3AC5"/>
    <w:rsid w:val="007D3EB2"/>
    <w:rsid w:val="007D4222"/>
    <w:rsid w:val="007D46CE"/>
    <w:rsid w:val="007D48D3"/>
    <w:rsid w:val="007D5816"/>
    <w:rsid w:val="007D587B"/>
    <w:rsid w:val="007D5EE4"/>
    <w:rsid w:val="007D611E"/>
    <w:rsid w:val="007D64AC"/>
    <w:rsid w:val="007D7C95"/>
    <w:rsid w:val="007E04F6"/>
    <w:rsid w:val="007E0B9F"/>
    <w:rsid w:val="007E20A5"/>
    <w:rsid w:val="007E3F1D"/>
    <w:rsid w:val="007E3F63"/>
    <w:rsid w:val="007E50E7"/>
    <w:rsid w:val="007E54C9"/>
    <w:rsid w:val="007E5D18"/>
    <w:rsid w:val="007E616A"/>
    <w:rsid w:val="007E6755"/>
    <w:rsid w:val="007E6B4A"/>
    <w:rsid w:val="007E7435"/>
    <w:rsid w:val="007E77C8"/>
    <w:rsid w:val="007E7CF9"/>
    <w:rsid w:val="007F0710"/>
    <w:rsid w:val="007F0895"/>
    <w:rsid w:val="007F1D6A"/>
    <w:rsid w:val="007F218E"/>
    <w:rsid w:val="007F2235"/>
    <w:rsid w:val="007F266E"/>
    <w:rsid w:val="007F37A9"/>
    <w:rsid w:val="007F46ED"/>
    <w:rsid w:val="007F49F9"/>
    <w:rsid w:val="007F5FC2"/>
    <w:rsid w:val="007F64F7"/>
    <w:rsid w:val="007F65F0"/>
    <w:rsid w:val="007F67E5"/>
    <w:rsid w:val="007F78E2"/>
    <w:rsid w:val="007F79C5"/>
    <w:rsid w:val="007F7CB6"/>
    <w:rsid w:val="0080037F"/>
    <w:rsid w:val="00801281"/>
    <w:rsid w:val="0080134C"/>
    <w:rsid w:val="00801D17"/>
    <w:rsid w:val="008024AB"/>
    <w:rsid w:val="0080324E"/>
    <w:rsid w:val="00803A0E"/>
    <w:rsid w:val="00803AE5"/>
    <w:rsid w:val="00803B7C"/>
    <w:rsid w:val="008041A7"/>
    <w:rsid w:val="00804DFB"/>
    <w:rsid w:val="0080547E"/>
    <w:rsid w:val="00805C4E"/>
    <w:rsid w:val="00806885"/>
    <w:rsid w:val="00807B94"/>
    <w:rsid w:val="00810055"/>
    <w:rsid w:val="00810FB2"/>
    <w:rsid w:val="00811411"/>
    <w:rsid w:val="008114DF"/>
    <w:rsid w:val="00811B6C"/>
    <w:rsid w:val="00811D3C"/>
    <w:rsid w:val="00811F31"/>
    <w:rsid w:val="00812FA8"/>
    <w:rsid w:val="008137E7"/>
    <w:rsid w:val="00813F0D"/>
    <w:rsid w:val="008146C4"/>
    <w:rsid w:val="00815144"/>
    <w:rsid w:val="00815235"/>
    <w:rsid w:val="00816138"/>
    <w:rsid w:val="008164F4"/>
    <w:rsid w:val="008165F0"/>
    <w:rsid w:val="00817346"/>
    <w:rsid w:val="00817C31"/>
    <w:rsid w:val="00817ED9"/>
    <w:rsid w:val="00820CC6"/>
    <w:rsid w:val="00821147"/>
    <w:rsid w:val="008216E4"/>
    <w:rsid w:val="00821B37"/>
    <w:rsid w:val="00821F08"/>
    <w:rsid w:val="00821FCA"/>
    <w:rsid w:val="008221C1"/>
    <w:rsid w:val="00822256"/>
    <w:rsid w:val="00822AE9"/>
    <w:rsid w:val="0082407A"/>
    <w:rsid w:val="00824C7E"/>
    <w:rsid w:val="008255AF"/>
    <w:rsid w:val="008256D8"/>
    <w:rsid w:val="00826162"/>
    <w:rsid w:val="00826750"/>
    <w:rsid w:val="00826859"/>
    <w:rsid w:val="00826FAB"/>
    <w:rsid w:val="008272A6"/>
    <w:rsid w:val="008273CE"/>
    <w:rsid w:val="008303F1"/>
    <w:rsid w:val="00830E84"/>
    <w:rsid w:val="0083226F"/>
    <w:rsid w:val="0083323F"/>
    <w:rsid w:val="00833CDE"/>
    <w:rsid w:val="00834C99"/>
    <w:rsid w:val="00834DAB"/>
    <w:rsid w:val="00835263"/>
    <w:rsid w:val="00835724"/>
    <w:rsid w:val="00835D59"/>
    <w:rsid w:val="008372CE"/>
    <w:rsid w:val="008373BC"/>
    <w:rsid w:val="00837C2A"/>
    <w:rsid w:val="00837CA8"/>
    <w:rsid w:val="00840B4D"/>
    <w:rsid w:val="00840BBC"/>
    <w:rsid w:val="0084145E"/>
    <w:rsid w:val="00843630"/>
    <w:rsid w:val="00845E52"/>
    <w:rsid w:val="008461FC"/>
    <w:rsid w:val="00846573"/>
    <w:rsid w:val="00847CDD"/>
    <w:rsid w:val="008500CC"/>
    <w:rsid w:val="008519B6"/>
    <w:rsid w:val="00851BE3"/>
    <w:rsid w:val="00851C7D"/>
    <w:rsid w:val="008525BC"/>
    <w:rsid w:val="008527BE"/>
    <w:rsid w:val="00852922"/>
    <w:rsid w:val="00852C82"/>
    <w:rsid w:val="008530B1"/>
    <w:rsid w:val="008533C9"/>
    <w:rsid w:val="00853A30"/>
    <w:rsid w:val="00854368"/>
    <w:rsid w:val="00854C2B"/>
    <w:rsid w:val="0085599F"/>
    <w:rsid w:val="00855A43"/>
    <w:rsid w:val="008566D3"/>
    <w:rsid w:val="0085689B"/>
    <w:rsid w:val="00857202"/>
    <w:rsid w:val="0086025C"/>
    <w:rsid w:val="00861023"/>
    <w:rsid w:val="008611DD"/>
    <w:rsid w:val="008615DF"/>
    <w:rsid w:val="008631E6"/>
    <w:rsid w:val="00863496"/>
    <w:rsid w:val="0086356A"/>
    <w:rsid w:val="00863E6F"/>
    <w:rsid w:val="00863F31"/>
    <w:rsid w:val="008647EB"/>
    <w:rsid w:val="00864A27"/>
    <w:rsid w:val="00864FBA"/>
    <w:rsid w:val="008655C6"/>
    <w:rsid w:val="00865926"/>
    <w:rsid w:val="00865DEF"/>
    <w:rsid w:val="00865F2A"/>
    <w:rsid w:val="00866994"/>
    <w:rsid w:val="00866B80"/>
    <w:rsid w:val="00866E64"/>
    <w:rsid w:val="00867FDB"/>
    <w:rsid w:val="008701BC"/>
    <w:rsid w:val="0087111B"/>
    <w:rsid w:val="0087144C"/>
    <w:rsid w:val="00872219"/>
    <w:rsid w:val="00872B14"/>
    <w:rsid w:val="00872FD2"/>
    <w:rsid w:val="00873046"/>
    <w:rsid w:val="0087322A"/>
    <w:rsid w:val="008737CF"/>
    <w:rsid w:val="00873903"/>
    <w:rsid w:val="00873B58"/>
    <w:rsid w:val="008744B3"/>
    <w:rsid w:val="008746B4"/>
    <w:rsid w:val="00874F85"/>
    <w:rsid w:val="008754F2"/>
    <w:rsid w:val="00880B37"/>
    <w:rsid w:val="00881005"/>
    <w:rsid w:val="00881D00"/>
    <w:rsid w:val="00882AF9"/>
    <w:rsid w:val="008838C5"/>
    <w:rsid w:val="008839D0"/>
    <w:rsid w:val="008844C8"/>
    <w:rsid w:val="008844EF"/>
    <w:rsid w:val="008847CA"/>
    <w:rsid w:val="00885B00"/>
    <w:rsid w:val="00885E75"/>
    <w:rsid w:val="008862F5"/>
    <w:rsid w:val="008868EC"/>
    <w:rsid w:val="008908F1"/>
    <w:rsid w:val="00891254"/>
    <w:rsid w:val="00891CA8"/>
    <w:rsid w:val="00891D8E"/>
    <w:rsid w:val="00891F75"/>
    <w:rsid w:val="0089492C"/>
    <w:rsid w:val="00894BCA"/>
    <w:rsid w:val="00894D1D"/>
    <w:rsid w:val="00895578"/>
    <w:rsid w:val="0089580B"/>
    <w:rsid w:val="008958A2"/>
    <w:rsid w:val="00895DE9"/>
    <w:rsid w:val="0089608A"/>
    <w:rsid w:val="008961DC"/>
    <w:rsid w:val="00896B85"/>
    <w:rsid w:val="00897766"/>
    <w:rsid w:val="00897994"/>
    <w:rsid w:val="008979CA"/>
    <w:rsid w:val="00897A48"/>
    <w:rsid w:val="00897AE8"/>
    <w:rsid w:val="00897E82"/>
    <w:rsid w:val="00897F40"/>
    <w:rsid w:val="008A17BF"/>
    <w:rsid w:val="008A1A6C"/>
    <w:rsid w:val="008A23C4"/>
    <w:rsid w:val="008A296F"/>
    <w:rsid w:val="008A2A88"/>
    <w:rsid w:val="008A2ACB"/>
    <w:rsid w:val="008A30C1"/>
    <w:rsid w:val="008A3533"/>
    <w:rsid w:val="008A36B5"/>
    <w:rsid w:val="008A391E"/>
    <w:rsid w:val="008A3D71"/>
    <w:rsid w:val="008A3DA8"/>
    <w:rsid w:val="008A409E"/>
    <w:rsid w:val="008A4839"/>
    <w:rsid w:val="008A4F3E"/>
    <w:rsid w:val="008A4FF0"/>
    <w:rsid w:val="008A61ED"/>
    <w:rsid w:val="008A6939"/>
    <w:rsid w:val="008A6AA6"/>
    <w:rsid w:val="008A733A"/>
    <w:rsid w:val="008A7622"/>
    <w:rsid w:val="008A766E"/>
    <w:rsid w:val="008A7C0F"/>
    <w:rsid w:val="008A7D36"/>
    <w:rsid w:val="008A7DDF"/>
    <w:rsid w:val="008A7FC1"/>
    <w:rsid w:val="008B0031"/>
    <w:rsid w:val="008B01D9"/>
    <w:rsid w:val="008B024E"/>
    <w:rsid w:val="008B04AE"/>
    <w:rsid w:val="008B0B84"/>
    <w:rsid w:val="008B173A"/>
    <w:rsid w:val="008B1A29"/>
    <w:rsid w:val="008B1B89"/>
    <w:rsid w:val="008B27AD"/>
    <w:rsid w:val="008B3183"/>
    <w:rsid w:val="008B32E0"/>
    <w:rsid w:val="008B46ED"/>
    <w:rsid w:val="008B5B84"/>
    <w:rsid w:val="008B628D"/>
    <w:rsid w:val="008B6ED7"/>
    <w:rsid w:val="008B752F"/>
    <w:rsid w:val="008C10B8"/>
    <w:rsid w:val="008C1FE7"/>
    <w:rsid w:val="008C29FA"/>
    <w:rsid w:val="008C365D"/>
    <w:rsid w:val="008C3A27"/>
    <w:rsid w:val="008C40BC"/>
    <w:rsid w:val="008C4C29"/>
    <w:rsid w:val="008C4C95"/>
    <w:rsid w:val="008C522F"/>
    <w:rsid w:val="008C62A8"/>
    <w:rsid w:val="008C66E2"/>
    <w:rsid w:val="008C6E3F"/>
    <w:rsid w:val="008C7C60"/>
    <w:rsid w:val="008D00E9"/>
    <w:rsid w:val="008D0256"/>
    <w:rsid w:val="008D06F5"/>
    <w:rsid w:val="008D0921"/>
    <w:rsid w:val="008D10F8"/>
    <w:rsid w:val="008D1170"/>
    <w:rsid w:val="008D12E3"/>
    <w:rsid w:val="008D21D9"/>
    <w:rsid w:val="008D3104"/>
    <w:rsid w:val="008D5858"/>
    <w:rsid w:val="008D5A35"/>
    <w:rsid w:val="008D6345"/>
    <w:rsid w:val="008D6666"/>
    <w:rsid w:val="008D6AC0"/>
    <w:rsid w:val="008E0597"/>
    <w:rsid w:val="008E07D4"/>
    <w:rsid w:val="008E13BD"/>
    <w:rsid w:val="008E165E"/>
    <w:rsid w:val="008E1AAA"/>
    <w:rsid w:val="008E1ADA"/>
    <w:rsid w:val="008E2668"/>
    <w:rsid w:val="008E2709"/>
    <w:rsid w:val="008E300B"/>
    <w:rsid w:val="008E3F63"/>
    <w:rsid w:val="008E40DB"/>
    <w:rsid w:val="008E4DE8"/>
    <w:rsid w:val="008E4F4D"/>
    <w:rsid w:val="008E5161"/>
    <w:rsid w:val="008E6006"/>
    <w:rsid w:val="008E60D6"/>
    <w:rsid w:val="008E7444"/>
    <w:rsid w:val="008E76E1"/>
    <w:rsid w:val="008E78C3"/>
    <w:rsid w:val="008E7945"/>
    <w:rsid w:val="008F0651"/>
    <w:rsid w:val="008F12F9"/>
    <w:rsid w:val="008F157C"/>
    <w:rsid w:val="008F18F7"/>
    <w:rsid w:val="008F2076"/>
    <w:rsid w:val="008F3ECE"/>
    <w:rsid w:val="008F52FD"/>
    <w:rsid w:val="008F54A5"/>
    <w:rsid w:val="008F7069"/>
    <w:rsid w:val="008F7291"/>
    <w:rsid w:val="008F752A"/>
    <w:rsid w:val="009005D5"/>
    <w:rsid w:val="00900E3D"/>
    <w:rsid w:val="009013BD"/>
    <w:rsid w:val="00901FB7"/>
    <w:rsid w:val="00901FFA"/>
    <w:rsid w:val="00902411"/>
    <w:rsid w:val="009026AD"/>
    <w:rsid w:val="009036F8"/>
    <w:rsid w:val="00903D8A"/>
    <w:rsid w:val="0090599E"/>
    <w:rsid w:val="00906044"/>
    <w:rsid w:val="0090688C"/>
    <w:rsid w:val="00906CDD"/>
    <w:rsid w:val="009070B3"/>
    <w:rsid w:val="009074FB"/>
    <w:rsid w:val="00910279"/>
    <w:rsid w:val="00910523"/>
    <w:rsid w:val="0091060B"/>
    <w:rsid w:val="0091094B"/>
    <w:rsid w:val="00911AAA"/>
    <w:rsid w:val="00912204"/>
    <w:rsid w:val="00912205"/>
    <w:rsid w:val="00912884"/>
    <w:rsid w:val="00912DBD"/>
    <w:rsid w:val="00912E3A"/>
    <w:rsid w:val="00913B04"/>
    <w:rsid w:val="009151D8"/>
    <w:rsid w:val="00916AA6"/>
    <w:rsid w:val="00916BE8"/>
    <w:rsid w:val="00917017"/>
    <w:rsid w:val="00917310"/>
    <w:rsid w:val="00917C71"/>
    <w:rsid w:val="00920762"/>
    <w:rsid w:val="00921B17"/>
    <w:rsid w:val="009220AF"/>
    <w:rsid w:val="00922CBB"/>
    <w:rsid w:val="00923152"/>
    <w:rsid w:val="00923340"/>
    <w:rsid w:val="0092426D"/>
    <w:rsid w:val="009244B0"/>
    <w:rsid w:val="0092450E"/>
    <w:rsid w:val="00926A06"/>
    <w:rsid w:val="00926F71"/>
    <w:rsid w:val="00930671"/>
    <w:rsid w:val="00930E7E"/>
    <w:rsid w:val="0093130C"/>
    <w:rsid w:val="00931C5F"/>
    <w:rsid w:val="0093236C"/>
    <w:rsid w:val="009328C8"/>
    <w:rsid w:val="0093371D"/>
    <w:rsid w:val="0093448D"/>
    <w:rsid w:val="0093477C"/>
    <w:rsid w:val="00936990"/>
    <w:rsid w:val="009374D6"/>
    <w:rsid w:val="009403AC"/>
    <w:rsid w:val="00940802"/>
    <w:rsid w:val="00941AF0"/>
    <w:rsid w:val="00941E95"/>
    <w:rsid w:val="00942E0B"/>
    <w:rsid w:val="0094308C"/>
    <w:rsid w:val="009435A7"/>
    <w:rsid w:val="0094436F"/>
    <w:rsid w:val="00944DCD"/>
    <w:rsid w:val="00944FE6"/>
    <w:rsid w:val="00945B8F"/>
    <w:rsid w:val="00945E69"/>
    <w:rsid w:val="00947E4F"/>
    <w:rsid w:val="00950A61"/>
    <w:rsid w:val="009511D0"/>
    <w:rsid w:val="0095353F"/>
    <w:rsid w:val="009572E5"/>
    <w:rsid w:val="0095760C"/>
    <w:rsid w:val="00957846"/>
    <w:rsid w:val="00957CDB"/>
    <w:rsid w:val="00957D09"/>
    <w:rsid w:val="009611E7"/>
    <w:rsid w:val="0096143F"/>
    <w:rsid w:val="00961816"/>
    <w:rsid w:val="009622D6"/>
    <w:rsid w:val="00962351"/>
    <w:rsid w:val="0096355C"/>
    <w:rsid w:val="009638D3"/>
    <w:rsid w:val="00963B85"/>
    <w:rsid w:val="009653FC"/>
    <w:rsid w:val="0096546C"/>
    <w:rsid w:val="00965D12"/>
    <w:rsid w:val="00965D1C"/>
    <w:rsid w:val="009661E5"/>
    <w:rsid w:val="009662C0"/>
    <w:rsid w:val="00966B17"/>
    <w:rsid w:val="00967199"/>
    <w:rsid w:val="0097005B"/>
    <w:rsid w:val="0097060B"/>
    <w:rsid w:val="00970E2A"/>
    <w:rsid w:val="0097152B"/>
    <w:rsid w:val="00971DA0"/>
    <w:rsid w:val="00971EEF"/>
    <w:rsid w:val="009722E9"/>
    <w:rsid w:val="0097276E"/>
    <w:rsid w:val="00972B28"/>
    <w:rsid w:val="00972B77"/>
    <w:rsid w:val="0097405F"/>
    <w:rsid w:val="00975BDE"/>
    <w:rsid w:val="00975D7A"/>
    <w:rsid w:val="0097691A"/>
    <w:rsid w:val="00976DC4"/>
    <w:rsid w:val="009771C5"/>
    <w:rsid w:val="00977743"/>
    <w:rsid w:val="009778C8"/>
    <w:rsid w:val="009801DF"/>
    <w:rsid w:val="00980521"/>
    <w:rsid w:val="0098056F"/>
    <w:rsid w:val="00980CBE"/>
    <w:rsid w:val="009815E8"/>
    <w:rsid w:val="0098193E"/>
    <w:rsid w:val="00981E8A"/>
    <w:rsid w:val="00982C78"/>
    <w:rsid w:val="0098321C"/>
    <w:rsid w:val="009839FB"/>
    <w:rsid w:val="00983AD3"/>
    <w:rsid w:val="0098401B"/>
    <w:rsid w:val="009848BF"/>
    <w:rsid w:val="00984E11"/>
    <w:rsid w:val="00986101"/>
    <w:rsid w:val="00986600"/>
    <w:rsid w:val="00987660"/>
    <w:rsid w:val="00987AB9"/>
    <w:rsid w:val="00987F29"/>
    <w:rsid w:val="00990878"/>
    <w:rsid w:val="00991238"/>
    <w:rsid w:val="00992A33"/>
    <w:rsid w:val="00992AD7"/>
    <w:rsid w:val="00992D1F"/>
    <w:rsid w:val="00993826"/>
    <w:rsid w:val="00995C40"/>
    <w:rsid w:val="00995D5B"/>
    <w:rsid w:val="00995E2D"/>
    <w:rsid w:val="009963EB"/>
    <w:rsid w:val="00996470"/>
    <w:rsid w:val="00996760"/>
    <w:rsid w:val="00996CFC"/>
    <w:rsid w:val="009978B7"/>
    <w:rsid w:val="009A06E8"/>
    <w:rsid w:val="009A07C3"/>
    <w:rsid w:val="009A1C60"/>
    <w:rsid w:val="009A1C6A"/>
    <w:rsid w:val="009A1E1E"/>
    <w:rsid w:val="009A1EAB"/>
    <w:rsid w:val="009A1FE9"/>
    <w:rsid w:val="009A2679"/>
    <w:rsid w:val="009A2CCA"/>
    <w:rsid w:val="009A2DB0"/>
    <w:rsid w:val="009A3090"/>
    <w:rsid w:val="009A321E"/>
    <w:rsid w:val="009A41CD"/>
    <w:rsid w:val="009A4AEE"/>
    <w:rsid w:val="009A5BE7"/>
    <w:rsid w:val="009A66BF"/>
    <w:rsid w:val="009A6EE4"/>
    <w:rsid w:val="009A75AA"/>
    <w:rsid w:val="009A775F"/>
    <w:rsid w:val="009B05A9"/>
    <w:rsid w:val="009B1CF4"/>
    <w:rsid w:val="009B2C84"/>
    <w:rsid w:val="009B2CB6"/>
    <w:rsid w:val="009B3F05"/>
    <w:rsid w:val="009B5360"/>
    <w:rsid w:val="009B555A"/>
    <w:rsid w:val="009B5F8C"/>
    <w:rsid w:val="009B66A5"/>
    <w:rsid w:val="009B67DC"/>
    <w:rsid w:val="009B6D56"/>
    <w:rsid w:val="009B7F5D"/>
    <w:rsid w:val="009C0ACA"/>
    <w:rsid w:val="009C0FF5"/>
    <w:rsid w:val="009C1340"/>
    <w:rsid w:val="009C18A2"/>
    <w:rsid w:val="009C2205"/>
    <w:rsid w:val="009C26C4"/>
    <w:rsid w:val="009C2C04"/>
    <w:rsid w:val="009C2C43"/>
    <w:rsid w:val="009C36FA"/>
    <w:rsid w:val="009C3731"/>
    <w:rsid w:val="009C4026"/>
    <w:rsid w:val="009C442B"/>
    <w:rsid w:val="009C4E0C"/>
    <w:rsid w:val="009C4E79"/>
    <w:rsid w:val="009C51C6"/>
    <w:rsid w:val="009C5473"/>
    <w:rsid w:val="009C555C"/>
    <w:rsid w:val="009C5CB5"/>
    <w:rsid w:val="009C7C21"/>
    <w:rsid w:val="009C7F35"/>
    <w:rsid w:val="009D03B7"/>
    <w:rsid w:val="009D0DC1"/>
    <w:rsid w:val="009D10B1"/>
    <w:rsid w:val="009D19FA"/>
    <w:rsid w:val="009D3137"/>
    <w:rsid w:val="009D347D"/>
    <w:rsid w:val="009D3DBE"/>
    <w:rsid w:val="009D4DD2"/>
    <w:rsid w:val="009D5075"/>
    <w:rsid w:val="009D5433"/>
    <w:rsid w:val="009D6118"/>
    <w:rsid w:val="009D61D0"/>
    <w:rsid w:val="009D69E6"/>
    <w:rsid w:val="009D77C0"/>
    <w:rsid w:val="009D7DBB"/>
    <w:rsid w:val="009E05A4"/>
    <w:rsid w:val="009E1488"/>
    <w:rsid w:val="009E16A6"/>
    <w:rsid w:val="009E2664"/>
    <w:rsid w:val="009E3029"/>
    <w:rsid w:val="009E38A1"/>
    <w:rsid w:val="009E3C4C"/>
    <w:rsid w:val="009E3D6C"/>
    <w:rsid w:val="009E4877"/>
    <w:rsid w:val="009E57D1"/>
    <w:rsid w:val="009E78D2"/>
    <w:rsid w:val="009E7AA0"/>
    <w:rsid w:val="009E7F89"/>
    <w:rsid w:val="009F0620"/>
    <w:rsid w:val="009F0E83"/>
    <w:rsid w:val="009F114A"/>
    <w:rsid w:val="009F11A1"/>
    <w:rsid w:val="009F1519"/>
    <w:rsid w:val="009F1B61"/>
    <w:rsid w:val="009F2D25"/>
    <w:rsid w:val="009F2E00"/>
    <w:rsid w:val="009F33F4"/>
    <w:rsid w:val="009F3993"/>
    <w:rsid w:val="009F3B38"/>
    <w:rsid w:val="009F3B76"/>
    <w:rsid w:val="009F3F19"/>
    <w:rsid w:val="009F4248"/>
    <w:rsid w:val="009F4BC8"/>
    <w:rsid w:val="009F5206"/>
    <w:rsid w:val="009F565E"/>
    <w:rsid w:val="009F5AA1"/>
    <w:rsid w:val="009F5B2E"/>
    <w:rsid w:val="009F61B3"/>
    <w:rsid w:val="009F6215"/>
    <w:rsid w:val="009F62F3"/>
    <w:rsid w:val="009F6541"/>
    <w:rsid w:val="009F6F23"/>
    <w:rsid w:val="009F74DF"/>
    <w:rsid w:val="00A004E3"/>
    <w:rsid w:val="00A0077B"/>
    <w:rsid w:val="00A00F08"/>
    <w:rsid w:val="00A01371"/>
    <w:rsid w:val="00A01681"/>
    <w:rsid w:val="00A016AB"/>
    <w:rsid w:val="00A01F43"/>
    <w:rsid w:val="00A02F66"/>
    <w:rsid w:val="00A030F5"/>
    <w:rsid w:val="00A031AE"/>
    <w:rsid w:val="00A03B0E"/>
    <w:rsid w:val="00A04B10"/>
    <w:rsid w:val="00A04DC8"/>
    <w:rsid w:val="00A057A5"/>
    <w:rsid w:val="00A05892"/>
    <w:rsid w:val="00A06CCB"/>
    <w:rsid w:val="00A077B5"/>
    <w:rsid w:val="00A07C6A"/>
    <w:rsid w:val="00A10411"/>
    <w:rsid w:val="00A10CE3"/>
    <w:rsid w:val="00A10E86"/>
    <w:rsid w:val="00A1107E"/>
    <w:rsid w:val="00A11596"/>
    <w:rsid w:val="00A117B4"/>
    <w:rsid w:val="00A11BC4"/>
    <w:rsid w:val="00A120CC"/>
    <w:rsid w:val="00A1210C"/>
    <w:rsid w:val="00A129FE"/>
    <w:rsid w:val="00A13065"/>
    <w:rsid w:val="00A13882"/>
    <w:rsid w:val="00A13915"/>
    <w:rsid w:val="00A13C75"/>
    <w:rsid w:val="00A1446C"/>
    <w:rsid w:val="00A15304"/>
    <w:rsid w:val="00A155B0"/>
    <w:rsid w:val="00A16409"/>
    <w:rsid w:val="00A16417"/>
    <w:rsid w:val="00A16671"/>
    <w:rsid w:val="00A1740E"/>
    <w:rsid w:val="00A178D4"/>
    <w:rsid w:val="00A178DF"/>
    <w:rsid w:val="00A17993"/>
    <w:rsid w:val="00A21003"/>
    <w:rsid w:val="00A212A2"/>
    <w:rsid w:val="00A21695"/>
    <w:rsid w:val="00A21B3D"/>
    <w:rsid w:val="00A21D9E"/>
    <w:rsid w:val="00A21F91"/>
    <w:rsid w:val="00A22CE1"/>
    <w:rsid w:val="00A23578"/>
    <w:rsid w:val="00A23F84"/>
    <w:rsid w:val="00A2547C"/>
    <w:rsid w:val="00A2631E"/>
    <w:rsid w:val="00A26BC8"/>
    <w:rsid w:val="00A27BFE"/>
    <w:rsid w:val="00A30007"/>
    <w:rsid w:val="00A302C3"/>
    <w:rsid w:val="00A30A5C"/>
    <w:rsid w:val="00A31282"/>
    <w:rsid w:val="00A312CC"/>
    <w:rsid w:val="00A31390"/>
    <w:rsid w:val="00A31FE8"/>
    <w:rsid w:val="00A32165"/>
    <w:rsid w:val="00A322BB"/>
    <w:rsid w:val="00A33BA3"/>
    <w:rsid w:val="00A34095"/>
    <w:rsid w:val="00A348A7"/>
    <w:rsid w:val="00A348F8"/>
    <w:rsid w:val="00A3533A"/>
    <w:rsid w:val="00A36388"/>
    <w:rsid w:val="00A36A91"/>
    <w:rsid w:val="00A37A0D"/>
    <w:rsid w:val="00A3E312"/>
    <w:rsid w:val="00A402DD"/>
    <w:rsid w:val="00A40302"/>
    <w:rsid w:val="00A40889"/>
    <w:rsid w:val="00A40AEC"/>
    <w:rsid w:val="00A42569"/>
    <w:rsid w:val="00A428B5"/>
    <w:rsid w:val="00A42900"/>
    <w:rsid w:val="00A4294E"/>
    <w:rsid w:val="00A432D8"/>
    <w:rsid w:val="00A433FC"/>
    <w:rsid w:val="00A434D6"/>
    <w:rsid w:val="00A4443C"/>
    <w:rsid w:val="00A45A99"/>
    <w:rsid w:val="00A478C5"/>
    <w:rsid w:val="00A47B55"/>
    <w:rsid w:val="00A5111A"/>
    <w:rsid w:val="00A515CB"/>
    <w:rsid w:val="00A52684"/>
    <w:rsid w:val="00A52C98"/>
    <w:rsid w:val="00A53801"/>
    <w:rsid w:val="00A5394A"/>
    <w:rsid w:val="00A543E4"/>
    <w:rsid w:val="00A544B5"/>
    <w:rsid w:val="00A54D2F"/>
    <w:rsid w:val="00A54D6A"/>
    <w:rsid w:val="00A55EDF"/>
    <w:rsid w:val="00A565B0"/>
    <w:rsid w:val="00A5676E"/>
    <w:rsid w:val="00A5752A"/>
    <w:rsid w:val="00A575CC"/>
    <w:rsid w:val="00A5765C"/>
    <w:rsid w:val="00A57E0D"/>
    <w:rsid w:val="00A600D4"/>
    <w:rsid w:val="00A60E04"/>
    <w:rsid w:val="00A61754"/>
    <w:rsid w:val="00A61E8B"/>
    <w:rsid w:val="00A63A04"/>
    <w:rsid w:val="00A63C26"/>
    <w:rsid w:val="00A64529"/>
    <w:rsid w:val="00A65610"/>
    <w:rsid w:val="00A65A11"/>
    <w:rsid w:val="00A65C01"/>
    <w:rsid w:val="00A65F85"/>
    <w:rsid w:val="00A661E4"/>
    <w:rsid w:val="00A662F8"/>
    <w:rsid w:val="00A7044B"/>
    <w:rsid w:val="00A70855"/>
    <w:rsid w:val="00A710F0"/>
    <w:rsid w:val="00A71167"/>
    <w:rsid w:val="00A7126C"/>
    <w:rsid w:val="00A71622"/>
    <w:rsid w:val="00A71BA0"/>
    <w:rsid w:val="00A724AB"/>
    <w:rsid w:val="00A724BF"/>
    <w:rsid w:val="00A72FD4"/>
    <w:rsid w:val="00A735D1"/>
    <w:rsid w:val="00A74FF3"/>
    <w:rsid w:val="00A75B52"/>
    <w:rsid w:val="00A76062"/>
    <w:rsid w:val="00A76821"/>
    <w:rsid w:val="00A771AC"/>
    <w:rsid w:val="00A7726C"/>
    <w:rsid w:val="00A7763F"/>
    <w:rsid w:val="00A777DE"/>
    <w:rsid w:val="00A81D56"/>
    <w:rsid w:val="00A81DA7"/>
    <w:rsid w:val="00A82025"/>
    <w:rsid w:val="00A824CA"/>
    <w:rsid w:val="00A82CC2"/>
    <w:rsid w:val="00A83768"/>
    <w:rsid w:val="00A84513"/>
    <w:rsid w:val="00A847BC"/>
    <w:rsid w:val="00A84C72"/>
    <w:rsid w:val="00A85516"/>
    <w:rsid w:val="00A85969"/>
    <w:rsid w:val="00A85BBB"/>
    <w:rsid w:val="00A85CC4"/>
    <w:rsid w:val="00A85D3F"/>
    <w:rsid w:val="00A860C8"/>
    <w:rsid w:val="00A86D88"/>
    <w:rsid w:val="00A875E3"/>
    <w:rsid w:val="00A9071F"/>
    <w:rsid w:val="00A91724"/>
    <w:rsid w:val="00A923AD"/>
    <w:rsid w:val="00A93124"/>
    <w:rsid w:val="00A9429B"/>
    <w:rsid w:val="00A942CF"/>
    <w:rsid w:val="00A9462F"/>
    <w:rsid w:val="00A948FC"/>
    <w:rsid w:val="00A95547"/>
    <w:rsid w:val="00A956F9"/>
    <w:rsid w:val="00A95762"/>
    <w:rsid w:val="00A97063"/>
    <w:rsid w:val="00A972D6"/>
    <w:rsid w:val="00A97573"/>
    <w:rsid w:val="00AA01AA"/>
    <w:rsid w:val="00AA06A0"/>
    <w:rsid w:val="00AA07BD"/>
    <w:rsid w:val="00AA09CD"/>
    <w:rsid w:val="00AA11EC"/>
    <w:rsid w:val="00AA4413"/>
    <w:rsid w:val="00AA4C10"/>
    <w:rsid w:val="00AA4DF9"/>
    <w:rsid w:val="00AA700E"/>
    <w:rsid w:val="00AA738B"/>
    <w:rsid w:val="00AA7B5E"/>
    <w:rsid w:val="00AB3415"/>
    <w:rsid w:val="00AB3491"/>
    <w:rsid w:val="00AB3C86"/>
    <w:rsid w:val="00AB4123"/>
    <w:rsid w:val="00AB4813"/>
    <w:rsid w:val="00AB56F2"/>
    <w:rsid w:val="00AB61B9"/>
    <w:rsid w:val="00AB6541"/>
    <w:rsid w:val="00AB681F"/>
    <w:rsid w:val="00AB6B07"/>
    <w:rsid w:val="00AB7A9B"/>
    <w:rsid w:val="00AB7D29"/>
    <w:rsid w:val="00AC1B52"/>
    <w:rsid w:val="00AC1E3C"/>
    <w:rsid w:val="00AC2814"/>
    <w:rsid w:val="00AC2A7E"/>
    <w:rsid w:val="00AC2E49"/>
    <w:rsid w:val="00AC3669"/>
    <w:rsid w:val="00AC3B64"/>
    <w:rsid w:val="00AC41A7"/>
    <w:rsid w:val="00AC54C5"/>
    <w:rsid w:val="00AC59FC"/>
    <w:rsid w:val="00AC5DD4"/>
    <w:rsid w:val="00AC6077"/>
    <w:rsid w:val="00AC624E"/>
    <w:rsid w:val="00AC6880"/>
    <w:rsid w:val="00AC7B95"/>
    <w:rsid w:val="00AD0DEA"/>
    <w:rsid w:val="00AD11A9"/>
    <w:rsid w:val="00AD23B4"/>
    <w:rsid w:val="00AD2BF4"/>
    <w:rsid w:val="00AD2E91"/>
    <w:rsid w:val="00AD3A82"/>
    <w:rsid w:val="00AD49F1"/>
    <w:rsid w:val="00AD4F0D"/>
    <w:rsid w:val="00AD5E21"/>
    <w:rsid w:val="00AD6787"/>
    <w:rsid w:val="00AD67D4"/>
    <w:rsid w:val="00AD68AC"/>
    <w:rsid w:val="00AD695B"/>
    <w:rsid w:val="00AD6AF7"/>
    <w:rsid w:val="00AD6B6B"/>
    <w:rsid w:val="00AD6FD3"/>
    <w:rsid w:val="00AD707F"/>
    <w:rsid w:val="00AE066D"/>
    <w:rsid w:val="00AE1491"/>
    <w:rsid w:val="00AE1B11"/>
    <w:rsid w:val="00AE2861"/>
    <w:rsid w:val="00AE2B72"/>
    <w:rsid w:val="00AE3799"/>
    <w:rsid w:val="00AE46EE"/>
    <w:rsid w:val="00AE4854"/>
    <w:rsid w:val="00AE5033"/>
    <w:rsid w:val="00AE513B"/>
    <w:rsid w:val="00AE610D"/>
    <w:rsid w:val="00AE65BE"/>
    <w:rsid w:val="00AE65DF"/>
    <w:rsid w:val="00AE6EFD"/>
    <w:rsid w:val="00AE781A"/>
    <w:rsid w:val="00AE784C"/>
    <w:rsid w:val="00AF045A"/>
    <w:rsid w:val="00AF15AA"/>
    <w:rsid w:val="00AF1831"/>
    <w:rsid w:val="00AF1EE8"/>
    <w:rsid w:val="00AF34A3"/>
    <w:rsid w:val="00AF3F38"/>
    <w:rsid w:val="00AF4229"/>
    <w:rsid w:val="00AF459B"/>
    <w:rsid w:val="00AF5960"/>
    <w:rsid w:val="00AF6514"/>
    <w:rsid w:val="00AF6AB5"/>
    <w:rsid w:val="00B007AA"/>
    <w:rsid w:val="00B00C5F"/>
    <w:rsid w:val="00B010CD"/>
    <w:rsid w:val="00B01CB7"/>
    <w:rsid w:val="00B020FD"/>
    <w:rsid w:val="00B02125"/>
    <w:rsid w:val="00B041C8"/>
    <w:rsid w:val="00B046DA"/>
    <w:rsid w:val="00B05019"/>
    <w:rsid w:val="00B05A8F"/>
    <w:rsid w:val="00B05F2D"/>
    <w:rsid w:val="00B05F3E"/>
    <w:rsid w:val="00B063D8"/>
    <w:rsid w:val="00B065EC"/>
    <w:rsid w:val="00B06DD2"/>
    <w:rsid w:val="00B07025"/>
    <w:rsid w:val="00B07144"/>
    <w:rsid w:val="00B07260"/>
    <w:rsid w:val="00B07AAF"/>
    <w:rsid w:val="00B104F5"/>
    <w:rsid w:val="00B10579"/>
    <w:rsid w:val="00B11779"/>
    <w:rsid w:val="00B11A4E"/>
    <w:rsid w:val="00B12263"/>
    <w:rsid w:val="00B13834"/>
    <w:rsid w:val="00B138B8"/>
    <w:rsid w:val="00B13F16"/>
    <w:rsid w:val="00B15C8C"/>
    <w:rsid w:val="00B15E69"/>
    <w:rsid w:val="00B1620E"/>
    <w:rsid w:val="00B1738B"/>
    <w:rsid w:val="00B175BF"/>
    <w:rsid w:val="00B1784C"/>
    <w:rsid w:val="00B1791E"/>
    <w:rsid w:val="00B20D69"/>
    <w:rsid w:val="00B211E4"/>
    <w:rsid w:val="00B227A3"/>
    <w:rsid w:val="00B22DF9"/>
    <w:rsid w:val="00B22F54"/>
    <w:rsid w:val="00B233D1"/>
    <w:rsid w:val="00B23451"/>
    <w:rsid w:val="00B23598"/>
    <w:rsid w:val="00B23D77"/>
    <w:rsid w:val="00B241DE"/>
    <w:rsid w:val="00B2434D"/>
    <w:rsid w:val="00B26270"/>
    <w:rsid w:val="00B26D3A"/>
    <w:rsid w:val="00B273C8"/>
    <w:rsid w:val="00B27529"/>
    <w:rsid w:val="00B2755B"/>
    <w:rsid w:val="00B2759F"/>
    <w:rsid w:val="00B27CA5"/>
    <w:rsid w:val="00B30657"/>
    <w:rsid w:val="00B3089B"/>
    <w:rsid w:val="00B30A3A"/>
    <w:rsid w:val="00B31048"/>
    <w:rsid w:val="00B31E2D"/>
    <w:rsid w:val="00B31F7B"/>
    <w:rsid w:val="00B31F92"/>
    <w:rsid w:val="00B33671"/>
    <w:rsid w:val="00B34873"/>
    <w:rsid w:val="00B34A04"/>
    <w:rsid w:val="00B35471"/>
    <w:rsid w:val="00B3583D"/>
    <w:rsid w:val="00B35E31"/>
    <w:rsid w:val="00B360D5"/>
    <w:rsid w:val="00B368BF"/>
    <w:rsid w:val="00B36C8F"/>
    <w:rsid w:val="00B374CB"/>
    <w:rsid w:val="00B407E7"/>
    <w:rsid w:val="00B41AD0"/>
    <w:rsid w:val="00B41C49"/>
    <w:rsid w:val="00B4260E"/>
    <w:rsid w:val="00B42D04"/>
    <w:rsid w:val="00B43183"/>
    <w:rsid w:val="00B43206"/>
    <w:rsid w:val="00B434AD"/>
    <w:rsid w:val="00B43E7F"/>
    <w:rsid w:val="00B44119"/>
    <w:rsid w:val="00B44176"/>
    <w:rsid w:val="00B441E5"/>
    <w:rsid w:val="00B44360"/>
    <w:rsid w:val="00B448C7"/>
    <w:rsid w:val="00B44B4D"/>
    <w:rsid w:val="00B458EA"/>
    <w:rsid w:val="00B45E4B"/>
    <w:rsid w:val="00B4646E"/>
    <w:rsid w:val="00B467D3"/>
    <w:rsid w:val="00B46A47"/>
    <w:rsid w:val="00B47EF0"/>
    <w:rsid w:val="00B50154"/>
    <w:rsid w:val="00B517AC"/>
    <w:rsid w:val="00B51C7D"/>
    <w:rsid w:val="00B51FAC"/>
    <w:rsid w:val="00B52159"/>
    <w:rsid w:val="00B5251B"/>
    <w:rsid w:val="00B5273B"/>
    <w:rsid w:val="00B52A2C"/>
    <w:rsid w:val="00B53327"/>
    <w:rsid w:val="00B53D3D"/>
    <w:rsid w:val="00B54C8A"/>
    <w:rsid w:val="00B54D3F"/>
    <w:rsid w:val="00B55695"/>
    <w:rsid w:val="00B570AD"/>
    <w:rsid w:val="00B57B6A"/>
    <w:rsid w:val="00B57F73"/>
    <w:rsid w:val="00B57FCA"/>
    <w:rsid w:val="00B60236"/>
    <w:rsid w:val="00B6199A"/>
    <w:rsid w:val="00B61CEB"/>
    <w:rsid w:val="00B627DE"/>
    <w:rsid w:val="00B62AE3"/>
    <w:rsid w:val="00B62F1F"/>
    <w:rsid w:val="00B63873"/>
    <w:rsid w:val="00B63C30"/>
    <w:rsid w:val="00B63FCA"/>
    <w:rsid w:val="00B642B3"/>
    <w:rsid w:val="00B64EEB"/>
    <w:rsid w:val="00B65AE3"/>
    <w:rsid w:val="00B65B61"/>
    <w:rsid w:val="00B6623F"/>
    <w:rsid w:val="00B666B1"/>
    <w:rsid w:val="00B66C71"/>
    <w:rsid w:val="00B70B24"/>
    <w:rsid w:val="00B7138C"/>
    <w:rsid w:val="00B717DA"/>
    <w:rsid w:val="00B71EA4"/>
    <w:rsid w:val="00B72A7A"/>
    <w:rsid w:val="00B72BBF"/>
    <w:rsid w:val="00B72E40"/>
    <w:rsid w:val="00B736AA"/>
    <w:rsid w:val="00B738FC"/>
    <w:rsid w:val="00B73D6E"/>
    <w:rsid w:val="00B74403"/>
    <w:rsid w:val="00B748A4"/>
    <w:rsid w:val="00B75912"/>
    <w:rsid w:val="00B76C06"/>
    <w:rsid w:val="00B778A4"/>
    <w:rsid w:val="00B805AD"/>
    <w:rsid w:val="00B80BE2"/>
    <w:rsid w:val="00B810EB"/>
    <w:rsid w:val="00B8313A"/>
    <w:rsid w:val="00B83DC8"/>
    <w:rsid w:val="00B84282"/>
    <w:rsid w:val="00B856E4"/>
    <w:rsid w:val="00B85A08"/>
    <w:rsid w:val="00B87564"/>
    <w:rsid w:val="00B91BE1"/>
    <w:rsid w:val="00B92178"/>
    <w:rsid w:val="00B9232C"/>
    <w:rsid w:val="00B923C2"/>
    <w:rsid w:val="00B92664"/>
    <w:rsid w:val="00B9360D"/>
    <w:rsid w:val="00B937DC"/>
    <w:rsid w:val="00B9428B"/>
    <w:rsid w:val="00B948EC"/>
    <w:rsid w:val="00B94B9A"/>
    <w:rsid w:val="00B95603"/>
    <w:rsid w:val="00B9603F"/>
    <w:rsid w:val="00B973D8"/>
    <w:rsid w:val="00B97DEB"/>
    <w:rsid w:val="00BA1219"/>
    <w:rsid w:val="00BA15DA"/>
    <w:rsid w:val="00BA1F07"/>
    <w:rsid w:val="00BA20AA"/>
    <w:rsid w:val="00BA2B5C"/>
    <w:rsid w:val="00BA37E1"/>
    <w:rsid w:val="00BA3BBF"/>
    <w:rsid w:val="00BA4116"/>
    <w:rsid w:val="00BA416F"/>
    <w:rsid w:val="00BA43FF"/>
    <w:rsid w:val="00BA4535"/>
    <w:rsid w:val="00BA4B80"/>
    <w:rsid w:val="00BA4F8E"/>
    <w:rsid w:val="00BA5CF9"/>
    <w:rsid w:val="00BA5E98"/>
    <w:rsid w:val="00BA5F3B"/>
    <w:rsid w:val="00BA693C"/>
    <w:rsid w:val="00BA6C21"/>
    <w:rsid w:val="00BA6C66"/>
    <w:rsid w:val="00BA7204"/>
    <w:rsid w:val="00BA7650"/>
    <w:rsid w:val="00BA7CE0"/>
    <w:rsid w:val="00BB00A0"/>
    <w:rsid w:val="00BB03DB"/>
    <w:rsid w:val="00BB1578"/>
    <w:rsid w:val="00BB277A"/>
    <w:rsid w:val="00BB2AFB"/>
    <w:rsid w:val="00BB2FD9"/>
    <w:rsid w:val="00BB3150"/>
    <w:rsid w:val="00BB35EC"/>
    <w:rsid w:val="00BB4288"/>
    <w:rsid w:val="00BB4419"/>
    <w:rsid w:val="00BB49CF"/>
    <w:rsid w:val="00BB4DDC"/>
    <w:rsid w:val="00BB5F04"/>
    <w:rsid w:val="00BB68F8"/>
    <w:rsid w:val="00BB6EC9"/>
    <w:rsid w:val="00BB7269"/>
    <w:rsid w:val="00BB7518"/>
    <w:rsid w:val="00BC04DB"/>
    <w:rsid w:val="00BC072C"/>
    <w:rsid w:val="00BC0785"/>
    <w:rsid w:val="00BC0789"/>
    <w:rsid w:val="00BC0C8E"/>
    <w:rsid w:val="00BC16AA"/>
    <w:rsid w:val="00BC2078"/>
    <w:rsid w:val="00BC2216"/>
    <w:rsid w:val="00BC278E"/>
    <w:rsid w:val="00BC34DF"/>
    <w:rsid w:val="00BC438D"/>
    <w:rsid w:val="00BC4B1B"/>
    <w:rsid w:val="00BC5262"/>
    <w:rsid w:val="00BC6C40"/>
    <w:rsid w:val="00BC7417"/>
    <w:rsid w:val="00BD0ECC"/>
    <w:rsid w:val="00BD0F02"/>
    <w:rsid w:val="00BD1559"/>
    <w:rsid w:val="00BD1768"/>
    <w:rsid w:val="00BD2676"/>
    <w:rsid w:val="00BD27E8"/>
    <w:rsid w:val="00BD3BD4"/>
    <w:rsid w:val="00BD4E23"/>
    <w:rsid w:val="00BD55B2"/>
    <w:rsid w:val="00BD584D"/>
    <w:rsid w:val="00BD615C"/>
    <w:rsid w:val="00BD76CB"/>
    <w:rsid w:val="00BD79ED"/>
    <w:rsid w:val="00BE0187"/>
    <w:rsid w:val="00BE2223"/>
    <w:rsid w:val="00BE2421"/>
    <w:rsid w:val="00BE2E81"/>
    <w:rsid w:val="00BE309D"/>
    <w:rsid w:val="00BE34DD"/>
    <w:rsid w:val="00BE37A2"/>
    <w:rsid w:val="00BE4601"/>
    <w:rsid w:val="00BE487E"/>
    <w:rsid w:val="00BE57A6"/>
    <w:rsid w:val="00BE593F"/>
    <w:rsid w:val="00BE6B34"/>
    <w:rsid w:val="00BE7209"/>
    <w:rsid w:val="00BE7472"/>
    <w:rsid w:val="00BF0425"/>
    <w:rsid w:val="00BF2D09"/>
    <w:rsid w:val="00BF2E6A"/>
    <w:rsid w:val="00BF4087"/>
    <w:rsid w:val="00BF424C"/>
    <w:rsid w:val="00BF4D06"/>
    <w:rsid w:val="00BF513F"/>
    <w:rsid w:val="00BF5BA4"/>
    <w:rsid w:val="00BF6442"/>
    <w:rsid w:val="00BF66E1"/>
    <w:rsid w:val="00BF7652"/>
    <w:rsid w:val="00BF7835"/>
    <w:rsid w:val="00BF7EAF"/>
    <w:rsid w:val="00C0200A"/>
    <w:rsid w:val="00C0217E"/>
    <w:rsid w:val="00C0224E"/>
    <w:rsid w:val="00C02405"/>
    <w:rsid w:val="00C02490"/>
    <w:rsid w:val="00C02FD9"/>
    <w:rsid w:val="00C03506"/>
    <w:rsid w:val="00C040D5"/>
    <w:rsid w:val="00C04337"/>
    <w:rsid w:val="00C04E39"/>
    <w:rsid w:val="00C0532E"/>
    <w:rsid w:val="00C057AB"/>
    <w:rsid w:val="00C05970"/>
    <w:rsid w:val="00C060CB"/>
    <w:rsid w:val="00C06118"/>
    <w:rsid w:val="00C065D2"/>
    <w:rsid w:val="00C06C72"/>
    <w:rsid w:val="00C07855"/>
    <w:rsid w:val="00C07BF1"/>
    <w:rsid w:val="00C10F14"/>
    <w:rsid w:val="00C11815"/>
    <w:rsid w:val="00C11A1F"/>
    <w:rsid w:val="00C12193"/>
    <w:rsid w:val="00C12747"/>
    <w:rsid w:val="00C1278E"/>
    <w:rsid w:val="00C12ABB"/>
    <w:rsid w:val="00C12DCF"/>
    <w:rsid w:val="00C132A8"/>
    <w:rsid w:val="00C138B6"/>
    <w:rsid w:val="00C14550"/>
    <w:rsid w:val="00C145CE"/>
    <w:rsid w:val="00C148B6"/>
    <w:rsid w:val="00C14DE1"/>
    <w:rsid w:val="00C15AE6"/>
    <w:rsid w:val="00C15BD0"/>
    <w:rsid w:val="00C161F0"/>
    <w:rsid w:val="00C162F6"/>
    <w:rsid w:val="00C16E15"/>
    <w:rsid w:val="00C170B7"/>
    <w:rsid w:val="00C1781F"/>
    <w:rsid w:val="00C17E6B"/>
    <w:rsid w:val="00C17FDD"/>
    <w:rsid w:val="00C20536"/>
    <w:rsid w:val="00C224C2"/>
    <w:rsid w:val="00C22AC2"/>
    <w:rsid w:val="00C22DF6"/>
    <w:rsid w:val="00C234E9"/>
    <w:rsid w:val="00C2441E"/>
    <w:rsid w:val="00C24BE7"/>
    <w:rsid w:val="00C24E96"/>
    <w:rsid w:val="00C250DE"/>
    <w:rsid w:val="00C254AB"/>
    <w:rsid w:val="00C255C3"/>
    <w:rsid w:val="00C25955"/>
    <w:rsid w:val="00C269B5"/>
    <w:rsid w:val="00C26FB7"/>
    <w:rsid w:val="00C2744D"/>
    <w:rsid w:val="00C27A6E"/>
    <w:rsid w:val="00C27DDD"/>
    <w:rsid w:val="00C30196"/>
    <w:rsid w:val="00C3041F"/>
    <w:rsid w:val="00C31BB3"/>
    <w:rsid w:val="00C32089"/>
    <w:rsid w:val="00C3268E"/>
    <w:rsid w:val="00C3288C"/>
    <w:rsid w:val="00C3437B"/>
    <w:rsid w:val="00C34530"/>
    <w:rsid w:val="00C34DF4"/>
    <w:rsid w:val="00C35425"/>
    <w:rsid w:val="00C35E01"/>
    <w:rsid w:val="00C36EFE"/>
    <w:rsid w:val="00C37ED0"/>
    <w:rsid w:val="00C41469"/>
    <w:rsid w:val="00C42851"/>
    <w:rsid w:val="00C429FE"/>
    <w:rsid w:val="00C42C0B"/>
    <w:rsid w:val="00C43233"/>
    <w:rsid w:val="00C4349C"/>
    <w:rsid w:val="00C43FEA"/>
    <w:rsid w:val="00C44397"/>
    <w:rsid w:val="00C44E5E"/>
    <w:rsid w:val="00C45248"/>
    <w:rsid w:val="00C46A8C"/>
    <w:rsid w:val="00C47F56"/>
    <w:rsid w:val="00C52865"/>
    <w:rsid w:val="00C5296E"/>
    <w:rsid w:val="00C52A2D"/>
    <w:rsid w:val="00C53179"/>
    <w:rsid w:val="00C54844"/>
    <w:rsid w:val="00C548A6"/>
    <w:rsid w:val="00C54915"/>
    <w:rsid w:val="00C55EEC"/>
    <w:rsid w:val="00C562CA"/>
    <w:rsid w:val="00C5646A"/>
    <w:rsid w:val="00C56CAF"/>
    <w:rsid w:val="00C571F4"/>
    <w:rsid w:val="00C6008B"/>
    <w:rsid w:val="00C602E9"/>
    <w:rsid w:val="00C619F5"/>
    <w:rsid w:val="00C61A1A"/>
    <w:rsid w:val="00C62ADA"/>
    <w:rsid w:val="00C62FDD"/>
    <w:rsid w:val="00C63153"/>
    <w:rsid w:val="00C638CA"/>
    <w:rsid w:val="00C64172"/>
    <w:rsid w:val="00C6448D"/>
    <w:rsid w:val="00C64CA7"/>
    <w:rsid w:val="00C6654D"/>
    <w:rsid w:val="00C669F8"/>
    <w:rsid w:val="00C66A6E"/>
    <w:rsid w:val="00C66C7F"/>
    <w:rsid w:val="00C674BC"/>
    <w:rsid w:val="00C70262"/>
    <w:rsid w:val="00C70B61"/>
    <w:rsid w:val="00C70B6D"/>
    <w:rsid w:val="00C7130D"/>
    <w:rsid w:val="00C715FC"/>
    <w:rsid w:val="00C71DA9"/>
    <w:rsid w:val="00C724F8"/>
    <w:rsid w:val="00C73A9D"/>
    <w:rsid w:val="00C742D5"/>
    <w:rsid w:val="00C74791"/>
    <w:rsid w:val="00C752C2"/>
    <w:rsid w:val="00C755E6"/>
    <w:rsid w:val="00C760A9"/>
    <w:rsid w:val="00C76200"/>
    <w:rsid w:val="00C769D4"/>
    <w:rsid w:val="00C7706B"/>
    <w:rsid w:val="00C77D08"/>
    <w:rsid w:val="00C77F70"/>
    <w:rsid w:val="00C80000"/>
    <w:rsid w:val="00C80186"/>
    <w:rsid w:val="00C8177F"/>
    <w:rsid w:val="00C818A8"/>
    <w:rsid w:val="00C81B55"/>
    <w:rsid w:val="00C82D27"/>
    <w:rsid w:val="00C83190"/>
    <w:rsid w:val="00C83302"/>
    <w:rsid w:val="00C83CD9"/>
    <w:rsid w:val="00C83F8C"/>
    <w:rsid w:val="00C84B68"/>
    <w:rsid w:val="00C8582E"/>
    <w:rsid w:val="00C87E50"/>
    <w:rsid w:val="00C90146"/>
    <w:rsid w:val="00C903A2"/>
    <w:rsid w:val="00C90F10"/>
    <w:rsid w:val="00C9101B"/>
    <w:rsid w:val="00C91A3B"/>
    <w:rsid w:val="00C9210F"/>
    <w:rsid w:val="00C925E1"/>
    <w:rsid w:val="00C92E9F"/>
    <w:rsid w:val="00C93285"/>
    <w:rsid w:val="00C9335C"/>
    <w:rsid w:val="00C937EC"/>
    <w:rsid w:val="00C946D7"/>
    <w:rsid w:val="00C94D9C"/>
    <w:rsid w:val="00C95730"/>
    <w:rsid w:val="00C95BDC"/>
    <w:rsid w:val="00C95C32"/>
    <w:rsid w:val="00C96204"/>
    <w:rsid w:val="00C96BDE"/>
    <w:rsid w:val="00C96D10"/>
    <w:rsid w:val="00C97542"/>
    <w:rsid w:val="00C97646"/>
    <w:rsid w:val="00CA06FF"/>
    <w:rsid w:val="00CA1203"/>
    <w:rsid w:val="00CA2143"/>
    <w:rsid w:val="00CA2617"/>
    <w:rsid w:val="00CA2AAA"/>
    <w:rsid w:val="00CA2D61"/>
    <w:rsid w:val="00CA4D7F"/>
    <w:rsid w:val="00CA4FB8"/>
    <w:rsid w:val="00CA53DB"/>
    <w:rsid w:val="00CA607E"/>
    <w:rsid w:val="00CA60DD"/>
    <w:rsid w:val="00CA69AF"/>
    <w:rsid w:val="00CA6C59"/>
    <w:rsid w:val="00CA785D"/>
    <w:rsid w:val="00CB0A69"/>
    <w:rsid w:val="00CB0DE7"/>
    <w:rsid w:val="00CB0FAE"/>
    <w:rsid w:val="00CB1167"/>
    <w:rsid w:val="00CB1E3E"/>
    <w:rsid w:val="00CB1F64"/>
    <w:rsid w:val="00CB2145"/>
    <w:rsid w:val="00CB241E"/>
    <w:rsid w:val="00CB2C36"/>
    <w:rsid w:val="00CB3037"/>
    <w:rsid w:val="00CB30C3"/>
    <w:rsid w:val="00CB46F4"/>
    <w:rsid w:val="00CB4D6E"/>
    <w:rsid w:val="00CB5560"/>
    <w:rsid w:val="00CB62AA"/>
    <w:rsid w:val="00CB6E1B"/>
    <w:rsid w:val="00CB70E2"/>
    <w:rsid w:val="00CB75C5"/>
    <w:rsid w:val="00CB796D"/>
    <w:rsid w:val="00CC0202"/>
    <w:rsid w:val="00CC079F"/>
    <w:rsid w:val="00CC33E9"/>
    <w:rsid w:val="00CC3DD7"/>
    <w:rsid w:val="00CC3F55"/>
    <w:rsid w:val="00CC425E"/>
    <w:rsid w:val="00CC4A70"/>
    <w:rsid w:val="00CC4CFD"/>
    <w:rsid w:val="00CC5056"/>
    <w:rsid w:val="00CC5473"/>
    <w:rsid w:val="00CC5864"/>
    <w:rsid w:val="00CC5E17"/>
    <w:rsid w:val="00CC6866"/>
    <w:rsid w:val="00CC6955"/>
    <w:rsid w:val="00CC7115"/>
    <w:rsid w:val="00CC7258"/>
    <w:rsid w:val="00CD0C3F"/>
    <w:rsid w:val="00CD0F18"/>
    <w:rsid w:val="00CD268A"/>
    <w:rsid w:val="00CD26CC"/>
    <w:rsid w:val="00CD2A32"/>
    <w:rsid w:val="00CD2B12"/>
    <w:rsid w:val="00CD32DF"/>
    <w:rsid w:val="00CD3978"/>
    <w:rsid w:val="00CD505A"/>
    <w:rsid w:val="00CD572E"/>
    <w:rsid w:val="00CD606D"/>
    <w:rsid w:val="00CD6251"/>
    <w:rsid w:val="00CD6299"/>
    <w:rsid w:val="00CD6DBE"/>
    <w:rsid w:val="00CD70D2"/>
    <w:rsid w:val="00CD7C43"/>
    <w:rsid w:val="00CE060C"/>
    <w:rsid w:val="00CE29D1"/>
    <w:rsid w:val="00CE34BC"/>
    <w:rsid w:val="00CE3B56"/>
    <w:rsid w:val="00CE45D3"/>
    <w:rsid w:val="00CE4ACB"/>
    <w:rsid w:val="00CE4C99"/>
    <w:rsid w:val="00CE5B17"/>
    <w:rsid w:val="00CE6332"/>
    <w:rsid w:val="00CE6335"/>
    <w:rsid w:val="00CE7BAE"/>
    <w:rsid w:val="00CF0EBE"/>
    <w:rsid w:val="00CF1022"/>
    <w:rsid w:val="00CF1412"/>
    <w:rsid w:val="00CF1B08"/>
    <w:rsid w:val="00CF3E4C"/>
    <w:rsid w:val="00CF4406"/>
    <w:rsid w:val="00CF5146"/>
    <w:rsid w:val="00CF56C0"/>
    <w:rsid w:val="00CF606F"/>
    <w:rsid w:val="00CF60D5"/>
    <w:rsid w:val="00CF6638"/>
    <w:rsid w:val="00CF6CA3"/>
    <w:rsid w:val="00CF6D31"/>
    <w:rsid w:val="00CF6E7F"/>
    <w:rsid w:val="00CF6EC4"/>
    <w:rsid w:val="00CF712A"/>
    <w:rsid w:val="00CF74B0"/>
    <w:rsid w:val="00CF77CE"/>
    <w:rsid w:val="00D00834"/>
    <w:rsid w:val="00D018EC"/>
    <w:rsid w:val="00D01D81"/>
    <w:rsid w:val="00D01FA7"/>
    <w:rsid w:val="00D03717"/>
    <w:rsid w:val="00D04F44"/>
    <w:rsid w:val="00D04F5F"/>
    <w:rsid w:val="00D053D3"/>
    <w:rsid w:val="00D05AC8"/>
    <w:rsid w:val="00D05F79"/>
    <w:rsid w:val="00D063A6"/>
    <w:rsid w:val="00D0699B"/>
    <w:rsid w:val="00D07E10"/>
    <w:rsid w:val="00D10223"/>
    <w:rsid w:val="00D10411"/>
    <w:rsid w:val="00D12256"/>
    <w:rsid w:val="00D12B7A"/>
    <w:rsid w:val="00D13263"/>
    <w:rsid w:val="00D1493D"/>
    <w:rsid w:val="00D149CD"/>
    <w:rsid w:val="00D14FFF"/>
    <w:rsid w:val="00D15098"/>
    <w:rsid w:val="00D1557E"/>
    <w:rsid w:val="00D15E13"/>
    <w:rsid w:val="00D15E23"/>
    <w:rsid w:val="00D17776"/>
    <w:rsid w:val="00D17780"/>
    <w:rsid w:val="00D17B9C"/>
    <w:rsid w:val="00D17F5A"/>
    <w:rsid w:val="00D205CF"/>
    <w:rsid w:val="00D21365"/>
    <w:rsid w:val="00D21619"/>
    <w:rsid w:val="00D216E3"/>
    <w:rsid w:val="00D21D4A"/>
    <w:rsid w:val="00D225AA"/>
    <w:rsid w:val="00D22BFD"/>
    <w:rsid w:val="00D23371"/>
    <w:rsid w:val="00D23BA4"/>
    <w:rsid w:val="00D2526E"/>
    <w:rsid w:val="00D25D24"/>
    <w:rsid w:val="00D26A90"/>
    <w:rsid w:val="00D27508"/>
    <w:rsid w:val="00D277C8"/>
    <w:rsid w:val="00D27E4E"/>
    <w:rsid w:val="00D304D9"/>
    <w:rsid w:val="00D308B8"/>
    <w:rsid w:val="00D30BBE"/>
    <w:rsid w:val="00D30BFC"/>
    <w:rsid w:val="00D314C8"/>
    <w:rsid w:val="00D321A1"/>
    <w:rsid w:val="00D33275"/>
    <w:rsid w:val="00D33314"/>
    <w:rsid w:val="00D33FC5"/>
    <w:rsid w:val="00D34587"/>
    <w:rsid w:val="00D350FA"/>
    <w:rsid w:val="00D3659E"/>
    <w:rsid w:val="00D36870"/>
    <w:rsid w:val="00D378CA"/>
    <w:rsid w:val="00D40806"/>
    <w:rsid w:val="00D40901"/>
    <w:rsid w:val="00D41116"/>
    <w:rsid w:val="00D41498"/>
    <w:rsid w:val="00D4398D"/>
    <w:rsid w:val="00D44B5D"/>
    <w:rsid w:val="00D44EA5"/>
    <w:rsid w:val="00D45F0E"/>
    <w:rsid w:val="00D4708D"/>
    <w:rsid w:val="00D47BB5"/>
    <w:rsid w:val="00D47D28"/>
    <w:rsid w:val="00D50A1E"/>
    <w:rsid w:val="00D50E8D"/>
    <w:rsid w:val="00D5135B"/>
    <w:rsid w:val="00D51BEC"/>
    <w:rsid w:val="00D52138"/>
    <w:rsid w:val="00D52281"/>
    <w:rsid w:val="00D52D66"/>
    <w:rsid w:val="00D5365B"/>
    <w:rsid w:val="00D537C6"/>
    <w:rsid w:val="00D53F66"/>
    <w:rsid w:val="00D5455D"/>
    <w:rsid w:val="00D553D2"/>
    <w:rsid w:val="00D5591F"/>
    <w:rsid w:val="00D55AA1"/>
    <w:rsid w:val="00D55EC1"/>
    <w:rsid w:val="00D561B6"/>
    <w:rsid w:val="00D561F0"/>
    <w:rsid w:val="00D61C91"/>
    <w:rsid w:val="00D621CC"/>
    <w:rsid w:val="00D622C3"/>
    <w:rsid w:val="00D62557"/>
    <w:rsid w:val="00D62F2A"/>
    <w:rsid w:val="00D630C2"/>
    <w:rsid w:val="00D63A60"/>
    <w:rsid w:val="00D63B3D"/>
    <w:rsid w:val="00D63E46"/>
    <w:rsid w:val="00D64419"/>
    <w:rsid w:val="00D64453"/>
    <w:rsid w:val="00D64E7E"/>
    <w:rsid w:val="00D653BD"/>
    <w:rsid w:val="00D65868"/>
    <w:rsid w:val="00D65B98"/>
    <w:rsid w:val="00D665AE"/>
    <w:rsid w:val="00D6706F"/>
    <w:rsid w:val="00D7006B"/>
    <w:rsid w:val="00D706C0"/>
    <w:rsid w:val="00D71095"/>
    <w:rsid w:val="00D71184"/>
    <w:rsid w:val="00D717B3"/>
    <w:rsid w:val="00D718CD"/>
    <w:rsid w:val="00D72A91"/>
    <w:rsid w:val="00D75351"/>
    <w:rsid w:val="00D76224"/>
    <w:rsid w:val="00D76784"/>
    <w:rsid w:val="00D76B80"/>
    <w:rsid w:val="00D77575"/>
    <w:rsid w:val="00D77608"/>
    <w:rsid w:val="00D80434"/>
    <w:rsid w:val="00D806EF"/>
    <w:rsid w:val="00D80A71"/>
    <w:rsid w:val="00D80F18"/>
    <w:rsid w:val="00D8139E"/>
    <w:rsid w:val="00D81816"/>
    <w:rsid w:val="00D83204"/>
    <w:rsid w:val="00D842EB"/>
    <w:rsid w:val="00D854EB"/>
    <w:rsid w:val="00D87316"/>
    <w:rsid w:val="00D8762D"/>
    <w:rsid w:val="00D877B7"/>
    <w:rsid w:val="00D90016"/>
    <w:rsid w:val="00D903EA"/>
    <w:rsid w:val="00D912B2"/>
    <w:rsid w:val="00D912D1"/>
    <w:rsid w:val="00D91457"/>
    <w:rsid w:val="00D92463"/>
    <w:rsid w:val="00D92AE2"/>
    <w:rsid w:val="00D92B61"/>
    <w:rsid w:val="00D92E2E"/>
    <w:rsid w:val="00D9368F"/>
    <w:rsid w:val="00D93B7E"/>
    <w:rsid w:val="00D93BA4"/>
    <w:rsid w:val="00D93F33"/>
    <w:rsid w:val="00D94F74"/>
    <w:rsid w:val="00D9507C"/>
    <w:rsid w:val="00D9568B"/>
    <w:rsid w:val="00D95FD9"/>
    <w:rsid w:val="00D96810"/>
    <w:rsid w:val="00D9773A"/>
    <w:rsid w:val="00D9778B"/>
    <w:rsid w:val="00DA0338"/>
    <w:rsid w:val="00DA16A1"/>
    <w:rsid w:val="00DA2439"/>
    <w:rsid w:val="00DA25FE"/>
    <w:rsid w:val="00DA2796"/>
    <w:rsid w:val="00DA3BAB"/>
    <w:rsid w:val="00DA5172"/>
    <w:rsid w:val="00DA552D"/>
    <w:rsid w:val="00DA7793"/>
    <w:rsid w:val="00DB00EE"/>
    <w:rsid w:val="00DB11F9"/>
    <w:rsid w:val="00DB1C3B"/>
    <w:rsid w:val="00DB2038"/>
    <w:rsid w:val="00DB2D03"/>
    <w:rsid w:val="00DB3063"/>
    <w:rsid w:val="00DB3153"/>
    <w:rsid w:val="00DB37A8"/>
    <w:rsid w:val="00DB44D7"/>
    <w:rsid w:val="00DB4B86"/>
    <w:rsid w:val="00DB55F7"/>
    <w:rsid w:val="00DB5C3A"/>
    <w:rsid w:val="00DB63AB"/>
    <w:rsid w:val="00DB64F2"/>
    <w:rsid w:val="00DB6B0C"/>
    <w:rsid w:val="00DB71DC"/>
    <w:rsid w:val="00DB784A"/>
    <w:rsid w:val="00DB7A28"/>
    <w:rsid w:val="00DB7AC4"/>
    <w:rsid w:val="00DB7F38"/>
    <w:rsid w:val="00DC172C"/>
    <w:rsid w:val="00DC1BB9"/>
    <w:rsid w:val="00DC2076"/>
    <w:rsid w:val="00DC2515"/>
    <w:rsid w:val="00DC307D"/>
    <w:rsid w:val="00DC4499"/>
    <w:rsid w:val="00DC44E0"/>
    <w:rsid w:val="00DC4ECF"/>
    <w:rsid w:val="00DC5032"/>
    <w:rsid w:val="00DC53A1"/>
    <w:rsid w:val="00DC5926"/>
    <w:rsid w:val="00DC5F03"/>
    <w:rsid w:val="00DC6EA6"/>
    <w:rsid w:val="00DC6FE6"/>
    <w:rsid w:val="00DC7415"/>
    <w:rsid w:val="00DD05FC"/>
    <w:rsid w:val="00DD0730"/>
    <w:rsid w:val="00DD11A3"/>
    <w:rsid w:val="00DD24C6"/>
    <w:rsid w:val="00DD2B64"/>
    <w:rsid w:val="00DD3080"/>
    <w:rsid w:val="00DD4AB0"/>
    <w:rsid w:val="00DD53FE"/>
    <w:rsid w:val="00DD576D"/>
    <w:rsid w:val="00DD65E9"/>
    <w:rsid w:val="00DD7326"/>
    <w:rsid w:val="00DD7A44"/>
    <w:rsid w:val="00DD7AD7"/>
    <w:rsid w:val="00DD7E5A"/>
    <w:rsid w:val="00DE071F"/>
    <w:rsid w:val="00DE0A90"/>
    <w:rsid w:val="00DE1107"/>
    <w:rsid w:val="00DE14CE"/>
    <w:rsid w:val="00DE1DD2"/>
    <w:rsid w:val="00DE2023"/>
    <w:rsid w:val="00DE23E2"/>
    <w:rsid w:val="00DE4353"/>
    <w:rsid w:val="00DE4E66"/>
    <w:rsid w:val="00DE55A3"/>
    <w:rsid w:val="00DE57CA"/>
    <w:rsid w:val="00DE6133"/>
    <w:rsid w:val="00DE6E79"/>
    <w:rsid w:val="00DF0447"/>
    <w:rsid w:val="00DF0483"/>
    <w:rsid w:val="00DF0966"/>
    <w:rsid w:val="00DF0EAC"/>
    <w:rsid w:val="00DF13AA"/>
    <w:rsid w:val="00DF1613"/>
    <w:rsid w:val="00DF3415"/>
    <w:rsid w:val="00DF3590"/>
    <w:rsid w:val="00DF49C2"/>
    <w:rsid w:val="00DF4DA7"/>
    <w:rsid w:val="00DF58B1"/>
    <w:rsid w:val="00DF5921"/>
    <w:rsid w:val="00DF620F"/>
    <w:rsid w:val="00DF6392"/>
    <w:rsid w:val="00DF67C4"/>
    <w:rsid w:val="00DF6958"/>
    <w:rsid w:val="00DF69A8"/>
    <w:rsid w:val="00DF70F0"/>
    <w:rsid w:val="00DF720B"/>
    <w:rsid w:val="00DF78D0"/>
    <w:rsid w:val="00DF7C07"/>
    <w:rsid w:val="00E002FE"/>
    <w:rsid w:val="00E00AFD"/>
    <w:rsid w:val="00E010EB"/>
    <w:rsid w:val="00E01658"/>
    <w:rsid w:val="00E01B48"/>
    <w:rsid w:val="00E01EBA"/>
    <w:rsid w:val="00E031DF"/>
    <w:rsid w:val="00E03C4F"/>
    <w:rsid w:val="00E04D45"/>
    <w:rsid w:val="00E069D2"/>
    <w:rsid w:val="00E07370"/>
    <w:rsid w:val="00E10557"/>
    <w:rsid w:val="00E108A9"/>
    <w:rsid w:val="00E10DF3"/>
    <w:rsid w:val="00E11642"/>
    <w:rsid w:val="00E11C02"/>
    <w:rsid w:val="00E11E06"/>
    <w:rsid w:val="00E12E53"/>
    <w:rsid w:val="00E12FE0"/>
    <w:rsid w:val="00E13370"/>
    <w:rsid w:val="00E135CD"/>
    <w:rsid w:val="00E13FC8"/>
    <w:rsid w:val="00E1404E"/>
    <w:rsid w:val="00E14708"/>
    <w:rsid w:val="00E14B14"/>
    <w:rsid w:val="00E14ED7"/>
    <w:rsid w:val="00E15A5E"/>
    <w:rsid w:val="00E168EA"/>
    <w:rsid w:val="00E16C8E"/>
    <w:rsid w:val="00E20009"/>
    <w:rsid w:val="00E20434"/>
    <w:rsid w:val="00E22FC5"/>
    <w:rsid w:val="00E248EF"/>
    <w:rsid w:val="00E2538D"/>
    <w:rsid w:val="00E255E2"/>
    <w:rsid w:val="00E25665"/>
    <w:rsid w:val="00E25819"/>
    <w:rsid w:val="00E25D2A"/>
    <w:rsid w:val="00E26EB3"/>
    <w:rsid w:val="00E271B6"/>
    <w:rsid w:val="00E273B0"/>
    <w:rsid w:val="00E2754C"/>
    <w:rsid w:val="00E279D3"/>
    <w:rsid w:val="00E27A76"/>
    <w:rsid w:val="00E3024A"/>
    <w:rsid w:val="00E30262"/>
    <w:rsid w:val="00E30D2F"/>
    <w:rsid w:val="00E3118F"/>
    <w:rsid w:val="00E31958"/>
    <w:rsid w:val="00E31E43"/>
    <w:rsid w:val="00E32687"/>
    <w:rsid w:val="00E330D7"/>
    <w:rsid w:val="00E34023"/>
    <w:rsid w:val="00E34219"/>
    <w:rsid w:val="00E34479"/>
    <w:rsid w:val="00E34F75"/>
    <w:rsid w:val="00E35114"/>
    <w:rsid w:val="00E35733"/>
    <w:rsid w:val="00E3589E"/>
    <w:rsid w:val="00E36172"/>
    <w:rsid w:val="00E3652B"/>
    <w:rsid w:val="00E365F0"/>
    <w:rsid w:val="00E36DD9"/>
    <w:rsid w:val="00E37BE9"/>
    <w:rsid w:val="00E42D07"/>
    <w:rsid w:val="00E4337F"/>
    <w:rsid w:val="00E43996"/>
    <w:rsid w:val="00E43EDD"/>
    <w:rsid w:val="00E447F6"/>
    <w:rsid w:val="00E44A2C"/>
    <w:rsid w:val="00E45E0F"/>
    <w:rsid w:val="00E4638E"/>
    <w:rsid w:val="00E46581"/>
    <w:rsid w:val="00E4697D"/>
    <w:rsid w:val="00E471E2"/>
    <w:rsid w:val="00E47481"/>
    <w:rsid w:val="00E51555"/>
    <w:rsid w:val="00E531A9"/>
    <w:rsid w:val="00E53471"/>
    <w:rsid w:val="00E542D6"/>
    <w:rsid w:val="00E54300"/>
    <w:rsid w:val="00E543F9"/>
    <w:rsid w:val="00E5475E"/>
    <w:rsid w:val="00E5478F"/>
    <w:rsid w:val="00E54DE8"/>
    <w:rsid w:val="00E54EFE"/>
    <w:rsid w:val="00E55129"/>
    <w:rsid w:val="00E551AA"/>
    <w:rsid w:val="00E55522"/>
    <w:rsid w:val="00E55BE5"/>
    <w:rsid w:val="00E55CB9"/>
    <w:rsid w:val="00E56A09"/>
    <w:rsid w:val="00E57057"/>
    <w:rsid w:val="00E576C1"/>
    <w:rsid w:val="00E5776D"/>
    <w:rsid w:val="00E579DE"/>
    <w:rsid w:val="00E57A68"/>
    <w:rsid w:val="00E60682"/>
    <w:rsid w:val="00E611E9"/>
    <w:rsid w:val="00E6137A"/>
    <w:rsid w:val="00E618E2"/>
    <w:rsid w:val="00E62018"/>
    <w:rsid w:val="00E62226"/>
    <w:rsid w:val="00E62AB9"/>
    <w:rsid w:val="00E62E9E"/>
    <w:rsid w:val="00E630D2"/>
    <w:rsid w:val="00E63407"/>
    <w:rsid w:val="00E6393A"/>
    <w:rsid w:val="00E639ED"/>
    <w:rsid w:val="00E64470"/>
    <w:rsid w:val="00E6607C"/>
    <w:rsid w:val="00E66404"/>
    <w:rsid w:val="00E6688A"/>
    <w:rsid w:val="00E678B1"/>
    <w:rsid w:val="00E70423"/>
    <w:rsid w:val="00E7044C"/>
    <w:rsid w:val="00E70964"/>
    <w:rsid w:val="00E709A8"/>
    <w:rsid w:val="00E70E71"/>
    <w:rsid w:val="00E7161A"/>
    <w:rsid w:val="00E71813"/>
    <w:rsid w:val="00E7233B"/>
    <w:rsid w:val="00E7279B"/>
    <w:rsid w:val="00E72DA6"/>
    <w:rsid w:val="00E74C4C"/>
    <w:rsid w:val="00E760D1"/>
    <w:rsid w:val="00E773BF"/>
    <w:rsid w:val="00E77451"/>
    <w:rsid w:val="00E776E4"/>
    <w:rsid w:val="00E77719"/>
    <w:rsid w:val="00E80375"/>
    <w:rsid w:val="00E80AB9"/>
    <w:rsid w:val="00E814BA"/>
    <w:rsid w:val="00E81A7B"/>
    <w:rsid w:val="00E82C39"/>
    <w:rsid w:val="00E82D20"/>
    <w:rsid w:val="00E85741"/>
    <w:rsid w:val="00E85E78"/>
    <w:rsid w:val="00E8665F"/>
    <w:rsid w:val="00E866CC"/>
    <w:rsid w:val="00E86BDB"/>
    <w:rsid w:val="00E86E9C"/>
    <w:rsid w:val="00E86F0B"/>
    <w:rsid w:val="00E877A2"/>
    <w:rsid w:val="00E87F59"/>
    <w:rsid w:val="00E91354"/>
    <w:rsid w:val="00E916D0"/>
    <w:rsid w:val="00E9259E"/>
    <w:rsid w:val="00E925BE"/>
    <w:rsid w:val="00E929E8"/>
    <w:rsid w:val="00E92BD0"/>
    <w:rsid w:val="00E9301C"/>
    <w:rsid w:val="00E934BA"/>
    <w:rsid w:val="00E9430D"/>
    <w:rsid w:val="00E9437D"/>
    <w:rsid w:val="00E945CF"/>
    <w:rsid w:val="00E94672"/>
    <w:rsid w:val="00E94D35"/>
    <w:rsid w:val="00E95276"/>
    <w:rsid w:val="00E9542A"/>
    <w:rsid w:val="00E95478"/>
    <w:rsid w:val="00E95851"/>
    <w:rsid w:val="00E9627C"/>
    <w:rsid w:val="00E96DB0"/>
    <w:rsid w:val="00E96FAC"/>
    <w:rsid w:val="00E9701F"/>
    <w:rsid w:val="00E978C5"/>
    <w:rsid w:val="00E97E54"/>
    <w:rsid w:val="00EA0940"/>
    <w:rsid w:val="00EA0A22"/>
    <w:rsid w:val="00EA275D"/>
    <w:rsid w:val="00EA27A6"/>
    <w:rsid w:val="00EA3709"/>
    <w:rsid w:val="00EA44E1"/>
    <w:rsid w:val="00EA5122"/>
    <w:rsid w:val="00EA53F6"/>
    <w:rsid w:val="00EA5521"/>
    <w:rsid w:val="00EA577D"/>
    <w:rsid w:val="00EA6103"/>
    <w:rsid w:val="00EA64D1"/>
    <w:rsid w:val="00EA6567"/>
    <w:rsid w:val="00EA727B"/>
    <w:rsid w:val="00EB00B6"/>
    <w:rsid w:val="00EB2419"/>
    <w:rsid w:val="00EB254F"/>
    <w:rsid w:val="00EB2642"/>
    <w:rsid w:val="00EB2B24"/>
    <w:rsid w:val="00EB3290"/>
    <w:rsid w:val="00EB3656"/>
    <w:rsid w:val="00EB3989"/>
    <w:rsid w:val="00EB39F4"/>
    <w:rsid w:val="00EB45FB"/>
    <w:rsid w:val="00EB4D94"/>
    <w:rsid w:val="00EB5A76"/>
    <w:rsid w:val="00EB6060"/>
    <w:rsid w:val="00EB67A7"/>
    <w:rsid w:val="00EB6CCE"/>
    <w:rsid w:val="00EB7580"/>
    <w:rsid w:val="00EB7AA0"/>
    <w:rsid w:val="00EB7FD6"/>
    <w:rsid w:val="00EC0B69"/>
    <w:rsid w:val="00EC0D3D"/>
    <w:rsid w:val="00EC1461"/>
    <w:rsid w:val="00EC17C7"/>
    <w:rsid w:val="00EC197C"/>
    <w:rsid w:val="00EC1F1A"/>
    <w:rsid w:val="00EC244B"/>
    <w:rsid w:val="00EC4868"/>
    <w:rsid w:val="00EC4880"/>
    <w:rsid w:val="00EC63E6"/>
    <w:rsid w:val="00EC6DB0"/>
    <w:rsid w:val="00EC712A"/>
    <w:rsid w:val="00EC754C"/>
    <w:rsid w:val="00EC7CD1"/>
    <w:rsid w:val="00ED00D0"/>
    <w:rsid w:val="00ED04E3"/>
    <w:rsid w:val="00ED0B4D"/>
    <w:rsid w:val="00ED0D78"/>
    <w:rsid w:val="00ED1854"/>
    <w:rsid w:val="00ED1D53"/>
    <w:rsid w:val="00ED1DEC"/>
    <w:rsid w:val="00ED1E22"/>
    <w:rsid w:val="00ED2180"/>
    <w:rsid w:val="00ED22C3"/>
    <w:rsid w:val="00ED26E5"/>
    <w:rsid w:val="00ED28C4"/>
    <w:rsid w:val="00ED34F7"/>
    <w:rsid w:val="00ED3EBF"/>
    <w:rsid w:val="00ED4CDC"/>
    <w:rsid w:val="00ED4CEB"/>
    <w:rsid w:val="00EE0F00"/>
    <w:rsid w:val="00EE1103"/>
    <w:rsid w:val="00EE1105"/>
    <w:rsid w:val="00EE12A9"/>
    <w:rsid w:val="00EE1CD3"/>
    <w:rsid w:val="00EE2CE6"/>
    <w:rsid w:val="00EE344B"/>
    <w:rsid w:val="00EE5134"/>
    <w:rsid w:val="00EE51AF"/>
    <w:rsid w:val="00EE5698"/>
    <w:rsid w:val="00EE5D46"/>
    <w:rsid w:val="00EE6032"/>
    <w:rsid w:val="00EE6AF6"/>
    <w:rsid w:val="00EE7686"/>
    <w:rsid w:val="00EE778B"/>
    <w:rsid w:val="00EE7F7F"/>
    <w:rsid w:val="00EF04A4"/>
    <w:rsid w:val="00EF06CC"/>
    <w:rsid w:val="00EF1172"/>
    <w:rsid w:val="00EF248A"/>
    <w:rsid w:val="00EF2D73"/>
    <w:rsid w:val="00EF320F"/>
    <w:rsid w:val="00EF37AC"/>
    <w:rsid w:val="00EF4023"/>
    <w:rsid w:val="00EF4543"/>
    <w:rsid w:val="00EF4545"/>
    <w:rsid w:val="00EF4E7F"/>
    <w:rsid w:val="00EF4FA7"/>
    <w:rsid w:val="00EF5D9A"/>
    <w:rsid w:val="00EF779B"/>
    <w:rsid w:val="00EF7C3E"/>
    <w:rsid w:val="00EF7E1F"/>
    <w:rsid w:val="00F00538"/>
    <w:rsid w:val="00F0151B"/>
    <w:rsid w:val="00F01675"/>
    <w:rsid w:val="00F01726"/>
    <w:rsid w:val="00F01B66"/>
    <w:rsid w:val="00F03272"/>
    <w:rsid w:val="00F0338B"/>
    <w:rsid w:val="00F03655"/>
    <w:rsid w:val="00F0442C"/>
    <w:rsid w:val="00F047E0"/>
    <w:rsid w:val="00F04BD1"/>
    <w:rsid w:val="00F04EB4"/>
    <w:rsid w:val="00F0571A"/>
    <w:rsid w:val="00F06850"/>
    <w:rsid w:val="00F06948"/>
    <w:rsid w:val="00F07282"/>
    <w:rsid w:val="00F07364"/>
    <w:rsid w:val="00F07CDC"/>
    <w:rsid w:val="00F10DE4"/>
    <w:rsid w:val="00F10FCB"/>
    <w:rsid w:val="00F1183A"/>
    <w:rsid w:val="00F1207A"/>
    <w:rsid w:val="00F12406"/>
    <w:rsid w:val="00F12D96"/>
    <w:rsid w:val="00F13131"/>
    <w:rsid w:val="00F139AA"/>
    <w:rsid w:val="00F13A03"/>
    <w:rsid w:val="00F13AFF"/>
    <w:rsid w:val="00F157CF"/>
    <w:rsid w:val="00F15848"/>
    <w:rsid w:val="00F16690"/>
    <w:rsid w:val="00F1678C"/>
    <w:rsid w:val="00F17425"/>
    <w:rsid w:val="00F2008F"/>
    <w:rsid w:val="00F20939"/>
    <w:rsid w:val="00F20D55"/>
    <w:rsid w:val="00F219B8"/>
    <w:rsid w:val="00F21D0C"/>
    <w:rsid w:val="00F21F7E"/>
    <w:rsid w:val="00F223A2"/>
    <w:rsid w:val="00F227F5"/>
    <w:rsid w:val="00F22C79"/>
    <w:rsid w:val="00F24123"/>
    <w:rsid w:val="00F249E2"/>
    <w:rsid w:val="00F24CE6"/>
    <w:rsid w:val="00F25DD1"/>
    <w:rsid w:val="00F26EA8"/>
    <w:rsid w:val="00F30402"/>
    <w:rsid w:val="00F30915"/>
    <w:rsid w:val="00F3153F"/>
    <w:rsid w:val="00F32CB8"/>
    <w:rsid w:val="00F33215"/>
    <w:rsid w:val="00F3483A"/>
    <w:rsid w:val="00F34971"/>
    <w:rsid w:val="00F34E85"/>
    <w:rsid w:val="00F34FCA"/>
    <w:rsid w:val="00F364DE"/>
    <w:rsid w:val="00F367D6"/>
    <w:rsid w:val="00F36945"/>
    <w:rsid w:val="00F378F0"/>
    <w:rsid w:val="00F37B0C"/>
    <w:rsid w:val="00F409A0"/>
    <w:rsid w:val="00F40D1F"/>
    <w:rsid w:val="00F40F04"/>
    <w:rsid w:val="00F41014"/>
    <w:rsid w:val="00F42550"/>
    <w:rsid w:val="00F4332C"/>
    <w:rsid w:val="00F44C3E"/>
    <w:rsid w:val="00F4559D"/>
    <w:rsid w:val="00F4562C"/>
    <w:rsid w:val="00F45B3F"/>
    <w:rsid w:val="00F46726"/>
    <w:rsid w:val="00F46EE4"/>
    <w:rsid w:val="00F47A20"/>
    <w:rsid w:val="00F50632"/>
    <w:rsid w:val="00F50757"/>
    <w:rsid w:val="00F50FEB"/>
    <w:rsid w:val="00F516D3"/>
    <w:rsid w:val="00F5206F"/>
    <w:rsid w:val="00F5214A"/>
    <w:rsid w:val="00F52571"/>
    <w:rsid w:val="00F528C2"/>
    <w:rsid w:val="00F528E7"/>
    <w:rsid w:val="00F52BBE"/>
    <w:rsid w:val="00F544DB"/>
    <w:rsid w:val="00F54A3A"/>
    <w:rsid w:val="00F54E6E"/>
    <w:rsid w:val="00F5575F"/>
    <w:rsid w:val="00F55A5A"/>
    <w:rsid w:val="00F560A2"/>
    <w:rsid w:val="00F5780E"/>
    <w:rsid w:val="00F578A5"/>
    <w:rsid w:val="00F602A9"/>
    <w:rsid w:val="00F613F9"/>
    <w:rsid w:val="00F625DA"/>
    <w:rsid w:val="00F62EFC"/>
    <w:rsid w:val="00F62F8C"/>
    <w:rsid w:val="00F6313E"/>
    <w:rsid w:val="00F63A98"/>
    <w:rsid w:val="00F644C6"/>
    <w:rsid w:val="00F64714"/>
    <w:rsid w:val="00F64935"/>
    <w:rsid w:val="00F705FD"/>
    <w:rsid w:val="00F70DE4"/>
    <w:rsid w:val="00F71B3B"/>
    <w:rsid w:val="00F71C96"/>
    <w:rsid w:val="00F71E4F"/>
    <w:rsid w:val="00F72221"/>
    <w:rsid w:val="00F72883"/>
    <w:rsid w:val="00F72C2F"/>
    <w:rsid w:val="00F72C9B"/>
    <w:rsid w:val="00F73177"/>
    <w:rsid w:val="00F73726"/>
    <w:rsid w:val="00F74CB9"/>
    <w:rsid w:val="00F75665"/>
    <w:rsid w:val="00F75B06"/>
    <w:rsid w:val="00F76182"/>
    <w:rsid w:val="00F7680C"/>
    <w:rsid w:val="00F76835"/>
    <w:rsid w:val="00F7795B"/>
    <w:rsid w:val="00F80431"/>
    <w:rsid w:val="00F80CAE"/>
    <w:rsid w:val="00F80CD4"/>
    <w:rsid w:val="00F81152"/>
    <w:rsid w:val="00F81B82"/>
    <w:rsid w:val="00F828D1"/>
    <w:rsid w:val="00F82BA5"/>
    <w:rsid w:val="00F82C6D"/>
    <w:rsid w:val="00F835D7"/>
    <w:rsid w:val="00F8439A"/>
    <w:rsid w:val="00F84584"/>
    <w:rsid w:val="00F8478A"/>
    <w:rsid w:val="00F8577A"/>
    <w:rsid w:val="00F8598D"/>
    <w:rsid w:val="00F87041"/>
    <w:rsid w:val="00F87D58"/>
    <w:rsid w:val="00F90B10"/>
    <w:rsid w:val="00F90E82"/>
    <w:rsid w:val="00F91BBF"/>
    <w:rsid w:val="00F92216"/>
    <w:rsid w:val="00F92BDE"/>
    <w:rsid w:val="00F92E54"/>
    <w:rsid w:val="00F93754"/>
    <w:rsid w:val="00F93ABA"/>
    <w:rsid w:val="00F93F3F"/>
    <w:rsid w:val="00F944FE"/>
    <w:rsid w:val="00F94F97"/>
    <w:rsid w:val="00F95A38"/>
    <w:rsid w:val="00F95EF6"/>
    <w:rsid w:val="00F962E2"/>
    <w:rsid w:val="00F965D8"/>
    <w:rsid w:val="00F977C0"/>
    <w:rsid w:val="00F978CA"/>
    <w:rsid w:val="00FA0A87"/>
    <w:rsid w:val="00FA0D2E"/>
    <w:rsid w:val="00FA0DE9"/>
    <w:rsid w:val="00FA1232"/>
    <w:rsid w:val="00FA1FA5"/>
    <w:rsid w:val="00FA38BE"/>
    <w:rsid w:val="00FA3963"/>
    <w:rsid w:val="00FA3A49"/>
    <w:rsid w:val="00FA4336"/>
    <w:rsid w:val="00FA49C6"/>
    <w:rsid w:val="00FA5FFF"/>
    <w:rsid w:val="00FA600F"/>
    <w:rsid w:val="00FA64B2"/>
    <w:rsid w:val="00FA68D5"/>
    <w:rsid w:val="00FA716E"/>
    <w:rsid w:val="00FA79E5"/>
    <w:rsid w:val="00FA7D31"/>
    <w:rsid w:val="00FA7DE4"/>
    <w:rsid w:val="00FB0FF4"/>
    <w:rsid w:val="00FB13E3"/>
    <w:rsid w:val="00FB2289"/>
    <w:rsid w:val="00FB24E3"/>
    <w:rsid w:val="00FB278B"/>
    <w:rsid w:val="00FB2C6D"/>
    <w:rsid w:val="00FB31AD"/>
    <w:rsid w:val="00FB3384"/>
    <w:rsid w:val="00FB47FD"/>
    <w:rsid w:val="00FB5CA3"/>
    <w:rsid w:val="00FB6F62"/>
    <w:rsid w:val="00FB7047"/>
    <w:rsid w:val="00FB706B"/>
    <w:rsid w:val="00FB74D4"/>
    <w:rsid w:val="00FB7C3F"/>
    <w:rsid w:val="00FC02E4"/>
    <w:rsid w:val="00FC18C4"/>
    <w:rsid w:val="00FC1A97"/>
    <w:rsid w:val="00FC1C79"/>
    <w:rsid w:val="00FC24FC"/>
    <w:rsid w:val="00FC3095"/>
    <w:rsid w:val="00FC3985"/>
    <w:rsid w:val="00FC4027"/>
    <w:rsid w:val="00FC4205"/>
    <w:rsid w:val="00FC4230"/>
    <w:rsid w:val="00FC4237"/>
    <w:rsid w:val="00FC48BA"/>
    <w:rsid w:val="00FC5579"/>
    <w:rsid w:val="00FC602F"/>
    <w:rsid w:val="00FC62B7"/>
    <w:rsid w:val="00FC6351"/>
    <w:rsid w:val="00FC651E"/>
    <w:rsid w:val="00FC6596"/>
    <w:rsid w:val="00FC69D0"/>
    <w:rsid w:val="00FC7443"/>
    <w:rsid w:val="00FC7B84"/>
    <w:rsid w:val="00FD007C"/>
    <w:rsid w:val="00FD08AF"/>
    <w:rsid w:val="00FD0A93"/>
    <w:rsid w:val="00FD1DC7"/>
    <w:rsid w:val="00FD34B8"/>
    <w:rsid w:val="00FD3A6D"/>
    <w:rsid w:val="00FD476A"/>
    <w:rsid w:val="00FD4FCD"/>
    <w:rsid w:val="00FD5176"/>
    <w:rsid w:val="00FD54DE"/>
    <w:rsid w:val="00FD589F"/>
    <w:rsid w:val="00FD5AD3"/>
    <w:rsid w:val="00FD5C49"/>
    <w:rsid w:val="00FD5FFB"/>
    <w:rsid w:val="00FD609E"/>
    <w:rsid w:val="00FD6AD6"/>
    <w:rsid w:val="00FD779C"/>
    <w:rsid w:val="00FD7827"/>
    <w:rsid w:val="00FE08ED"/>
    <w:rsid w:val="00FE0CA1"/>
    <w:rsid w:val="00FE0E80"/>
    <w:rsid w:val="00FE15FB"/>
    <w:rsid w:val="00FE178F"/>
    <w:rsid w:val="00FE21AB"/>
    <w:rsid w:val="00FE2C1F"/>
    <w:rsid w:val="00FE2DE5"/>
    <w:rsid w:val="00FE304B"/>
    <w:rsid w:val="00FE31EE"/>
    <w:rsid w:val="00FE38CC"/>
    <w:rsid w:val="00FE48F0"/>
    <w:rsid w:val="00FE51B2"/>
    <w:rsid w:val="00FE53E8"/>
    <w:rsid w:val="00FE56B7"/>
    <w:rsid w:val="00FE5AA9"/>
    <w:rsid w:val="00FE657A"/>
    <w:rsid w:val="00FE6C51"/>
    <w:rsid w:val="00FE7EA7"/>
    <w:rsid w:val="00FE7F90"/>
    <w:rsid w:val="00FF004D"/>
    <w:rsid w:val="00FF120F"/>
    <w:rsid w:val="00FF155A"/>
    <w:rsid w:val="00FF16EB"/>
    <w:rsid w:val="00FF2AA6"/>
    <w:rsid w:val="00FF4943"/>
    <w:rsid w:val="00FF4A10"/>
    <w:rsid w:val="00FF5CB5"/>
    <w:rsid w:val="00FF7395"/>
    <w:rsid w:val="021022DA"/>
    <w:rsid w:val="02695F28"/>
    <w:rsid w:val="02DD3DCD"/>
    <w:rsid w:val="044B2207"/>
    <w:rsid w:val="047EA04B"/>
    <w:rsid w:val="08BD15A6"/>
    <w:rsid w:val="0BBD14B8"/>
    <w:rsid w:val="0C48014B"/>
    <w:rsid w:val="0CA8A79C"/>
    <w:rsid w:val="0D1457AB"/>
    <w:rsid w:val="0DE37B90"/>
    <w:rsid w:val="0E4BC278"/>
    <w:rsid w:val="0E9B3FB6"/>
    <w:rsid w:val="1010EA40"/>
    <w:rsid w:val="11CB46C1"/>
    <w:rsid w:val="14611390"/>
    <w:rsid w:val="1AD3821D"/>
    <w:rsid w:val="1D6FFECB"/>
    <w:rsid w:val="2213B180"/>
    <w:rsid w:val="222B56AB"/>
    <w:rsid w:val="223945C6"/>
    <w:rsid w:val="2343ADB7"/>
    <w:rsid w:val="24795D38"/>
    <w:rsid w:val="248C449F"/>
    <w:rsid w:val="25ACFBE4"/>
    <w:rsid w:val="27019FAF"/>
    <w:rsid w:val="27540837"/>
    <w:rsid w:val="29BB96A9"/>
    <w:rsid w:val="2CA6BA76"/>
    <w:rsid w:val="2EBE2FEB"/>
    <w:rsid w:val="3328C818"/>
    <w:rsid w:val="33B459D3"/>
    <w:rsid w:val="34644E1E"/>
    <w:rsid w:val="37F793B7"/>
    <w:rsid w:val="3B0C2F14"/>
    <w:rsid w:val="3B4F0DE7"/>
    <w:rsid w:val="3B75B3A3"/>
    <w:rsid w:val="3B836707"/>
    <w:rsid w:val="3C741BF3"/>
    <w:rsid w:val="3F3A9BFA"/>
    <w:rsid w:val="3F513352"/>
    <w:rsid w:val="41043EBE"/>
    <w:rsid w:val="41FF24EE"/>
    <w:rsid w:val="42A00F1F"/>
    <w:rsid w:val="445DF087"/>
    <w:rsid w:val="4658120A"/>
    <w:rsid w:val="4843E10E"/>
    <w:rsid w:val="486E9EBF"/>
    <w:rsid w:val="48EF8FC6"/>
    <w:rsid w:val="4BB1A493"/>
    <w:rsid w:val="4D4825F1"/>
    <w:rsid w:val="4E3FFCAA"/>
    <w:rsid w:val="5027370D"/>
    <w:rsid w:val="51993CAD"/>
    <w:rsid w:val="51F6F34A"/>
    <w:rsid w:val="535062B3"/>
    <w:rsid w:val="5459F0D0"/>
    <w:rsid w:val="58CD69BC"/>
    <w:rsid w:val="5963CDF2"/>
    <w:rsid w:val="5C14B9A9"/>
    <w:rsid w:val="5C70EAE8"/>
    <w:rsid w:val="5D21A4F9"/>
    <w:rsid w:val="5F0A1CF0"/>
    <w:rsid w:val="5F291528"/>
    <w:rsid w:val="5FB9EE26"/>
    <w:rsid w:val="5FD6C81B"/>
    <w:rsid w:val="610A6150"/>
    <w:rsid w:val="63FE7A38"/>
    <w:rsid w:val="647749C5"/>
    <w:rsid w:val="65B51BBD"/>
    <w:rsid w:val="65C7649A"/>
    <w:rsid w:val="66B489E1"/>
    <w:rsid w:val="692492A4"/>
    <w:rsid w:val="6BBD7C89"/>
    <w:rsid w:val="6D85811E"/>
    <w:rsid w:val="6D8E9C99"/>
    <w:rsid w:val="6ECFA7AD"/>
    <w:rsid w:val="72356CDE"/>
    <w:rsid w:val="76781313"/>
    <w:rsid w:val="76C0193C"/>
    <w:rsid w:val="771046AA"/>
    <w:rsid w:val="77E3115B"/>
    <w:rsid w:val="7810D7D0"/>
    <w:rsid w:val="799BC4CF"/>
    <w:rsid w:val="7A7677E6"/>
    <w:rsid w:val="7A78A550"/>
    <w:rsid w:val="7C749617"/>
    <w:rsid w:val="7E4740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96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0D"/>
    <w:rPr>
      <w:rFonts w:ascii="Times New Roman" w:hAnsi="Times New Roman"/>
      <w:sz w:val="24"/>
    </w:rPr>
  </w:style>
  <w:style w:type="paragraph" w:styleId="Heading1">
    <w:name w:val="heading 1"/>
    <w:basedOn w:val="Normal"/>
    <w:next w:val="Normal"/>
    <w:link w:val="Heading1Char"/>
    <w:autoRedefine/>
    <w:uiPriority w:val="9"/>
    <w:qFormat/>
    <w:rsid w:val="00DD65E9"/>
    <w:pPr>
      <w:keepNext/>
      <w:keepLines/>
      <w:numPr>
        <w:numId w:val="1"/>
      </w:numPr>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A6F68"/>
    <w:pPr>
      <w:keepNext/>
      <w:keepLines/>
      <w:numPr>
        <w:ilvl w:val="1"/>
        <w:numId w:val="1"/>
      </w:numPr>
      <w:spacing w:before="40" w:after="120" w:line="240" w:lineRule="auto"/>
      <w:contextualSpacing/>
      <w:outlineLvl w:val="1"/>
    </w:pPr>
    <w:rPr>
      <w:rFonts w:asciiTheme="majorHAnsi" w:eastAsiaTheme="majorEastAsia" w:hAnsiTheme="majorHAnsi" w:cstheme="majorBidi"/>
      <w:bCs/>
      <w:color w:val="2F5496" w:themeColor="accent1" w:themeShade="BF"/>
      <w:sz w:val="26"/>
      <w:szCs w:val="26"/>
    </w:rPr>
  </w:style>
  <w:style w:type="paragraph" w:styleId="Heading3">
    <w:name w:val="heading 3"/>
    <w:basedOn w:val="Normal"/>
    <w:next w:val="Normal"/>
    <w:link w:val="Heading3Char"/>
    <w:uiPriority w:val="9"/>
    <w:unhideWhenUsed/>
    <w:qFormat/>
    <w:rsid w:val="00183BE7"/>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183BE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83BE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83BE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83BE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83BE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3BE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5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45CD"/>
    <w:rPr>
      <w:rFonts w:asciiTheme="majorHAnsi" w:eastAsiaTheme="majorEastAsia" w:hAnsiTheme="majorHAnsi" w:cstheme="majorBidi"/>
      <w:bCs/>
      <w:color w:val="2F5496" w:themeColor="accent1" w:themeShade="BF"/>
      <w:sz w:val="26"/>
      <w:szCs w:val="26"/>
    </w:rPr>
  </w:style>
  <w:style w:type="paragraph" w:customStyle="1" w:styleId="Default">
    <w:name w:val="Default"/>
    <w:autoRedefine/>
    <w:qFormat/>
    <w:rsid w:val="003B5841"/>
    <w:pPr>
      <w:autoSpaceDE w:val="0"/>
      <w:autoSpaceDN w:val="0"/>
      <w:adjustRightInd w:val="0"/>
      <w:spacing w:line="240" w:lineRule="auto"/>
    </w:pPr>
    <w:rPr>
      <w:rFonts w:ascii="Times New Roman" w:hAnsi="Times New Roman" w:cs="Times New Roman"/>
      <w:bCs/>
      <w:color w:val="000000"/>
      <w:sz w:val="24"/>
      <w:szCs w:val="24"/>
    </w:rPr>
  </w:style>
  <w:style w:type="paragraph" w:styleId="Title">
    <w:name w:val="Title"/>
    <w:basedOn w:val="Normal"/>
    <w:next w:val="Normal"/>
    <w:link w:val="TitleChar"/>
    <w:uiPriority w:val="10"/>
    <w:qFormat/>
    <w:rsid w:val="005C2F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2F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2F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2FD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5C2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FD4"/>
    <w:rPr>
      <w:rFonts w:ascii="Segoe UI" w:hAnsi="Segoe UI" w:cs="Segoe UI"/>
      <w:sz w:val="18"/>
      <w:szCs w:val="18"/>
    </w:rPr>
  </w:style>
  <w:style w:type="character" w:customStyle="1" w:styleId="Heading3Char">
    <w:name w:val="Heading 3 Char"/>
    <w:basedOn w:val="DefaultParagraphFont"/>
    <w:link w:val="Heading3"/>
    <w:uiPriority w:val="9"/>
    <w:rsid w:val="00183BE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83BE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183BE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183BE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183BE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83B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3BE7"/>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C715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5FC"/>
    <w:rPr>
      <w:sz w:val="20"/>
      <w:szCs w:val="20"/>
    </w:rPr>
  </w:style>
  <w:style w:type="character" w:styleId="FootnoteReference">
    <w:name w:val="footnote reference"/>
    <w:basedOn w:val="DefaultParagraphFont"/>
    <w:uiPriority w:val="99"/>
    <w:unhideWhenUsed/>
    <w:rsid w:val="00C715FC"/>
    <w:rPr>
      <w:vertAlign w:val="superscript"/>
    </w:rPr>
  </w:style>
  <w:style w:type="paragraph" w:styleId="BodyText">
    <w:name w:val="Body Text"/>
    <w:basedOn w:val="Normal"/>
    <w:link w:val="BodyTextChar"/>
    <w:uiPriority w:val="1"/>
    <w:unhideWhenUsed/>
    <w:qFormat/>
    <w:rsid w:val="00C715FC"/>
    <w:pPr>
      <w:spacing w:after="120"/>
    </w:pPr>
  </w:style>
  <w:style w:type="character" w:customStyle="1" w:styleId="BodyTextChar">
    <w:name w:val="Body Text Char"/>
    <w:basedOn w:val="DefaultParagraphFont"/>
    <w:link w:val="BodyText"/>
    <w:uiPriority w:val="1"/>
    <w:rsid w:val="00C715FC"/>
  </w:style>
  <w:style w:type="paragraph" w:styleId="ListParagraph">
    <w:name w:val="List Paragraph"/>
    <w:basedOn w:val="Normal"/>
    <w:autoRedefine/>
    <w:uiPriority w:val="34"/>
    <w:qFormat/>
    <w:rsid w:val="00C55EEC"/>
    <w:pPr>
      <w:numPr>
        <w:numId w:val="13"/>
      </w:numPr>
      <w:shd w:val="clear" w:color="auto" w:fill="FFFFFF"/>
      <w:spacing w:after="240" w:line="240" w:lineRule="auto"/>
      <w:contextualSpacing/>
    </w:pPr>
    <w:rPr>
      <w:rFonts w:eastAsia="Times New Roman" w:cs="Times New Roman"/>
      <w:color w:val="202122"/>
      <w:w w:val="105"/>
      <w:szCs w:val="24"/>
    </w:rPr>
  </w:style>
  <w:style w:type="paragraph" w:styleId="CommentText">
    <w:name w:val="annotation text"/>
    <w:basedOn w:val="Normal"/>
    <w:link w:val="CommentTextChar"/>
    <w:uiPriority w:val="99"/>
    <w:unhideWhenUsed/>
    <w:rsid w:val="00C715FC"/>
    <w:pPr>
      <w:spacing w:line="240" w:lineRule="auto"/>
    </w:pPr>
    <w:rPr>
      <w:sz w:val="20"/>
      <w:szCs w:val="20"/>
    </w:rPr>
  </w:style>
  <w:style w:type="character" w:customStyle="1" w:styleId="CommentTextChar">
    <w:name w:val="Comment Text Char"/>
    <w:basedOn w:val="DefaultParagraphFont"/>
    <w:link w:val="CommentText"/>
    <w:uiPriority w:val="99"/>
    <w:rsid w:val="00C715FC"/>
    <w:rPr>
      <w:sz w:val="20"/>
      <w:szCs w:val="20"/>
    </w:rPr>
  </w:style>
  <w:style w:type="character" w:styleId="CommentReference">
    <w:name w:val="annotation reference"/>
    <w:basedOn w:val="DefaultParagraphFont"/>
    <w:uiPriority w:val="99"/>
    <w:unhideWhenUsed/>
    <w:rsid w:val="00C715FC"/>
    <w:rPr>
      <w:sz w:val="16"/>
      <w:szCs w:val="16"/>
    </w:rPr>
  </w:style>
  <w:style w:type="table" w:customStyle="1" w:styleId="TableGrid1">
    <w:name w:val="Table Grid1"/>
    <w:basedOn w:val="TableNormal"/>
    <w:next w:val="TableGrid"/>
    <w:uiPriority w:val="59"/>
    <w:rsid w:val="00C715F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7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5FC"/>
  </w:style>
  <w:style w:type="paragraph" w:styleId="Footer">
    <w:name w:val="footer"/>
    <w:basedOn w:val="Normal"/>
    <w:link w:val="FooterChar"/>
    <w:uiPriority w:val="99"/>
    <w:unhideWhenUsed/>
    <w:rsid w:val="00C71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5FC"/>
  </w:style>
  <w:style w:type="character" w:styleId="IntenseReference">
    <w:name w:val="Intense Reference"/>
    <w:basedOn w:val="DefaultParagraphFont"/>
    <w:uiPriority w:val="32"/>
    <w:qFormat/>
    <w:rsid w:val="009C2205"/>
    <w:rPr>
      <w:b/>
      <w:bCs/>
      <w:smallCaps/>
      <w:color w:val="4472C4" w:themeColor="accent1"/>
      <w:spacing w:val="5"/>
    </w:rPr>
  </w:style>
  <w:style w:type="table" w:customStyle="1" w:styleId="TableGrid11">
    <w:name w:val="Table Grid11"/>
    <w:basedOn w:val="TableNormal"/>
    <w:next w:val="TableGrid"/>
    <w:uiPriority w:val="59"/>
    <w:rsid w:val="00BA4B8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A4B80"/>
    <w:rPr>
      <w:color w:val="0000FF"/>
      <w:u w:val="single"/>
    </w:rPr>
  </w:style>
  <w:style w:type="paragraph" w:styleId="TOCHeading">
    <w:name w:val="TOC Heading"/>
    <w:basedOn w:val="Heading1"/>
    <w:next w:val="Normal"/>
    <w:uiPriority w:val="39"/>
    <w:unhideWhenUsed/>
    <w:qFormat/>
    <w:rsid w:val="00037C62"/>
    <w:pPr>
      <w:numPr>
        <w:numId w:val="0"/>
      </w:numPr>
      <w:outlineLvl w:val="9"/>
    </w:pPr>
  </w:style>
  <w:style w:type="paragraph" w:styleId="TOC1">
    <w:name w:val="toc 1"/>
    <w:basedOn w:val="Normal"/>
    <w:next w:val="Normal"/>
    <w:autoRedefine/>
    <w:uiPriority w:val="39"/>
    <w:unhideWhenUsed/>
    <w:rsid w:val="00CD6299"/>
    <w:pPr>
      <w:tabs>
        <w:tab w:val="left" w:pos="440"/>
        <w:tab w:val="right" w:leader="dot" w:pos="9350"/>
      </w:tabs>
      <w:spacing w:after="0" w:line="240" w:lineRule="auto"/>
    </w:pPr>
  </w:style>
  <w:style w:type="paragraph" w:styleId="TOC2">
    <w:name w:val="toc 2"/>
    <w:basedOn w:val="Normal"/>
    <w:next w:val="Normal"/>
    <w:autoRedefine/>
    <w:uiPriority w:val="39"/>
    <w:unhideWhenUsed/>
    <w:rsid w:val="00037C62"/>
    <w:pPr>
      <w:spacing w:after="100"/>
      <w:ind w:left="220"/>
    </w:pPr>
  </w:style>
  <w:style w:type="paragraph" w:styleId="TOC3">
    <w:name w:val="toc 3"/>
    <w:basedOn w:val="Normal"/>
    <w:next w:val="Normal"/>
    <w:autoRedefine/>
    <w:uiPriority w:val="39"/>
    <w:unhideWhenUsed/>
    <w:rsid w:val="00037C62"/>
    <w:pPr>
      <w:spacing w:after="100"/>
      <w:ind w:left="440"/>
    </w:pPr>
  </w:style>
  <w:style w:type="paragraph" w:styleId="NoSpacing">
    <w:name w:val="No Spacing"/>
    <w:uiPriority w:val="1"/>
    <w:qFormat/>
    <w:rsid w:val="00B434AD"/>
    <w:pPr>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B434AD"/>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B434A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73207"/>
    <w:pPr>
      <w:spacing w:before="100" w:beforeAutospacing="1" w:after="100" w:afterAutospacing="1" w:line="240" w:lineRule="auto"/>
    </w:pPr>
    <w:rPr>
      <w:rFonts w:eastAsia="Times New Roman" w:cs="Times New Roman"/>
      <w:szCs w:val="24"/>
    </w:rPr>
  </w:style>
  <w:style w:type="character" w:styleId="BookTitle">
    <w:name w:val="Book Title"/>
    <w:basedOn w:val="DefaultParagraphFont"/>
    <w:uiPriority w:val="33"/>
    <w:qFormat/>
    <w:rsid w:val="0085689B"/>
    <w:rPr>
      <w:b/>
      <w:bCs/>
      <w:i/>
      <w:iCs/>
      <w:spacing w:val="5"/>
    </w:rPr>
  </w:style>
  <w:style w:type="paragraph" w:customStyle="1" w:styleId="FigTitle">
    <w:name w:val="FigTitle"/>
    <w:basedOn w:val="Normal"/>
    <w:autoRedefine/>
    <w:qFormat/>
    <w:rsid w:val="009403AC"/>
    <w:pPr>
      <w:spacing w:before="120" w:after="60" w:line="240" w:lineRule="auto"/>
      <w:contextualSpacing/>
    </w:pPr>
    <w:rPr>
      <w:rFonts w:eastAsia="Times New Roman" w:cs="Times New Roman"/>
      <w:b/>
      <w:bCs/>
      <w:szCs w:val="24"/>
    </w:rPr>
  </w:style>
  <w:style w:type="paragraph" w:customStyle="1" w:styleId="Indent">
    <w:name w:val="Indent"/>
    <w:basedOn w:val="Default"/>
    <w:qFormat/>
    <w:rsid w:val="00336E53"/>
    <w:pPr>
      <w:ind w:left="720"/>
    </w:pPr>
  </w:style>
  <w:style w:type="paragraph" w:styleId="Revision">
    <w:name w:val="Revision"/>
    <w:hidden/>
    <w:uiPriority w:val="99"/>
    <w:semiHidden/>
    <w:rsid w:val="00E934BA"/>
    <w:pPr>
      <w:spacing w:after="0" w:line="240" w:lineRule="auto"/>
    </w:pPr>
  </w:style>
  <w:style w:type="paragraph" w:customStyle="1" w:styleId="footnote">
    <w:name w:val="footnote"/>
    <w:basedOn w:val="Normal"/>
    <w:autoRedefine/>
    <w:qFormat/>
    <w:rsid w:val="0090599E"/>
    <w:pPr>
      <w:spacing w:after="100" w:line="240" w:lineRule="auto"/>
    </w:pPr>
    <w:rPr>
      <w:rFonts w:eastAsia="Times New Roman" w:cs="Times New Roman"/>
      <w:sz w:val="18"/>
      <w:szCs w:val="20"/>
    </w:rPr>
  </w:style>
  <w:style w:type="paragraph" w:customStyle="1" w:styleId="PageNumber1">
    <w:name w:val="Page Number1"/>
    <w:basedOn w:val="Default"/>
    <w:qFormat/>
    <w:rsid w:val="007D7C95"/>
    <w:pPr>
      <w:jc w:val="right"/>
    </w:pPr>
    <w:rPr>
      <w:sz w:val="20"/>
    </w:rPr>
  </w:style>
  <w:style w:type="paragraph" w:customStyle="1" w:styleId="Blockquote">
    <w:name w:val="Blockquote"/>
    <w:basedOn w:val="Normal"/>
    <w:rsid w:val="00991238"/>
    <w:pPr>
      <w:spacing w:before="100" w:after="100" w:line="240" w:lineRule="auto"/>
      <w:ind w:left="360" w:right="360"/>
    </w:pPr>
    <w:rPr>
      <w:rFonts w:eastAsia="Times New Roman" w:cs="Times New Roman"/>
      <w:snapToGrid w:val="0"/>
      <w:szCs w:val="20"/>
    </w:rPr>
  </w:style>
  <w:style w:type="paragraph" w:customStyle="1" w:styleId="psection-3">
    <w:name w:val="psection-3"/>
    <w:basedOn w:val="Normal"/>
    <w:rsid w:val="00991238"/>
    <w:pPr>
      <w:spacing w:before="100" w:beforeAutospacing="1" w:after="100" w:afterAutospacing="1" w:line="240" w:lineRule="auto"/>
    </w:pPr>
    <w:rPr>
      <w:rFonts w:eastAsia="Times New Roman" w:cs="Times New Roman"/>
      <w:szCs w:val="24"/>
    </w:rPr>
  </w:style>
  <w:style w:type="character" w:customStyle="1" w:styleId="enumxml">
    <w:name w:val="enumxml"/>
    <w:basedOn w:val="DefaultParagraphFont"/>
    <w:rsid w:val="00991238"/>
  </w:style>
  <w:style w:type="character" w:customStyle="1" w:styleId="et03">
    <w:name w:val="et03"/>
    <w:basedOn w:val="DefaultParagraphFont"/>
    <w:rsid w:val="00991238"/>
  </w:style>
  <w:style w:type="paragraph" w:customStyle="1" w:styleId="psection-2">
    <w:name w:val="psection-2"/>
    <w:basedOn w:val="Normal"/>
    <w:rsid w:val="00991238"/>
    <w:pPr>
      <w:spacing w:before="100" w:beforeAutospacing="1" w:after="100" w:afterAutospacing="1" w:line="240" w:lineRule="auto"/>
    </w:pPr>
    <w:rPr>
      <w:rFonts w:eastAsia="Times New Roman" w:cs="Times New Roman"/>
      <w:szCs w:val="24"/>
    </w:rPr>
  </w:style>
  <w:style w:type="paragraph" w:customStyle="1" w:styleId="TableFigureTitle">
    <w:name w:val="Table/Figure Title"/>
    <w:basedOn w:val="Normal"/>
    <w:qFormat/>
    <w:rsid w:val="00B2434D"/>
    <w:pPr>
      <w:spacing w:after="60"/>
    </w:pPr>
    <w:rPr>
      <w:rFonts w:asciiTheme="majorHAnsi" w:hAnsiTheme="majorHAnsi" w:cstheme="majorHAnsi"/>
      <w:b/>
      <w:bCs/>
    </w:rPr>
  </w:style>
  <w:style w:type="paragraph" w:styleId="Caption">
    <w:name w:val="caption"/>
    <w:basedOn w:val="Normal"/>
    <w:next w:val="Normal"/>
    <w:uiPriority w:val="35"/>
    <w:unhideWhenUsed/>
    <w:qFormat/>
    <w:rsid w:val="003969D2"/>
    <w:pPr>
      <w:spacing w:after="200" w:line="240" w:lineRule="auto"/>
    </w:pPr>
    <w:rPr>
      <w:bCs/>
      <w:i/>
      <w:iCs/>
      <w:color w:val="44546A" w:themeColor="text2"/>
      <w:sz w:val="22"/>
      <w:szCs w:val="18"/>
    </w:rPr>
  </w:style>
  <w:style w:type="character" w:customStyle="1" w:styleId="normaltextrun">
    <w:name w:val="normaltextrun"/>
    <w:basedOn w:val="DefaultParagraphFont"/>
    <w:rsid w:val="00CE34BC"/>
  </w:style>
  <w:style w:type="character" w:customStyle="1" w:styleId="eop">
    <w:name w:val="eop"/>
    <w:basedOn w:val="DefaultParagraphFont"/>
    <w:rsid w:val="00CE34BC"/>
  </w:style>
  <w:style w:type="paragraph" w:styleId="Quote">
    <w:name w:val="Quote"/>
    <w:basedOn w:val="Normal"/>
    <w:next w:val="Normal"/>
    <w:link w:val="QuoteChar"/>
    <w:uiPriority w:val="29"/>
    <w:qFormat/>
    <w:rsid w:val="008F706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F7069"/>
    <w:rPr>
      <w:rFonts w:ascii="Times New Roman" w:hAnsi="Times New Roman"/>
      <w:i/>
      <w:iCs/>
      <w:color w:val="404040" w:themeColor="text1" w:themeTint="BF"/>
      <w:sz w:val="24"/>
    </w:rPr>
  </w:style>
  <w:style w:type="paragraph" w:customStyle="1" w:styleId="Table-Text">
    <w:name w:val="Table-Text"/>
    <w:basedOn w:val="Normal"/>
    <w:qFormat/>
    <w:rsid w:val="00120776"/>
    <w:rPr>
      <w:rFonts w:asciiTheme="minorHAnsi" w:hAnsiTheme="minorHAnsi" w:cstheme="minorHAnsi"/>
      <w:sz w:val="18"/>
      <w:szCs w:val="18"/>
    </w:rPr>
  </w:style>
  <w:style w:type="character" w:styleId="UnresolvedMention">
    <w:name w:val="Unresolved Mention"/>
    <w:basedOn w:val="DefaultParagraphFont"/>
    <w:uiPriority w:val="99"/>
    <w:semiHidden/>
    <w:unhideWhenUsed/>
    <w:rsid w:val="00CB30C3"/>
    <w:rPr>
      <w:color w:val="605E5C"/>
      <w:shd w:val="clear" w:color="auto" w:fill="E1DFDD"/>
    </w:rPr>
  </w:style>
  <w:style w:type="character" w:styleId="SubtleReference">
    <w:name w:val="Subtle Reference"/>
    <w:basedOn w:val="DefaultParagraphFont"/>
    <w:uiPriority w:val="31"/>
    <w:qFormat/>
    <w:rsid w:val="000937B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195">
      <w:bodyDiv w:val="1"/>
      <w:marLeft w:val="0"/>
      <w:marRight w:val="0"/>
      <w:marTop w:val="0"/>
      <w:marBottom w:val="0"/>
      <w:divBdr>
        <w:top w:val="none" w:sz="0" w:space="0" w:color="auto"/>
        <w:left w:val="none" w:sz="0" w:space="0" w:color="auto"/>
        <w:bottom w:val="none" w:sz="0" w:space="0" w:color="auto"/>
        <w:right w:val="none" w:sz="0" w:space="0" w:color="auto"/>
      </w:divBdr>
    </w:div>
    <w:div w:id="32846410">
      <w:bodyDiv w:val="1"/>
      <w:marLeft w:val="0"/>
      <w:marRight w:val="0"/>
      <w:marTop w:val="0"/>
      <w:marBottom w:val="0"/>
      <w:divBdr>
        <w:top w:val="none" w:sz="0" w:space="0" w:color="auto"/>
        <w:left w:val="none" w:sz="0" w:space="0" w:color="auto"/>
        <w:bottom w:val="none" w:sz="0" w:space="0" w:color="auto"/>
        <w:right w:val="none" w:sz="0" w:space="0" w:color="auto"/>
      </w:divBdr>
    </w:div>
    <w:div w:id="63575666">
      <w:bodyDiv w:val="1"/>
      <w:marLeft w:val="0"/>
      <w:marRight w:val="0"/>
      <w:marTop w:val="0"/>
      <w:marBottom w:val="0"/>
      <w:divBdr>
        <w:top w:val="none" w:sz="0" w:space="0" w:color="auto"/>
        <w:left w:val="none" w:sz="0" w:space="0" w:color="auto"/>
        <w:bottom w:val="none" w:sz="0" w:space="0" w:color="auto"/>
        <w:right w:val="none" w:sz="0" w:space="0" w:color="auto"/>
      </w:divBdr>
    </w:div>
    <w:div w:id="73665714">
      <w:bodyDiv w:val="1"/>
      <w:marLeft w:val="0"/>
      <w:marRight w:val="0"/>
      <w:marTop w:val="0"/>
      <w:marBottom w:val="0"/>
      <w:divBdr>
        <w:top w:val="none" w:sz="0" w:space="0" w:color="auto"/>
        <w:left w:val="none" w:sz="0" w:space="0" w:color="auto"/>
        <w:bottom w:val="none" w:sz="0" w:space="0" w:color="auto"/>
        <w:right w:val="none" w:sz="0" w:space="0" w:color="auto"/>
      </w:divBdr>
    </w:div>
    <w:div w:id="75591262">
      <w:bodyDiv w:val="1"/>
      <w:marLeft w:val="0"/>
      <w:marRight w:val="0"/>
      <w:marTop w:val="0"/>
      <w:marBottom w:val="0"/>
      <w:divBdr>
        <w:top w:val="none" w:sz="0" w:space="0" w:color="auto"/>
        <w:left w:val="none" w:sz="0" w:space="0" w:color="auto"/>
        <w:bottom w:val="none" w:sz="0" w:space="0" w:color="auto"/>
        <w:right w:val="none" w:sz="0" w:space="0" w:color="auto"/>
      </w:divBdr>
    </w:div>
    <w:div w:id="78210803">
      <w:bodyDiv w:val="1"/>
      <w:marLeft w:val="0"/>
      <w:marRight w:val="0"/>
      <w:marTop w:val="0"/>
      <w:marBottom w:val="0"/>
      <w:divBdr>
        <w:top w:val="none" w:sz="0" w:space="0" w:color="auto"/>
        <w:left w:val="none" w:sz="0" w:space="0" w:color="auto"/>
        <w:bottom w:val="none" w:sz="0" w:space="0" w:color="auto"/>
        <w:right w:val="none" w:sz="0" w:space="0" w:color="auto"/>
      </w:divBdr>
      <w:divsChild>
        <w:div w:id="329260191">
          <w:marLeft w:val="360"/>
          <w:marRight w:val="0"/>
          <w:marTop w:val="200"/>
          <w:marBottom w:val="0"/>
          <w:divBdr>
            <w:top w:val="none" w:sz="0" w:space="0" w:color="auto"/>
            <w:left w:val="none" w:sz="0" w:space="0" w:color="auto"/>
            <w:bottom w:val="none" w:sz="0" w:space="0" w:color="auto"/>
            <w:right w:val="none" w:sz="0" w:space="0" w:color="auto"/>
          </w:divBdr>
        </w:div>
      </w:divsChild>
    </w:div>
    <w:div w:id="146437203">
      <w:bodyDiv w:val="1"/>
      <w:marLeft w:val="0"/>
      <w:marRight w:val="0"/>
      <w:marTop w:val="0"/>
      <w:marBottom w:val="0"/>
      <w:divBdr>
        <w:top w:val="none" w:sz="0" w:space="0" w:color="auto"/>
        <w:left w:val="none" w:sz="0" w:space="0" w:color="auto"/>
        <w:bottom w:val="none" w:sz="0" w:space="0" w:color="auto"/>
        <w:right w:val="none" w:sz="0" w:space="0" w:color="auto"/>
      </w:divBdr>
    </w:div>
    <w:div w:id="176504005">
      <w:bodyDiv w:val="1"/>
      <w:marLeft w:val="0"/>
      <w:marRight w:val="0"/>
      <w:marTop w:val="0"/>
      <w:marBottom w:val="0"/>
      <w:divBdr>
        <w:top w:val="none" w:sz="0" w:space="0" w:color="auto"/>
        <w:left w:val="none" w:sz="0" w:space="0" w:color="auto"/>
        <w:bottom w:val="none" w:sz="0" w:space="0" w:color="auto"/>
        <w:right w:val="none" w:sz="0" w:space="0" w:color="auto"/>
      </w:divBdr>
    </w:div>
    <w:div w:id="205140416">
      <w:bodyDiv w:val="1"/>
      <w:marLeft w:val="0"/>
      <w:marRight w:val="0"/>
      <w:marTop w:val="0"/>
      <w:marBottom w:val="0"/>
      <w:divBdr>
        <w:top w:val="none" w:sz="0" w:space="0" w:color="auto"/>
        <w:left w:val="none" w:sz="0" w:space="0" w:color="auto"/>
        <w:bottom w:val="none" w:sz="0" w:space="0" w:color="auto"/>
        <w:right w:val="none" w:sz="0" w:space="0" w:color="auto"/>
      </w:divBdr>
    </w:div>
    <w:div w:id="226840222">
      <w:bodyDiv w:val="1"/>
      <w:marLeft w:val="0"/>
      <w:marRight w:val="0"/>
      <w:marTop w:val="0"/>
      <w:marBottom w:val="0"/>
      <w:divBdr>
        <w:top w:val="none" w:sz="0" w:space="0" w:color="auto"/>
        <w:left w:val="none" w:sz="0" w:space="0" w:color="auto"/>
        <w:bottom w:val="none" w:sz="0" w:space="0" w:color="auto"/>
        <w:right w:val="none" w:sz="0" w:space="0" w:color="auto"/>
      </w:divBdr>
    </w:div>
    <w:div w:id="501894858">
      <w:bodyDiv w:val="1"/>
      <w:marLeft w:val="0"/>
      <w:marRight w:val="0"/>
      <w:marTop w:val="0"/>
      <w:marBottom w:val="0"/>
      <w:divBdr>
        <w:top w:val="none" w:sz="0" w:space="0" w:color="auto"/>
        <w:left w:val="none" w:sz="0" w:space="0" w:color="auto"/>
        <w:bottom w:val="none" w:sz="0" w:space="0" w:color="auto"/>
        <w:right w:val="none" w:sz="0" w:space="0" w:color="auto"/>
      </w:divBdr>
    </w:div>
    <w:div w:id="546183857">
      <w:bodyDiv w:val="1"/>
      <w:marLeft w:val="0"/>
      <w:marRight w:val="0"/>
      <w:marTop w:val="0"/>
      <w:marBottom w:val="0"/>
      <w:divBdr>
        <w:top w:val="none" w:sz="0" w:space="0" w:color="auto"/>
        <w:left w:val="none" w:sz="0" w:space="0" w:color="auto"/>
        <w:bottom w:val="none" w:sz="0" w:space="0" w:color="auto"/>
        <w:right w:val="none" w:sz="0" w:space="0" w:color="auto"/>
      </w:divBdr>
    </w:div>
    <w:div w:id="549345732">
      <w:bodyDiv w:val="1"/>
      <w:marLeft w:val="0"/>
      <w:marRight w:val="0"/>
      <w:marTop w:val="0"/>
      <w:marBottom w:val="0"/>
      <w:divBdr>
        <w:top w:val="none" w:sz="0" w:space="0" w:color="auto"/>
        <w:left w:val="none" w:sz="0" w:space="0" w:color="auto"/>
        <w:bottom w:val="none" w:sz="0" w:space="0" w:color="auto"/>
        <w:right w:val="none" w:sz="0" w:space="0" w:color="auto"/>
      </w:divBdr>
      <w:divsChild>
        <w:div w:id="1261141048">
          <w:marLeft w:val="360"/>
          <w:marRight w:val="0"/>
          <w:marTop w:val="200"/>
          <w:marBottom w:val="0"/>
          <w:divBdr>
            <w:top w:val="none" w:sz="0" w:space="0" w:color="auto"/>
            <w:left w:val="none" w:sz="0" w:space="0" w:color="auto"/>
            <w:bottom w:val="none" w:sz="0" w:space="0" w:color="auto"/>
            <w:right w:val="none" w:sz="0" w:space="0" w:color="auto"/>
          </w:divBdr>
        </w:div>
      </w:divsChild>
    </w:div>
    <w:div w:id="556629526">
      <w:bodyDiv w:val="1"/>
      <w:marLeft w:val="0"/>
      <w:marRight w:val="0"/>
      <w:marTop w:val="0"/>
      <w:marBottom w:val="0"/>
      <w:divBdr>
        <w:top w:val="none" w:sz="0" w:space="0" w:color="auto"/>
        <w:left w:val="none" w:sz="0" w:space="0" w:color="auto"/>
        <w:bottom w:val="none" w:sz="0" w:space="0" w:color="auto"/>
        <w:right w:val="none" w:sz="0" w:space="0" w:color="auto"/>
      </w:divBdr>
    </w:div>
    <w:div w:id="587881958">
      <w:bodyDiv w:val="1"/>
      <w:marLeft w:val="0"/>
      <w:marRight w:val="0"/>
      <w:marTop w:val="0"/>
      <w:marBottom w:val="0"/>
      <w:divBdr>
        <w:top w:val="none" w:sz="0" w:space="0" w:color="auto"/>
        <w:left w:val="none" w:sz="0" w:space="0" w:color="auto"/>
        <w:bottom w:val="none" w:sz="0" w:space="0" w:color="auto"/>
        <w:right w:val="none" w:sz="0" w:space="0" w:color="auto"/>
      </w:divBdr>
    </w:div>
    <w:div w:id="609508282">
      <w:bodyDiv w:val="1"/>
      <w:marLeft w:val="0"/>
      <w:marRight w:val="0"/>
      <w:marTop w:val="0"/>
      <w:marBottom w:val="0"/>
      <w:divBdr>
        <w:top w:val="none" w:sz="0" w:space="0" w:color="auto"/>
        <w:left w:val="none" w:sz="0" w:space="0" w:color="auto"/>
        <w:bottom w:val="none" w:sz="0" w:space="0" w:color="auto"/>
        <w:right w:val="none" w:sz="0" w:space="0" w:color="auto"/>
      </w:divBdr>
    </w:div>
    <w:div w:id="642350879">
      <w:bodyDiv w:val="1"/>
      <w:marLeft w:val="0"/>
      <w:marRight w:val="0"/>
      <w:marTop w:val="0"/>
      <w:marBottom w:val="0"/>
      <w:divBdr>
        <w:top w:val="none" w:sz="0" w:space="0" w:color="auto"/>
        <w:left w:val="none" w:sz="0" w:space="0" w:color="auto"/>
        <w:bottom w:val="none" w:sz="0" w:space="0" w:color="auto"/>
        <w:right w:val="none" w:sz="0" w:space="0" w:color="auto"/>
      </w:divBdr>
    </w:div>
    <w:div w:id="674454038">
      <w:bodyDiv w:val="1"/>
      <w:marLeft w:val="0"/>
      <w:marRight w:val="0"/>
      <w:marTop w:val="0"/>
      <w:marBottom w:val="0"/>
      <w:divBdr>
        <w:top w:val="none" w:sz="0" w:space="0" w:color="auto"/>
        <w:left w:val="none" w:sz="0" w:space="0" w:color="auto"/>
        <w:bottom w:val="none" w:sz="0" w:space="0" w:color="auto"/>
        <w:right w:val="none" w:sz="0" w:space="0" w:color="auto"/>
      </w:divBdr>
    </w:div>
    <w:div w:id="720325753">
      <w:bodyDiv w:val="1"/>
      <w:marLeft w:val="0"/>
      <w:marRight w:val="0"/>
      <w:marTop w:val="0"/>
      <w:marBottom w:val="0"/>
      <w:divBdr>
        <w:top w:val="none" w:sz="0" w:space="0" w:color="auto"/>
        <w:left w:val="none" w:sz="0" w:space="0" w:color="auto"/>
        <w:bottom w:val="none" w:sz="0" w:space="0" w:color="auto"/>
        <w:right w:val="none" w:sz="0" w:space="0" w:color="auto"/>
      </w:divBdr>
    </w:div>
    <w:div w:id="736778982">
      <w:bodyDiv w:val="1"/>
      <w:marLeft w:val="0"/>
      <w:marRight w:val="0"/>
      <w:marTop w:val="0"/>
      <w:marBottom w:val="0"/>
      <w:divBdr>
        <w:top w:val="none" w:sz="0" w:space="0" w:color="auto"/>
        <w:left w:val="none" w:sz="0" w:space="0" w:color="auto"/>
        <w:bottom w:val="none" w:sz="0" w:space="0" w:color="auto"/>
        <w:right w:val="none" w:sz="0" w:space="0" w:color="auto"/>
      </w:divBdr>
    </w:div>
    <w:div w:id="784421335">
      <w:bodyDiv w:val="1"/>
      <w:marLeft w:val="0"/>
      <w:marRight w:val="0"/>
      <w:marTop w:val="0"/>
      <w:marBottom w:val="0"/>
      <w:divBdr>
        <w:top w:val="none" w:sz="0" w:space="0" w:color="auto"/>
        <w:left w:val="none" w:sz="0" w:space="0" w:color="auto"/>
        <w:bottom w:val="none" w:sz="0" w:space="0" w:color="auto"/>
        <w:right w:val="none" w:sz="0" w:space="0" w:color="auto"/>
      </w:divBdr>
    </w:div>
    <w:div w:id="803158945">
      <w:bodyDiv w:val="1"/>
      <w:marLeft w:val="0"/>
      <w:marRight w:val="0"/>
      <w:marTop w:val="0"/>
      <w:marBottom w:val="0"/>
      <w:divBdr>
        <w:top w:val="none" w:sz="0" w:space="0" w:color="auto"/>
        <w:left w:val="none" w:sz="0" w:space="0" w:color="auto"/>
        <w:bottom w:val="none" w:sz="0" w:space="0" w:color="auto"/>
        <w:right w:val="none" w:sz="0" w:space="0" w:color="auto"/>
      </w:divBdr>
    </w:div>
    <w:div w:id="846939066">
      <w:bodyDiv w:val="1"/>
      <w:marLeft w:val="0"/>
      <w:marRight w:val="0"/>
      <w:marTop w:val="0"/>
      <w:marBottom w:val="0"/>
      <w:divBdr>
        <w:top w:val="none" w:sz="0" w:space="0" w:color="auto"/>
        <w:left w:val="none" w:sz="0" w:space="0" w:color="auto"/>
        <w:bottom w:val="none" w:sz="0" w:space="0" w:color="auto"/>
        <w:right w:val="none" w:sz="0" w:space="0" w:color="auto"/>
      </w:divBdr>
    </w:div>
    <w:div w:id="919867388">
      <w:bodyDiv w:val="1"/>
      <w:marLeft w:val="0"/>
      <w:marRight w:val="0"/>
      <w:marTop w:val="0"/>
      <w:marBottom w:val="0"/>
      <w:divBdr>
        <w:top w:val="none" w:sz="0" w:space="0" w:color="auto"/>
        <w:left w:val="none" w:sz="0" w:space="0" w:color="auto"/>
        <w:bottom w:val="none" w:sz="0" w:space="0" w:color="auto"/>
        <w:right w:val="none" w:sz="0" w:space="0" w:color="auto"/>
      </w:divBdr>
    </w:div>
    <w:div w:id="944388033">
      <w:bodyDiv w:val="1"/>
      <w:marLeft w:val="0"/>
      <w:marRight w:val="0"/>
      <w:marTop w:val="0"/>
      <w:marBottom w:val="0"/>
      <w:divBdr>
        <w:top w:val="none" w:sz="0" w:space="0" w:color="auto"/>
        <w:left w:val="none" w:sz="0" w:space="0" w:color="auto"/>
        <w:bottom w:val="none" w:sz="0" w:space="0" w:color="auto"/>
        <w:right w:val="none" w:sz="0" w:space="0" w:color="auto"/>
      </w:divBdr>
    </w:div>
    <w:div w:id="1035933965">
      <w:bodyDiv w:val="1"/>
      <w:marLeft w:val="0"/>
      <w:marRight w:val="0"/>
      <w:marTop w:val="0"/>
      <w:marBottom w:val="0"/>
      <w:divBdr>
        <w:top w:val="none" w:sz="0" w:space="0" w:color="auto"/>
        <w:left w:val="none" w:sz="0" w:space="0" w:color="auto"/>
        <w:bottom w:val="none" w:sz="0" w:space="0" w:color="auto"/>
        <w:right w:val="none" w:sz="0" w:space="0" w:color="auto"/>
      </w:divBdr>
    </w:div>
    <w:div w:id="1060253118">
      <w:bodyDiv w:val="1"/>
      <w:marLeft w:val="0"/>
      <w:marRight w:val="0"/>
      <w:marTop w:val="0"/>
      <w:marBottom w:val="0"/>
      <w:divBdr>
        <w:top w:val="none" w:sz="0" w:space="0" w:color="auto"/>
        <w:left w:val="none" w:sz="0" w:space="0" w:color="auto"/>
        <w:bottom w:val="none" w:sz="0" w:space="0" w:color="auto"/>
        <w:right w:val="none" w:sz="0" w:space="0" w:color="auto"/>
      </w:divBdr>
    </w:div>
    <w:div w:id="1107693646">
      <w:bodyDiv w:val="1"/>
      <w:marLeft w:val="0"/>
      <w:marRight w:val="0"/>
      <w:marTop w:val="0"/>
      <w:marBottom w:val="0"/>
      <w:divBdr>
        <w:top w:val="none" w:sz="0" w:space="0" w:color="auto"/>
        <w:left w:val="none" w:sz="0" w:space="0" w:color="auto"/>
        <w:bottom w:val="none" w:sz="0" w:space="0" w:color="auto"/>
        <w:right w:val="none" w:sz="0" w:space="0" w:color="auto"/>
      </w:divBdr>
    </w:div>
    <w:div w:id="1138301460">
      <w:bodyDiv w:val="1"/>
      <w:marLeft w:val="0"/>
      <w:marRight w:val="0"/>
      <w:marTop w:val="0"/>
      <w:marBottom w:val="0"/>
      <w:divBdr>
        <w:top w:val="none" w:sz="0" w:space="0" w:color="auto"/>
        <w:left w:val="none" w:sz="0" w:space="0" w:color="auto"/>
        <w:bottom w:val="none" w:sz="0" w:space="0" w:color="auto"/>
        <w:right w:val="none" w:sz="0" w:space="0" w:color="auto"/>
      </w:divBdr>
    </w:div>
    <w:div w:id="1361470572">
      <w:bodyDiv w:val="1"/>
      <w:marLeft w:val="0"/>
      <w:marRight w:val="0"/>
      <w:marTop w:val="0"/>
      <w:marBottom w:val="0"/>
      <w:divBdr>
        <w:top w:val="none" w:sz="0" w:space="0" w:color="auto"/>
        <w:left w:val="none" w:sz="0" w:space="0" w:color="auto"/>
        <w:bottom w:val="none" w:sz="0" w:space="0" w:color="auto"/>
        <w:right w:val="none" w:sz="0" w:space="0" w:color="auto"/>
      </w:divBdr>
    </w:div>
    <w:div w:id="1365903576">
      <w:bodyDiv w:val="1"/>
      <w:marLeft w:val="0"/>
      <w:marRight w:val="0"/>
      <w:marTop w:val="0"/>
      <w:marBottom w:val="0"/>
      <w:divBdr>
        <w:top w:val="none" w:sz="0" w:space="0" w:color="auto"/>
        <w:left w:val="none" w:sz="0" w:space="0" w:color="auto"/>
        <w:bottom w:val="none" w:sz="0" w:space="0" w:color="auto"/>
        <w:right w:val="none" w:sz="0" w:space="0" w:color="auto"/>
      </w:divBdr>
      <w:divsChild>
        <w:div w:id="224099633">
          <w:marLeft w:val="0"/>
          <w:marRight w:val="0"/>
          <w:marTop w:val="0"/>
          <w:marBottom w:val="0"/>
          <w:divBdr>
            <w:top w:val="none" w:sz="0" w:space="0" w:color="auto"/>
            <w:left w:val="none" w:sz="0" w:space="0" w:color="auto"/>
            <w:bottom w:val="none" w:sz="0" w:space="0" w:color="auto"/>
            <w:right w:val="none" w:sz="0" w:space="0" w:color="auto"/>
          </w:divBdr>
        </w:div>
        <w:div w:id="1962804053">
          <w:marLeft w:val="0"/>
          <w:marRight w:val="0"/>
          <w:marTop w:val="0"/>
          <w:marBottom w:val="0"/>
          <w:divBdr>
            <w:top w:val="none" w:sz="0" w:space="0" w:color="auto"/>
            <w:left w:val="none" w:sz="0" w:space="0" w:color="auto"/>
            <w:bottom w:val="none" w:sz="0" w:space="0" w:color="auto"/>
            <w:right w:val="none" w:sz="0" w:space="0" w:color="auto"/>
          </w:divBdr>
          <w:divsChild>
            <w:div w:id="1345011973">
              <w:marLeft w:val="0"/>
              <w:marRight w:val="0"/>
              <w:marTop w:val="0"/>
              <w:marBottom w:val="0"/>
              <w:divBdr>
                <w:top w:val="none" w:sz="0" w:space="0" w:color="auto"/>
                <w:left w:val="none" w:sz="0" w:space="0" w:color="auto"/>
                <w:bottom w:val="none" w:sz="0" w:space="0" w:color="auto"/>
                <w:right w:val="none" w:sz="0" w:space="0" w:color="auto"/>
              </w:divBdr>
            </w:div>
            <w:div w:id="16160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068">
      <w:bodyDiv w:val="1"/>
      <w:marLeft w:val="0"/>
      <w:marRight w:val="0"/>
      <w:marTop w:val="0"/>
      <w:marBottom w:val="0"/>
      <w:divBdr>
        <w:top w:val="none" w:sz="0" w:space="0" w:color="auto"/>
        <w:left w:val="none" w:sz="0" w:space="0" w:color="auto"/>
        <w:bottom w:val="none" w:sz="0" w:space="0" w:color="auto"/>
        <w:right w:val="none" w:sz="0" w:space="0" w:color="auto"/>
      </w:divBdr>
    </w:div>
    <w:div w:id="1432555708">
      <w:bodyDiv w:val="1"/>
      <w:marLeft w:val="0"/>
      <w:marRight w:val="0"/>
      <w:marTop w:val="0"/>
      <w:marBottom w:val="0"/>
      <w:divBdr>
        <w:top w:val="none" w:sz="0" w:space="0" w:color="auto"/>
        <w:left w:val="none" w:sz="0" w:space="0" w:color="auto"/>
        <w:bottom w:val="none" w:sz="0" w:space="0" w:color="auto"/>
        <w:right w:val="none" w:sz="0" w:space="0" w:color="auto"/>
      </w:divBdr>
    </w:div>
    <w:div w:id="1469013951">
      <w:bodyDiv w:val="1"/>
      <w:marLeft w:val="0"/>
      <w:marRight w:val="0"/>
      <w:marTop w:val="0"/>
      <w:marBottom w:val="0"/>
      <w:divBdr>
        <w:top w:val="none" w:sz="0" w:space="0" w:color="auto"/>
        <w:left w:val="none" w:sz="0" w:space="0" w:color="auto"/>
        <w:bottom w:val="none" w:sz="0" w:space="0" w:color="auto"/>
        <w:right w:val="none" w:sz="0" w:space="0" w:color="auto"/>
      </w:divBdr>
    </w:div>
    <w:div w:id="1655065627">
      <w:bodyDiv w:val="1"/>
      <w:marLeft w:val="0"/>
      <w:marRight w:val="0"/>
      <w:marTop w:val="0"/>
      <w:marBottom w:val="0"/>
      <w:divBdr>
        <w:top w:val="none" w:sz="0" w:space="0" w:color="auto"/>
        <w:left w:val="none" w:sz="0" w:space="0" w:color="auto"/>
        <w:bottom w:val="none" w:sz="0" w:space="0" w:color="auto"/>
        <w:right w:val="none" w:sz="0" w:space="0" w:color="auto"/>
      </w:divBdr>
    </w:div>
    <w:div w:id="1676033634">
      <w:bodyDiv w:val="1"/>
      <w:marLeft w:val="0"/>
      <w:marRight w:val="0"/>
      <w:marTop w:val="0"/>
      <w:marBottom w:val="0"/>
      <w:divBdr>
        <w:top w:val="none" w:sz="0" w:space="0" w:color="auto"/>
        <w:left w:val="none" w:sz="0" w:space="0" w:color="auto"/>
        <w:bottom w:val="none" w:sz="0" w:space="0" w:color="auto"/>
        <w:right w:val="none" w:sz="0" w:space="0" w:color="auto"/>
      </w:divBdr>
    </w:div>
    <w:div w:id="1689022645">
      <w:bodyDiv w:val="1"/>
      <w:marLeft w:val="0"/>
      <w:marRight w:val="0"/>
      <w:marTop w:val="0"/>
      <w:marBottom w:val="0"/>
      <w:divBdr>
        <w:top w:val="none" w:sz="0" w:space="0" w:color="auto"/>
        <w:left w:val="none" w:sz="0" w:space="0" w:color="auto"/>
        <w:bottom w:val="none" w:sz="0" w:space="0" w:color="auto"/>
        <w:right w:val="none" w:sz="0" w:space="0" w:color="auto"/>
      </w:divBdr>
    </w:div>
    <w:div w:id="1698966896">
      <w:bodyDiv w:val="1"/>
      <w:marLeft w:val="0"/>
      <w:marRight w:val="0"/>
      <w:marTop w:val="0"/>
      <w:marBottom w:val="0"/>
      <w:divBdr>
        <w:top w:val="none" w:sz="0" w:space="0" w:color="auto"/>
        <w:left w:val="none" w:sz="0" w:space="0" w:color="auto"/>
        <w:bottom w:val="none" w:sz="0" w:space="0" w:color="auto"/>
        <w:right w:val="none" w:sz="0" w:space="0" w:color="auto"/>
      </w:divBdr>
    </w:div>
    <w:div w:id="1799030852">
      <w:bodyDiv w:val="1"/>
      <w:marLeft w:val="0"/>
      <w:marRight w:val="0"/>
      <w:marTop w:val="0"/>
      <w:marBottom w:val="0"/>
      <w:divBdr>
        <w:top w:val="none" w:sz="0" w:space="0" w:color="auto"/>
        <w:left w:val="none" w:sz="0" w:space="0" w:color="auto"/>
        <w:bottom w:val="none" w:sz="0" w:space="0" w:color="auto"/>
        <w:right w:val="none" w:sz="0" w:space="0" w:color="auto"/>
      </w:divBdr>
    </w:div>
    <w:div w:id="1853294739">
      <w:bodyDiv w:val="1"/>
      <w:marLeft w:val="0"/>
      <w:marRight w:val="0"/>
      <w:marTop w:val="0"/>
      <w:marBottom w:val="0"/>
      <w:divBdr>
        <w:top w:val="none" w:sz="0" w:space="0" w:color="auto"/>
        <w:left w:val="none" w:sz="0" w:space="0" w:color="auto"/>
        <w:bottom w:val="none" w:sz="0" w:space="0" w:color="auto"/>
        <w:right w:val="none" w:sz="0" w:space="0" w:color="auto"/>
      </w:divBdr>
    </w:div>
    <w:div w:id="1855535974">
      <w:bodyDiv w:val="1"/>
      <w:marLeft w:val="0"/>
      <w:marRight w:val="0"/>
      <w:marTop w:val="0"/>
      <w:marBottom w:val="0"/>
      <w:divBdr>
        <w:top w:val="none" w:sz="0" w:space="0" w:color="auto"/>
        <w:left w:val="none" w:sz="0" w:space="0" w:color="auto"/>
        <w:bottom w:val="none" w:sz="0" w:space="0" w:color="auto"/>
        <w:right w:val="none" w:sz="0" w:space="0" w:color="auto"/>
      </w:divBdr>
    </w:div>
    <w:div w:id="1861122399">
      <w:bodyDiv w:val="1"/>
      <w:marLeft w:val="0"/>
      <w:marRight w:val="0"/>
      <w:marTop w:val="0"/>
      <w:marBottom w:val="0"/>
      <w:divBdr>
        <w:top w:val="none" w:sz="0" w:space="0" w:color="auto"/>
        <w:left w:val="none" w:sz="0" w:space="0" w:color="auto"/>
        <w:bottom w:val="none" w:sz="0" w:space="0" w:color="auto"/>
        <w:right w:val="none" w:sz="0" w:space="0" w:color="auto"/>
      </w:divBdr>
    </w:div>
    <w:div w:id="1886718684">
      <w:bodyDiv w:val="1"/>
      <w:marLeft w:val="0"/>
      <w:marRight w:val="0"/>
      <w:marTop w:val="0"/>
      <w:marBottom w:val="0"/>
      <w:divBdr>
        <w:top w:val="none" w:sz="0" w:space="0" w:color="auto"/>
        <w:left w:val="none" w:sz="0" w:space="0" w:color="auto"/>
        <w:bottom w:val="none" w:sz="0" w:space="0" w:color="auto"/>
        <w:right w:val="none" w:sz="0" w:space="0" w:color="auto"/>
      </w:divBdr>
    </w:div>
    <w:div w:id="1962420085">
      <w:bodyDiv w:val="1"/>
      <w:marLeft w:val="0"/>
      <w:marRight w:val="0"/>
      <w:marTop w:val="0"/>
      <w:marBottom w:val="0"/>
      <w:divBdr>
        <w:top w:val="none" w:sz="0" w:space="0" w:color="auto"/>
        <w:left w:val="none" w:sz="0" w:space="0" w:color="auto"/>
        <w:bottom w:val="none" w:sz="0" w:space="0" w:color="auto"/>
        <w:right w:val="none" w:sz="0" w:space="0" w:color="auto"/>
      </w:divBdr>
    </w:div>
    <w:div w:id="1962608912">
      <w:bodyDiv w:val="1"/>
      <w:marLeft w:val="0"/>
      <w:marRight w:val="0"/>
      <w:marTop w:val="0"/>
      <w:marBottom w:val="0"/>
      <w:divBdr>
        <w:top w:val="none" w:sz="0" w:space="0" w:color="auto"/>
        <w:left w:val="none" w:sz="0" w:space="0" w:color="auto"/>
        <w:bottom w:val="none" w:sz="0" w:space="0" w:color="auto"/>
        <w:right w:val="none" w:sz="0" w:space="0" w:color="auto"/>
      </w:divBdr>
    </w:div>
    <w:div w:id="199441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dnr.state.mn.us/education/geology/digging/taconi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escription xmlns="57a8db90-571c-4dc3-8a43-016e5d26abab" xsi:nil="true"/>
    <_ip_UnifiedCompliancePolicyProperties xmlns="http://schemas.microsoft.com/sharepoint/v3" xsi:nil="true"/>
    <SharedWithUsers xmlns="a61383b9-f61d-4814-b4b0-5bc4f7ddeb55">
      <UserInfo>
        <DisplayName>Shepherd, Don</DisplayName>
        <AccountId>15</AccountId>
        <AccountType/>
      </UserInfo>
      <UserInfo>
        <DisplayName>Miller, Debra C</DisplayName>
        <AccountId>17</AccountId>
        <AccountType/>
      </UserInfo>
      <UserInfo>
        <DisplayName>King, Kirsten L</DisplayName>
        <AccountId>14</AccountId>
        <AccountType/>
      </UserInfo>
      <UserInfo>
        <DisplayName>Pohlman, David C.</DisplayName>
        <AccountId>13</AccountId>
        <AccountType/>
      </UserInfo>
      <UserInfo>
        <DisplayName>Devore, Lisa M</DisplayName>
        <AccountId>48</AccountId>
        <AccountType/>
      </UserInfo>
      <UserInfo>
        <DisplayName>Peters, Melanie</DisplayName>
        <AccountId>7</AccountId>
        <AccountType/>
      </UserInfo>
      <UserInfo>
        <DisplayName>Cheatham, Jim R</DisplayName>
        <AccountId>34</AccountId>
        <AccountType/>
      </UserInfo>
      <UserInfo>
        <DisplayName>Vimont, John</DisplayName>
        <AccountId>29</AccountId>
        <AccountType/>
      </UserInfo>
    </SharedWithUsers>
    <lcf76f155ced4ddcb4097134ff3c332f xmlns="57a8db90-571c-4dc3-8a43-016e5d26abab">
      <Terms xmlns="http://schemas.microsoft.com/office/infopath/2007/PartnerControls"/>
    </lcf76f155ced4ddcb4097134ff3c332f>
    <TaxCatchAll xmlns="31062a0d-ede8-4112-b4bb-00a9c1bc8e1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093E8F7BF98640A0B476AB00A11CED" ma:contentTypeVersion="16" ma:contentTypeDescription="Create a new document." ma:contentTypeScope="" ma:versionID="fa998b2467659c2ff89a285b7f9a6de1">
  <xsd:schema xmlns:xsd="http://www.w3.org/2001/XMLSchema" xmlns:xs="http://www.w3.org/2001/XMLSchema" xmlns:p="http://schemas.microsoft.com/office/2006/metadata/properties" xmlns:ns1="http://schemas.microsoft.com/sharepoint/v3" xmlns:ns2="57a8db90-571c-4dc3-8a43-016e5d26abab" xmlns:ns3="a61383b9-f61d-4814-b4b0-5bc4f7ddeb55" xmlns:ns4="31062a0d-ede8-4112-b4bb-00a9c1bc8e16" targetNamespace="http://schemas.microsoft.com/office/2006/metadata/properties" ma:root="true" ma:fieldsID="5778e7fc0f19114e01225581bd892aab" ns1:_="" ns2:_="" ns3:_="" ns4:_="">
    <xsd:import namespace="http://schemas.microsoft.com/sharepoint/v3"/>
    <xsd:import namespace="57a8db90-571c-4dc3-8a43-016e5d26abab"/>
    <xsd:import namespace="a61383b9-f61d-4814-b4b0-5bc4f7ddeb55"/>
    <xsd:import namespace="31062a0d-ede8-4112-b4bb-00a9c1bc8e16"/>
    <xsd:element name="properties">
      <xsd:complexType>
        <xsd:sequence>
          <xsd:element name="documentManagement">
            <xsd:complexType>
              <xsd:all>
                <xsd:element ref="ns2:Description" minOccurs="0"/>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8db90-571c-4dc3-8a43-016e5d26abab"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1383b9-f61d-4814-b4b0-5bc4f7ddeb5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38247a-d2b7-40d8-a682-8eee7e254a59}" ma:internalName="TaxCatchAll" ma:showField="CatchAllData" ma:web="a61383b9-f61d-4814-b4b0-5bc4f7ddeb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AA90D-E261-4D60-B136-E8832B51B4D1}">
  <ds:schemaRefs>
    <ds:schemaRef ds:uri="http://schemas.microsoft.com/sharepoint/v3/contenttype/forms"/>
  </ds:schemaRefs>
</ds:datastoreItem>
</file>

<file path=customXml/itemProps2.xml><?xml version="1.0" encoding="utf-8"?>
<ds:datastoreItem xmlns:ds="http://schemas.openxmlformats.org/officeDocument/2006/customXml" ds:itemID="{F48B501D-E8BD-476C-99CA-03D18C368302}">
  <ds:schemaRefs>
    <ds:schemaRef ds:uri="http://schemas.microsoft.com/office/2006/metadata/properties"/>
    <ds:schemaRef ds:uri="http://schemas.microsoft.com/office/infopath/2007/PartnerControls"/>
    <ds:schemaRef ds:uri="http://schemas.microsoft.com/sharepoint/v3"/>
    <ds:schemaRef ds:uri="57a8db90-571c-4dc3-8a43-016e5d26abab"/>
    <ds:schemaRef ds:uri="a61383b9-f61d-4814-b4b0-5bc4f7ddeb55"/>
    <ds:schemaRef ds:uri="31062a0d-ede8-4112-b4bb-00a9c1bc8e16"/>
  </ds:schemaRefs>
</ds:datastoreItem>
</file>

<file path=customXml/itemProps3.xml><?xml version="1.0" encoding="utf-8"?>
<ds:datastoreItem xmlns:ds="http://schemas.openxmlformats.org/officeDocument/2006/customXml" ds:itemID="{A0CD9640-2940-45CB-89E9-288FF71268D7}">
  <ds:schemaRefs>
    <ds:schemaRef ds:uri="http://schemas.openxmlformats.org/officeDocument/2006/bibliography"/>
  </ds:schemaRefs>
</ds:datastoreItem>
</file>

<file path=customXml/itemProps4.xml><?xml version="1.0" encoding="utf-8"?>
<ds:datastoreItem xmlns:ds="http://schemas.openxmlformats.org/officeDocument/2006/customXml" ds:itemID="{E902028D-ADB7-4CE3-BADB-5AEC8FB1D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a8db90-571c-4dc3-8a43-016e5d26abab"/>
    <ds:schemaRef ds:uri="a61383b9-f61d-4814-b4b0-5bc4f7ddeb55"/>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21489</Words>
  <Characters>122491</Characters>
  <Application>Microsoft Office Word</Application>
  <DocSecurity>4</DocSecurity>
  <Lines>1020</Lines>
  <Paragraphs>287</Paragraphs>
  <ScaleCrop>false</ScaleCrop>
  <Company/>
  <LinksUpToDate>false</LinksUpToDate>
  <CharactersWithSpaces>143693</CharactersWithSpaces>
  <SharedDoc>false</SharedDoc>
  <HLinks>
    <vt:vector size="138" baseType="variant">
      <vt:variant>
        <vt:i4>1507383</vt:i4>
      </vt:variant>
      <vt:variant>
        <vt:i4>128</vt:i4>
      </vt:variant>
      <vt:variant>
        <vt:i4>0</vt:i4>
      </vt:variant>
      <vt:variant>
        <vt:i4>5</vt:i4>
      </vt:variant>
      <vt:variant>
        <vt:lpwstr/>
      </vt:variant>
      <vt:variant>
        <vt:lpwstr>_Toc115775436</vt:lpwstr>
      </vt:variant>
      <vt:variant>
        <vt:i4>1507383</vt:i4>
      </vt:variant>
      <vt:variant>
        <vt:i4>122</vt:i4>
      </vt:variant>
      <vt:variant>
        <vt:i4>0</vt:i4>
      </vt:variant>
      <vt:variant>
        <vt:i4>5</vt:i4>
      </vt:variant>
      <vt:variant>
        <vt:lpwstr/>
      </vt:variant>
      <vt:variant>
        <vt:lpwstr>_Toc115775435</vt:lpwstr>
      </vt:variant>
      <vt:variant>
        <vt:i4>1507383</vt:i4>
      </vt:variant>
      <vt:variant>
        <vt:i4>116</vt:i4>
      </vt:variant>
      <vt:variant>
        <vt:i4>0</vt:i4>
      </vt:variant>
      <vt:variant>
        <vt:i4>5</vt:i4>
      </vt:variant>
      <vt:variant>
        <vt:lpwstr/>
      </vt:variant>
      <vt:variant>
        <vt:lpwstr>_Toc115775434</vt:lpwstr>
      </vt:variant>
      <vt:variant>
        <vt:i4>1507383</vt:i4>
      </vt:variant>
      <vt:variant>
        <vt:i4>110</vt:i4>
      </vt:variant>
      <vt:variant>
        <vt:i4>0</vt:i4>
      </vt:variant>
      <vt:variant>
        <vt:i4>5</vt:i4>
      </vt:variant>
      <vt:variant>
        <vt:lpwstr/>
      </vt:variant>
      <vt:variant>
        <vt:lpwstr>_Toc115775433</vt:lpwstr>
      </vt:variant>
      <vt:variant>
        <vt:i4>1507383</vt:i4>
      </vt:variant>
      <vt:variant>
        <vt:i4>104</vt:i4>
      </vt:variant>
      <vt:variant>
        <vt:i4>0</vt:i4>
      </vt:variant>
      <vt:variant>
        <vt:i4>5</vt:i4>
      </vt:variant>
      <vt:variant>
        <vt:lpwstr/>
      </vt:variant>
      <vt:variant>
        <vt:lpwstr>_Toc115775432</vt:lpwstr>
      </vt:variant>
      <vt:variant>
        <vt:i4>1507383</vt:i4>
      </vt:variant>
      <vt:variant>
        <vt:i4>98</vt:i4>
      </vt:variant>
      <vt:variant>
        <vt:i4>0</vt:i4>
      </vt:variant>
      <vt:variant>
        <vt:i4>5</vt:i4>
      </vt:variant>
      <vt:variant>
        <vt:lpwstr/>
      </vt:variant>
      <vt:variant>
        <vt:lpwstr>_Toc115775431</vt:lpwstr>
      </vt:variant>
      <vt:variant>
        <vt:i4>1507383</vt:i4>
      </vt:variant>
      <vt:variant>
        <vt:i4>92</vt:i4>
      </vt:variant>
      <vt:variant>
        <vt:i4>0</vt:i4>
      </vt:variant>
      <vt:variant>
        <vt:i4>5</vt:i4>
      </vt:variant>
      <vt:variant>
        <vt:lpwstr/>
      </vt:variant>
      <vt:variant>
        <vt:lpwstr>_Toc115775430</vt:lpwstr>
      </vt:variant>
      <vt:variant>
        <vt:i4>1441847</vt:i4>
      </vt:variant>
      <vt:variant>
        <vt:i4>86</vt:i4>
      </vt:variant>
      <vt:variant>
        <vt:i4>0</vt:i4>
      </vt:variant>
      <vt:variant>
        <vt:i4>5</vt:i4>
      </vt:variant>
      <vt:variant>
        <vt:lpwstr/>
      </vt:variant>
      <vt:variant>
        <vt:lpwstr>_Toc115775429</vt:lpwstr>
      </vt:variant>
      <vt:variant>
        <vt:i4>1441847</vt:i4>
      </vt:variant>
      <vt:variant>
        <vt:i4>80</vt:i4>
      </vt:variant>
      <vt:variant>
        <vt:i4>0</vt:i4>
      </vt:variant>
      <vt:variant>
        <vt:i4>5</vt:i4>
      </vt:variant>
      <vt:variant>
        <vt:lpwstr/>
      </vt:variant>
      <vt:variant>
        <vt:lpwstr>_Toc115775428</vt:lpwstr>
      </vt:variant>
      <vt:variant>
        <vt:i4>1441847</vt:i4>
      </vt:variant>
      <vt:variant>
        <vt:i4>74</vt:i4>
      </vt:variant>
      <vt:variant>
        <vt:i4>0</vt:i4>
      </vt:variant>
      <vt:variant>
        <vt:i4>5</vt:i4>
      </vt:variant>
      <vt:variant>
        <vt:lpwstr/>
      </vt:variant>
      <vt:variant>
        <vt:lpwstr>_Toc115775427</vt:lpwstr>
      </vt:variant>
      <vt:variant>
        <vt:i4>1441847</vt:i4>
      </vt:variant>
      <vt:variant>
        <vt:i4>68</vt:i4>
      </vt:variant>
      <vt:variant>
        <vt:i4>0</vt:i4>
      </vt:variant>
      <vt:variant>
        <vt:i4>5</vt:i4>
      </vt:variant>
      <vt:variant>
        <vt:lpwstr/>
      </vt:variant>
      <vt:variant>
        <vt:lpwstr>_Toc115775426</vt:lpwstr>
      </vt:variant>
      <vt:variant>
        <vt:i4>1441847</vt:i4>
      </vt:variant>
      <vt:variant>
        <vt:i4>62</vt:i4>
      </vt:variant>
      <vt:variant>
        <vt:i4>0</vt:i4>
      </vt:variant>
      <vt:variant>
        <vt:i4>5</vt:i4>
      </vt:variant>
      <vt:variant>
        <vt:lpwstr/>
      </vt:variant>
      <vt:variant>
        <vt:lpwstr>_Toc115775425</vt:lpwstr>
      </vt:variant>
      <vt:variant>
        <vt:i4>1441847</vt:i4>
      </vt:variant>
      <vt:variant>
        <vt:i4>56</vt:i4>
      </vt:variant>
      <vt:variant>
        <vt:i4>0</vt:i4>
      </vt:variant>
      <vt:variant>
        <vt:i4>5</vt:i4>
      </vt:variant>
      <vt:variant>
        <vt:lpwstr/>
      </vt:variant>
      <vt:variant>
        <vt:lpwstr>_Toc115775424</vt:lpwstr>
      </vt:variant>
      <vt:variant>
        <vt:i4>1441847</vt:i4>
      </vt:variant>
      <vt:variant>
        <vt:i4>50</vt:i4>
      </vt:variant>
      <vt:variant>
        <vt:i4>0</vt:i4>
      </vt:variant>
      <vt:variant>
        <vt:i4>5</vt:i4>
      </vt:variant>
      <vt:variant>
        <vt:lpwstr/>
      </vt:variant>
      <vt:variant>
        <vt:lpwstr>_Toc115775423</vt:lpwstr>
      </vt:variant>
      <vt:variant>
        <vt:i4>1441847</vt:i4>
      </vt:variant>
      <vt:variant>
        <vt:i4>44</vt:i4>
      </vt:variant>
      <vt:variant>
        <vt:i4>0</vt:i4>
      </vt:variant>
      <vt:variant>
        <vt:i4>5</vt:i4>
      </vt:variant>
      <vt:variant>
        <vt:lpwstr/>
      </vt:variant>
      <vt:variant>
        <vt:lpwstr>_Toc115775422</vt:lpwstr>
      </vt:variant>
      <vt:variant>
        <vt:i4>1441847</vt:i4>
      </vt:variant>
      <vt:variant>
        <vt:i4>38</vt:i4>
      </vt:variant>
      <vt:variant>
        <vt:i4>0</vt:i4>
      </vt:variant>
      <vt:variant>
        <vt:i4>5</vt:i4>
      </vt:variant>
      <vt:variant>
        <vt:lpwstr/>
      </vt:variant>
      <vt:variant>
        <vt:lpwstr>_Toc115775421</vt:lpwstr>
      </vt:variant>
      <vt:variant>
        <vt:i4>1441847</vt:i4>
      </vt:variant>
      <vt:variant>
        <vt:i4>32</vt:i4>
      </vt:variant>
      <vt:variant>
        <vt:i4>0</vt:i4>
      </vt:variant>
      <vt:variant>
        <vt:i4>5</vt:i4>
      </vt:variant>
      <vt:variant>
        <vt:lpwstr/>
      </vt:variant>
      <vt:variant>
        <vt:lpwstr>_Toc115775420</vt:lpwstr>
      </vt:variant>
      <vt:variant>
        <vt:i4>1376311</vt:i4>
      </vt:variant>
      <vt:variant>
        <vt:i4>26</vt:i4>
      </vt:variant>
      <vt:variant>
        <vt:i4>0</vt:i4>
      </vt:variant>
      <vt:variant>
        <vt:i4>5</vt:i4>
      </vt:variant>
      <vt:variant>
        <vt:lpwstr/>
      </vt:variant>
      <vt:variant>
        <vt:lpwstr>_Toc115775419</vt:lpwstr>
      </vt:variant>
      <vt:variant>
        <vt:i4>1376311</vt:i4>
      </vt:variant>
      <vt:variant>
        <vt:i4>20</vt:i4>
      </vt:variant>
      <vt:variant>
        <vt:i4>0</vt:i4>
      </vt:variant>
      <vt:variant>
        <vt:i4>5</vt:i4>
      </vt:variant>
      <vt:variant>
        <vt:lpwstr/>
      </vt:variant>
      <vt:variant>
        <vt:lpwstr>_Toc115775418</vt:lpwstr>
      </vt:variant>
      <vt:variant>
        <vt:i4>1376311</vt:i4>
      </vt:variant>
      <vt:variant>
        <vt:i4>14</vt:i4>
      </vt:variant>
      <vt:variant>
        <vt:i4>0</vt:i4>
      </vt:variant>
      <vt:variant>
        <vt:i4>5</vt:i4>
      </vt:variant>
      <vt:variant>
        <vt:lpwstr/>
      </vt:variant>
      <vt:variant>
        <vt:lpwstr>_Toc115775417</vt:lpwstr>
      </vt:variant>
      <vt:variant>
        <vt:i4>1376311</vt:i4>
      </vt:variant>
      <vt:variant>
        <vt:i4>8</vt:i4>
      </vt:variant>
      <vt:variant>
        <vt:i4>0</vt:i4>
      </vt:variant>
      <vt:variant>
        <vt:i4>5</vt:i4>
      </vt:variant>
      <vt:variant>
        <vt:lpwstr/>
      </vt:variant>
      <vt:variant>
        <vt:lpwstr>_Toc115775416</vt:lpwstr>
      </vt:variant>
      <vt:variant>
        <vt:i4>1376311</vt:i4>
      </vt:variant>
      <vt:variant>
        <vt:i4>2</vt:i4>
      </vt:variant>
      <vt:variant>
        <vt:i4>0</vt:i4>
      </vt:variant>
      <vt:variant>
        <vt:i4>5</vt:i4>
      </vt:variant>
      <vt:variant>
        <vt:lpwstr/>
      </vt:variant>
      <vt:variant>
        <vt:lpwstr>_Toc115775415</vt:lpwstr>
      </vt:variant>
      <vt:variant>
        <vt:i4>2621475</vt:i4>
      </vt:variant>
      <vt:variant>
        <vt:i4>0</vt:i4>
      </vt:variant>
      <vt:variant>
        <vt:i4>0</vt:i4>
      </vt:variant>
      <vt:variant>
        <vt:i4>5</vt:i4>
      </vt:variant>
      <vt:variant>
        <vt:lpwstr>https://www.dnr.state.mn.us/education/geology/digging/taconite.html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NPS Feedback to Minnesota</dc:title>
  <dc:subject>Regional Haze Public Comments - 2022</dc:subject>
  <dc:creator/>
  <cp:keywords/>
  <dc:description/>
  <cp:lastModifiedBy/>
  <cp:revision>2</cp:revision>
  <dcterms:created xsi:type="dcterms:W3CDTF">2022-09-04T15:46:00Z</dcterms:created>
  <dcterms:modified xsi:type="dcterms:W3CDTF">2022-10-04T18:30:00Z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0x01010059093E8F7BF98640A0B476AB00A11CED</vt:lpwstr>
  </property>
  <property fmtid="{D5CDD505-2E9C-101B-9397-08002B2CF9AE}" pid="3" name="MediaServiceImageTags">
    <vt:lpwstr/>
  </property>
</Properties>
</file>