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E798" w14:textId="77777777" w:rsidR="00AC27B7" w:rsidRDefault="00AC27B7" w:rsidP="004E3B9F">
      <w:pPr>
        <w:pStyle w:val="Default"/>
        <w:rPr>
          <w:rFonts w:ascii="Calibri" w:hAnsi="Calibri" w:cs="Calibri"/>
          <w:sz w:val="22"/>
          <w:szCs w:val="22"/>
        </w:rPr>
      </w:pPr>
    </w:p>
    <w:p w14:paraId="429FB100" w14:textId="77777777" w:rsidR="00AC27B7" w:rsidRDefault="00AC27B7" w:rsidP="004E3B9F">
      <w:pPr>
        <w:pStyle w:val="Default"/>
        <w:rPr>
          <w:rFonts w:ascii="Calibri" w:hAnsi="Calibri" w:cs="Calibri"/>
          <w:sz w:val="22"/>
          <w:szCs w:val="22"/>
        </w:rPr>
      </w:pPr>
    </w:p>
    <w:p w14:paraId="0C9EE907" w14:textId="57DC89CF" w:rsidR="004E3B9F" w:rsidRPr="00027820" w:rsidRDefault="00357412" w:rsidP="004E3B9F">
      <w:pPr>
        <w:pStyle w:val="Default"/>
        <w:rPr>
          <w:rFonts w:ascii="Calibri" w:hAnsi="Calibri" w:cs="Calibri"/>
          <w:sz w:val="22"/>
          <w:szCs w:val="22"/>
        </w:rPr>
      </w:pPr>
      <w:r w:rsidRPr="00027820">
        <w:rPr>
          <w:rFonts w:ascii="Calibri" w:hAnsi="Calibri" w:cs="Calibri"/>
          <w:sz w:val="22"/>
          <w:szCs w:val="22"/>
        </w:rPr>
        <w:t>February 24, 2023</w:t>
      </w:r>
    </w:p>
    <w:p w14:paraId="475E64A5" w14:textId="77777777" w:rsidR="00FC7E8C" w:rsidRPr="00027820" w:rsidRDefault="00FC7E8C" w:rsidP="004E3B9F">
      <w:pPr>
        <w:pStyle w:val="Default"/>
        <w:rPr>
          <w:rFonts w:ascii="Calibri" w:hAnsi="Calibri" w:cs="Calibri"/>
          <w:sz w:val="22"/>
          <w:szCs w:val="22"/>
        </w:rPr>
      </w:pPr>
    </w:p>
    <w:p w14:paraId="0B47E323" w14:textId="77777777" w:rsidR="004E3B9F" w:rsidRPr="00027820" w:rsidRDefault="004E3B9F" w:rsidP="004E3B9F">
      <w:pPr>
        <w:pStyle w:val="Default"/>
        <w:rPr>
          <w:rFonts w:ascii="Calibri" w:hAnsi="Calibri" w:cs="Calibri"/>
          <w:sz w:val="22"/>
          <w:szCs w:val="22"/>
        </w:rPr>
      </w:pPr>
    </w:p>
    <w:p w14:paraId="5FE17D58" w14:textId="77777777" w:rsidR="00F80379" w:rsidRPr="00027820" w:rsidRDefault="00F80379" w:rsidP="004E3B9F">
      <w:pPr>
        <w:pStyle w:val="Default"/>
        <w:rPr>
          <w:rFonts w:ascii="Calibri" w:hAnsi="Calibri" w:cs="Calibri"/>
          <w:sz w:val="22"/>
          <w:szCs w:val="22"/>
        </w:rPr>
      </w:pPr>
    </w:p>
    <w:p w14:paraId="68928BAF" w14:textId="77777777" w:rsidR="00DE1A95" w:rsidRPr="00027820" w:rsidRDefault="00DE1A95" w:rsidP="00DE1A95">
      <w:pPr>
        <w:contextualSpacing/>
        <w:rPr>
          <w:rFonts w:ascii="Calibri" w:hAnsi="Calibri" w:cs="Calibri"/>
          <w:sz w:val="22"/>
          <w:szCs w:val="22"/>
        </w:rPr>
      </w:pPr>
      <w:r w:rsidRPr="00027820">
        <w:rPr>
          <w:rFonts w:ascii="Calibri" w:hAnsi="Calibri" w:cs="Calibri"/>
          <w:sz w:val="22"/>
          <w:szCs w:val="22"/>
        </w:rPr>
        <w:t>Mr. Todd Smith</w:t>
      </w:r>
    </w:p>
    <w:p w14:paraId="590595EF" w14:textId="77777777" w:rsidR="00DE1A95" w:rsidRPr="00027820" w:rsidRDefault="00DE1A95" w:rsidP="00DE1A95">
      <w:pPr>
        <w:contextualSpacing/>
        <w:rPr>
          <w:rFonts w:ascii="Calibri" w:hAnsi="Calibri" w:cs="Calibri"/>
          <w:sz w:val="22"/>
          <w:szCs w:val="22"/>
        </w:rPr>
      </w:pPr>
      <w:r w:rsidRPr="00027820">
        <w:rPr>
          <w:rFonts w:ascii="Calibri" w:hAnsi="Calibri" w:cs="Calibri"/>
          <w:sz w:val="22"/>
          <w:szCs w:val="22"/>
        </w:rPr>
        <w:t>Minnesota Pollution Control Agency</w:t>
      </w:r>
    </w:p>
    <w:p w14:paraId="4655D81A" w14:textId="77777777" w:rsidR="00DE1A95" w:rsidRPr="00027820" w:rsidRDefault="00DE1A95" w:rsidP="00DE1A95">
      <w:pPr>
        <w:contextualSpacing/>
        <w:rPr>
          <w:rFonts w:ascii="Calibri" w:hAnsi="Calibri" w:cs="Calibri"/>
          <w:sz w:val="22"/>
          <w:szCs w:val="22"/>
        </w:rPr>
      </w:pPr>
      <w:r w:rsidRPr="00027820">
        <w:rPr>
          <w:rFonts w:ascii="Calibri" w:hAnsi="Calibri" w:cs="Calibri"/>
          <w:sz w:val="22"/>
          <w:szCs w:val="22"/>
        </w:rPr>
        <w:t>520 Lafayette Road North</w:t>
      </w:r>
    </w:p>
    <w:p w14:paraId="665034F6" w14:textId="77777777" w:rsidR="00F80379" w:rsidRPr="00027820" w:rsidRDefault="00DE1A95" w:rsidP="00DE1A95">
      <w:pPr>
        <w:contextualSpacing/>
        <w:rPr>
          <w:rFonts w:ascii="Calibri" w:hAnsi="Calibri" w:cs="Calibri"/>
          <w:sz w:val="22"/>
          <w:szCs w:val="22"/>
        </w:rPr>
      </w:pPr>
      <w:r w:rsidRPr="00027820">
        <w:rPr>
          <w:rFonts w:ascii="Calibri" w:hAnsi="Calibri" w:cs="Calibri"/>
          <w:sz w:val="22"/>
          <w:szCs w:val="22"/>
        </w:rPr>
        <w:t>St. Paul, MN 55155-4194</w:t>
      </w:r>
    </w:p>
    <w:p w14:paraId="2E0CA134" w14:textId="77777777" w:rsidR="00DE1A95" w:rsidRPr="00027820" w:rsidRDefault="00DE1A95" w:rsidP="00DE1A95">
      <w:pPr>
        <w:contextualSpacing/>
        <w:rPr>
          <w:rFonts w:ascii="Calibri" w:hAnsi="Calibri" w:cs="Calibri"/>
          <w:sz w:val="22"/>
          <w:szCs w:val="22"/>
        </w:rPr>
      </w:pPr>
    </w:p>
    <w:p w14:paraId="35910795" w14:textId="77777777" w:rsidR="00F80379" w:rsidRPr="00027820" w:rsidRDefault="0064221D" w:rsidP="00F80379">
      <w:pPr>
        <w:contextualSpacing/>
        <w:rPr>
          <w:rFonts w:ascii="Calibri" w:hAnsi="Calibri" w:cs="Calibri"/>
          <w:sz w:val="22"/>
          <w:szCs w:val="22"/>
        </w:rPr>
      </w:pPr>
      <w:r w:rsidRPr="00027820">
        <w:rPr>
          <w:rFonts w:ascii="Calibri" w:hAnsi="Calibri" w:cs="Calibri"/>
          <w:sz w:val="22"/>
          <w:szCs w:val="22"/>
        </w:rPr>
        <w:t xml:space="preserve">Re: </w:t>
      </w:r>
      <w:r w:rsidR="00DE1A95" w:rsidRPr="00027820">
        <w:rPr>
          <w:rFonts w:ascii="Calibri" w:hAnsi="Calibri" w:cs="Calibri"/>
          <w:sz w:val="22"/>
          <w:szCs w:val="22"/>
        </w:rPr>
        <w:t>Comments on MPCA General Permit Authorization to Discharge Stormwater Associated with Construction Activity Under the National Pollutant Discharge Elimination System / State Disposal System Program</w:t>
      </w:r>
    </w:p>
    <w:p w14:paraId="17DCA1BE" w14:textId="77777777" w:rsidR="0064221D" w:rsidRPr="00027820" w:rsidRDefault="0064221D" w:rsidP="0064221D">
      <w:pPr>
        <w:rPr>
          <w:rFonts w:ascii="Calibri" w:hAnsi="Calibri" w:cs="Calibri"/>
          <w:sz w:val="22"/>
          <w:szCs w:val="22"/>
        </w:rPr>
      </w:pPr>
    </w:p>
    <w:p w14:paraId="0635BBDC" w14:textId="77777777" w:rsidR="0064221D" w:rsidRPr="00027820" w:rsidRDefault="0064221D" w:rsidP="0064221D">
      <w:pPr>
        <w:rPr>
          <w:rFonts w:ascii="Calibri" w:hAnsi="Calibri" w:cs="Calibri"/>
          <w:b/>
          <w:bCs/>
          <w:sz w:val="22"/>
          <w:szCs w:val="22"/>
        </w:rPr>
      </w:pPr>
      <w:r w:rsidRPr="00027820">
        <w:rPr>
          <w:rFonts w:ascii="Calibri" w:hAnsi="Calibri" w:cs="Calibri"/>
          <w:sz w:val="22"/>
          <w:szCs w:val="22"/>
        </w:rPr>
        <w:t xml:space="preserve">Dear </w:t>
      </w:r>
      <w:r w:rsidR="00DE1A95" w:rsidRPr="00027820">
        <w:rPr>
          <w:rStyle w:val="MessageHeaderLabel"/>
          <w:rFonts w:ascii="Calibri" w:hAnsi="Calibri" w:cs="Calibri"/>
          <w:b w:val="0"/>
          <w:bCs/>
          <w:sz w:val="22"/>
          <w:szCs w:val="22"/>
        </w:rPr>
        <w:t>Mr. Smith</w:t>
      </w:r>
      <w:r w:rsidRPr="00027820">
        <w:rPr>
          <w:rFonts w:ascii="Calibri" w:hAnsi="Calibri" w:cs="Calibri"/>
          <w:b/>
          <w:bCs/>
          <w:sz w:val="22"/>
          <w:szCs w:val="22"/>
        </w:rPr>
        <w:t xml:space="preserve">: </w:t>
      </w:r>
    </w:p>
    <w:p w14:paraId="5674A57C" w14:textId="77777777" w:rsidR="0064221D" w:rsidRPr="00027820" w:rsidRDefault="0064221D" w:rsidP="0064221D">
      <w:pPr>
        <w:rPr>
          <w:rFonts w:ascii="Calibri" w:hAnsi="Calibri" w:cs="Calibri"/>
          <w:sz w:val="22"/>
          <w:szCs w:val="22"/>
        </w:rPr>
      </w:pPr>
    </w:p>
    <w:p w14:paraId="53FD7996" w14:textId="0B4D6672" w:rsidR="00DE1A95" w:rsidRPr="00027820" w:rsidRDefault="00DE1A95" w:rsidP="00DE1A95">
      <w:pPr>
        <w:rPr>
          <w:rFonts w:ascii="Calibri" w:hAnsi="Calibri" w:cs="Calibri"/>
          <w:sz w:val="22"/>
          <w:szCs w:val="22"/>
        </w:rPr>
      </w:pPr>
      <w:r w:rsidRPr="00027820">
        <w:rPr>
          <w:rFonts w:ascii="Calibri" w:hAnsi="Calibri" w:cs="Calibri"/>
          <w:sz w:val="22"/>
          <w:szCs w:val="22"/>
        </w:rPr>
        <w:t xml:space="preserve">The Minnesota Chamber of Commerce (Chamber) welcomes the opportunity to comment on </w:t>
      </w:r>
      <w:r w:rsidR="00C85907" w:rsidRPr="00027820">
        <w:rPr>
          <w:rFonts w:ascii="Calibri" w:hAnsi="Calibri" w:cs="Calibri"/>
          <w:sz w:val="22"/>
          <w:szCs w:val="22"/>
        </w:rPr>
        <w:t xml:space="preserve">proposed </w:t>
      </w:r>
      <w:r w:rsidR="007776B4" w:rsidRPr="00027820">
        <w:rPr>
          <w:rFonts w:ascii="Calibri" w:hAnsi="Calibri" w:cs="Calibri"/>
          <w:sz w:val="22"/>
          <w:szCs w:val="22"/>
        </w:rPr>
        <w:t>revisions</w:t>
      </w:r>
      <w:r w:rsidR="00C85907" w:rsidRPr="00027820">
        <w:rPr>
          <w:rFonts w:ascii="Calibri" w:hAnsi="Calibri" w:cs="Calibri"/>
          <w:sz w:val="22"/>
          <w:szCs w:val="22"/>
        </w:rPr>
        <w:t xml:space="preserve"> to </w:t>
      </w:r>
      <w:r w:rsidRPr="00027820">
        <w:rPr>
          <w:rFonts w:ascii="Calibri" w:hAnsi="Calibri" w:cs="Calibri"/>
          <w:sz w:val="22"/>
          <w:szCs w:val="22"/>
        </w:rPr>
        <w:t>the MPCA Construction Stormwater General Permit (CGP). The Chamber is a statewide business organization represent</w:t>
      </w:r>
      <w:r w:rsidR="001C0EF8" w:rsidRPr="00027820">
        <w:rPr>
          <w:rFonts w:ascii="Calibri" w:hAnsi="Calibri" w:cs="Calibri"/>
          <w:sz w:val="22"/>
          <w:szCs w:val="22"/>
        </w:rPr>
        <w:t>ing</w:t>
      </w:r>
      <w:r w:rsidRPr="00027820">
        <w:rPr>
          <w:rFonts w:ascii="Calibri" w:hAnsi="Calibri" w:cs="Calibri"/>
          <w:sz w:val="22"/>
          <w:szCs w:val="22"/>
        </w:rPr>
        <w:t xml:space="preserve"> approximately 2,300 member</w:t>
      </w:r>
      <w:r w:rsidR="001C0EF8" w:rsidRPr="00027820">
        <w:rPr>
          <w:rFonts w:ascii="Calibri" w:hAnsi="Calibri" w:cs="Calibri"/>
          <w:sz w:val="22"/>
          <w:szCs w:val="22"/>
        </w:rPr>
        <w:t xml:space="preserve"> businesse</w:t>
      </w:r>
      <w:r w:rsidRPr="00027820">
        <w:rPr>
          <w:rFonts w:ascii="Calibri" w:hAnsi="Calibri" w:cs="Calibri"/>
          <w:sz w:val="22"/>
          <w:szCs w:val="22"/>
        </w:rPr>
        <w:t xml:space="preserve">s </w:t>
      </w:r>
      <w:r w:rsidR="001C0EF8" w:rsidRPr="00027820">
        <w:rPr>
          <w:rFonts w:ascii="Calibri" w:hAnsi="Calibri" w:cs="Calibri"/>
          <w:sz w:val="22"/>
          <w:szCs w:val="22"/>
        </w:rPr>
        <w:t xml:space="preserve">of all types and sizes </w:t>
      </w:r>
      <w:r w:rsidRPr="00027820">
        <w:rPr>
          <w:rFonts w:ascii="Calibri" w:hAnsi="Calibri" w:cs="Calibri"/>
          <w:sz w:val="22"/>
          <w:szCs w:val="22"/>
        </w:rPr>
        <w:t xml:space="preserve">across </w:t>
      </w:r>
      <w:r w:rsidR="007776B4" w:rsidRPr="00027820">
        <w:rPr>
          <w:rFonts w:ascii="Calibri" w:hAnsi="Calibri" w:cs="Calibri"/>
          <w:sz w:val="22"/>
          <w:szCs w:val="22"/>
        </w:rPr>
        <w:t>the state</w:t>
      </w:r>
      <w:r w:rsidRPr="00027820">
        <w:rPr>
          <w:rFonts w:ascii="Calibri" w:hAnsi="Calibri" w:cs="Calibri"/>
          <w:sz w:val="22"/>
          <w:szCs w:val="22"/>
        </w:rPr>
        <w:t xml:space="preserve">. Eighty percent of Chamber members have </w:t>
      </w:r>
      <w:r w:rsidR="001C0EF8" w:rsidRPr="00027820">
        <w:rPr>
          <w:rFonts w:ascii="Calibri" w:hAnsi="Calibri" w:cs="Calibri"/>
          <w:sz w:val="22"/>
          <w:szCs w:val="22"/>
        </w:rPr>
        <w:t>fewer</w:t>
      </w:r>
      <w:r w:rsidRPr="00027820">
        <w:rPr>
          <w:rFonts w:ascii="Calibri" w:hAnsi="Calibri" w:cs="Calibri"/>
          <w:sz w:val="22"/>
          <w:szCs w:val="22"/>
        </w:rPr>
        <w:t xml:space="preserve"> than 10 employees</w:t>
      </w:r>
      <w:r w:rsidR="001C0EF8" w:rsidRPr="00027820">
        <w:rPr>
          <w:rFonts w:ascii="Calibri" w:hAnsi="Calibri" w:cs="Calibri"/>
          <w:sz w:val="22"/>
          <w:szCs w:val="22"/>
        </w:rPr>
        <w:t>,</w:t>
      </w:r>
      <w:r w:rsidRPr="00027820">
        <w:rPr>
          <w:rFonts w:ascii="Calibri" w:hAnsi="Calibri" w:cs="Calibri"/>
          <w:sz w:val="22"/>
          <w:szCs w:val="22"/>
        </w:rPr>
        <w:t xml:space="preserve"> and 40</w:t>
      </w:r>
      <w:r w:rsidR="003959E9">
        <w:rPr>
          <w:rFonts w:ascii="Calibri" w:hAnsi="Calibri" w:cs="Calibri"/>
          <w:sz w:val="22"/>
          <w:szCs w:val="22"/>
        </w:rPr>
        <w:t xml:space="preserve">% </w:t>
      </w:r>
      <w:proofErr w:type="gramStart"/>
      <w:r w:rsidRPr="00027820">
        <w:rPr>
          <w:rFonts w:ascii="Calibri" w:hAnsi="Calibri" w:cs="Calibri"/>
          <w:sz w:val="22"/>
          <w:szCs w:val="22"/>
        </w:rPr>
        <w:t>are located in</w:t>
      </w:r>
      <w:proofErr w:type="gramEnd"/>
      <w:r w:rsidRPr="00027820">
        <w:rPr>
          <w:rFonts w:ascii="Calibri" w:hAnsi="Calibri" w:cs="Calibri"/>
          <w:sz w:val="22"/>
          <w:szCs w:val="22"/>
        </w:rPr>
        <w:t xml:space="preserve"> greater Minnesota. Many members will be directly impacted by the proposed changes to the CGP.</w:t>
      </w:r>
    </w:p>
    <w:p w14:paraId="3E2E4CC7" w14:textId="77777777" w:rsidR="00DE1A95" w:rsidRPr="00027820" w:rsidRDefault="00DE1A95" w:rsidP="00DE1A95">
      <w:pPr>
        <w:rPr>
          <w:rFonts w:ascii="Calibri" w:hAnsi="Calibri" w:cs="Calibri"/>
          <w:sz w:val="22"/>
          <w:szCs w:val="22"/>
        </w:rPr>
      </w:pPr>
    </w:p>
    <w:p w14:paraId="11444D9B" w14:textId="77777777" w:rsidR="00DE1A95" w:rsidRPr="00027820" w:rsidRDefault="00DE1A95" w:rsidP="00DE1A95">
      <w:pPr>
        <w:rPr>
          <w:rFonts w:ascii="Calibri" w:hAnsi="Calibri" w:cs="Calibri"/>
          <w:sz w:val="22"/>
          <w:szCs w:val="22"/>
        </w:rPr>
      </w:pPr>
      <w:r w:rsidRPr="00027820">
        <w:rPr>
          <w:rFonts w:ascii="Calibri" w:hAnsi="Calibri" w:cs="Calibri"/>
          <w:sz w:val="22"/>
          <w:szCs w:val="22"/>
        </w:rPr>
        <w:t xml:space="preserve">While the Chamber supports the overall environmental objectives of the proposed </w:t>
      </w:r>
      <w:r w:rsidR="007776B4" w:rsidRPr="00027820">
        <w:rPr>
          <w:rFonts w:ascii="Calibri" w:hAnsi="Calibri" w:cs="Calibri"/>
          <w:sz w:val="22"/>
          <w:szCs w:val="22"/>
        </w:rPr>
        <w:t>changes</w:t>
      </w:r>
      <w:r w:rsidR="00C85907" w:rsidRPr="00027820">
        <w:rPr>
          <w:rFonts w:ascii="Calibri" w:hAnsi="Calibri" w:cs="Calibri"/>
          <w:sz w:val="22"/>
          <w:szCs w:val="22"/>
        </w:rPr>
        <w:t>,</w:t>
      </w:r>
      <w:r w:rsidRPr="00027820">
        <w:rPr>
          <w:rFonts w:ascii="Calibri" w:hAnsi="Calibri" w:cs="Calibri"/>
          <w:sz w:val="22"/>
          <w:szCs w:val="22"/>
        </w:rPr>
        <w:t xml:space="preserve"> </w:t>
      </w:r>
      <w:r w:rsidR="007776B4" w:rsidRPr="00027820">
        <w:rPr>
          <w:rFonts w:ascii="Calibri" w:hAnsi="Calibri" w:cs="Calibri"/>
          <w:sz w:val="22"/>
          <w:szCs w:val="22"/>
        </w:rPr>
        <w:t>our members</w:t>
      </w:r>
      <w:r w:rsidR="00641D2A" w:rsidRPr="00027820">
        <w:rPr>
          <w:rFonts w:ascii="Calibri" w:hAnsi="Calibri" w:cs="Calibri"/>
          <w:sz w:val="22"/>
          <w:szCs w:val="22"/>
        </w:rPr>
        <w:t xml:space="preserve"> have </w:t>
      </w:r>
      <w:r w:rsidRPr="00027820">
        <w:rPr>
          <w:rFonts w:ascii="Calibri" w:hAnsi="Calibri" w:cs="Calibri"/>
          <w:sz w:val="22"/>
          <w:szCs w:val="22"/>
        </w:rPr>
        <w:t>several concern</w:t>
      </w:r>
      <w:r w:rsidR="00641D2A" w:rsidRPr="00027820">
        <w:rPr>
          <w:rFonts w:ascii="Calibri" w:hAnsi="Calibri" w:cs="Calibri"/>
          <w:sz w:val="22"/>
          <w:szCs w:val="22"/>
        </w:rPr>
        <w:t>s</w:t>
      </w:r>
      <w:r w:rsidR="003D195D">
        <w:rPr>
          <w:rFonts w:ascii="Calibri" w:hAnsi="Calibri" w:cs="Calibri"/>
          <w:sz w:val="22"/>
          <w:szCs w:val="22"/>
        </w:rPr>
        <w:t>, which we’ve</w:t>
      </w:r>
      <w:r w:rsidRPr="00027820">
        <w:rPr>
          <w:rFonts w:ascii="Calibri" w:hAnsi="Calibri" w:cs="Calibri"/>
          <w:sz w:val="22"/>
          <w:szCs w:val="22"/>
        </w:rPr>
        <w:t xml:space="preserve"> outlined below</w:t>
      </w:r>
      <w:r w:rsidR="00641D2A" w:rsidRPr="00027820">
        <w:rPr>
          <w:rFonts w:ascii="Calibri" w:hAnsi="Calibri" w:cs="Calibri"/>
          <w:sz w:val="22"/>
          <w:szCs w:val="22"/>
        </w:rPr>
        <w:t xml:space="preserve"> o</w:t>
      </w:r>
      <w:r w:rsidRPr="00027820">
        <w:rPr>
          <w:rFonts w:ascii="Calibri" w:hAnsi="Calibri" w:cs="Calibri"/>
          <w:sz w:val="22"/>
          <w:szCs w:val="22"/>
        </w:rPr>
        <w:t xml:space="preserve">n an </w:t>
      </w:r>
      <w:r w:rsidR="00641D2A" w:rsidRPr="00027820">
        <w:rPr>
          <w:rFonts w:ascii="Calibri" w:hAnsi="Calibri" w:cs="Calibri"/>
          <w:sz w:val="22"/>
          <w:szCs w:val="22"/>
        </w:rPr>
        <w:t>i</w:t>
      </w:r>
      <w:r w:rsidRPr="00027820">
        <w:rPr>
          <w:rFonts w:ascii="Calibri" w:hAnsi="Calibri" w:cs="Calibri"/>
          <w:sz w:val="22"/>
          <w:szCs w:val="22"/>
        </w:rPr>
        <w:t>tem</w:t>
      </w:r>
      <w:r w:rsidR="00641D2A" w:rsidRPr="00027820">
        <w:rPr>
          <w:rFonts w:ascii="Calibri" w:hAnsi="Calibri" w:cs="Calibri"/>
          <w:sz w:val="22"/>
          <w:szCs w:val="22"/>
        </w:rPr>
        <w:t>-</w:t>
      </w:r>
      <w:r w:rsidRPr="00027820">
        <w:rPr>
          <w:rFonts w:ascii="Calibri" w:hAnsi="Calibri" w:cs="Calibri"/>
          <w:sz w:val="22"/>
          <w:szCs w:val="22"/>
        </w:rPr>
        <w:t>by</w:t>
      </w:r>
      <w:r w:rsidR="00641D2A" w:rsidRPr="00027820">
        <w:rPr>
          <w:rFonts w:ascii="Calibri" w:hAnsi="Calibri" w:cs="Calibri"/>
          <w:sz w:val="22"/>
          <w:szCs w:val="22"/>
        </w:rPr>
        <w:t>-i</w:t>
      </w:r>
      <w:r w:rsidRPr="00027820">
        <w:rPr>
          <w:rFonts w:ascii="Calibri" w:hAnsi="Calibri" w:cs="Calibri"/>
          <w:sz w:val="22"/>
          <w:szCs w:val="22"/>
        </w:rPr>
        <w:t xml:space="preserve">tem </w:t>
      </w:r>
      <w:r w:rsidR="00641D2A" w:rsidRPr="00027820">
        <w:rPr>
          <w:rFonts w:ascii="Calibri" w:hAnsi="Calibri" w:cs="Calibri"/>
          <w:sz w:val="22"/>
          <w:szCs w:val="22"/>
        </w:rPr>
        <w:t>basis</w:t>
      </w:r>
      <w:r w:rsidRPr="00027820">
        <w:rPr>
          <w:rFonts w:ascii="Calibri" w:hAnsi="Calibri" w:cs="Calibri"/>
          <w:sz w:val="22"/>
          <w:szCs w:val="22"/>
        </w:rPr>
        <w:t>.</w:t>
      </w:r>
    </w:p>
    <w:p w14:paraId="0461E896" w14:textId="77777777" w:rsidR="00DE1A95" w:rsidRPr="00027820" w:rsidRDefault="00DE1A95" w:rsidP="00DE1A95">
      <w:pPr>
        <w:rPr>
          <w:rFonts w:ascii="Calibri" w:hAnsi="Calibri" w:cs="Calibri"/>
          <w:sz w:val="22"/>
          <w:szCs w:val="22"/>
        </w:rPr>
      </w:pPr>
    </w:p>
    <w:p w14:paraId="3B247B97" w14:textId="77777777" w:rsidR="00DE1A95" w:rsidRPr="00027820" w:rsidRDefault="00DE1A95" w:rsidP="00641D2A">
      <w:pPr>
        <w:pStyle w:val="Heading1"/>
      </w:pPr>
      <w:r w:rsidRPr="00027820">
        <w:t>Item 2.10</w:t>
      </w:r>
    </w:p>
    <w:p w14:paraId="01A61312" w14:textId="77777777" w:rsidR="00DE1A95" w:rsidRPr="00027820" w:rsidRDefault="00DE1A95" w:rsidP="00DE1A95">
      <w:pPr>
        <w:rPr>
          <w:rFonts w:ascii="Calibri" w:hAnsi="Calibri" w:cs="Calibri"/>
          <w:sz w:val="22"/>
          <w:szCs w:val="22"/>
        </w:rPr>
      </w:pPr>
      <w:r w:rsidRPr="00027820">
        <w:rPr>
          <w:rFonts w:ascii="Calibri" w:hAnsi="Calibri" w:cs="Calibri"/>
          <w:sz w:val="22"/>
          <w:szCs w:val="22"/>
        </w:rPr>
        <w:t xml:space="preserve">“This permit does not authorize discharges to wetlands unless the permittee complies with the requirements in Section 22. </w:t>
      </w:r>
      <w:r w:rsidRPr="00027820">
        <w:rPr>
          <w:rFonts w:ascii="Calibri" w:hAnsi="Calibri" w:cs="Calibri"/>
          <w:color w:val="C00000"/>
          <w:sz w:val="22"/>
          <w:szCs w:val="22"/>
        </w:rPr>
        <w:t>Coverage under this permit cannot be issued until the requirements for wetland permits, other determinations, or the mitigative sequence required in section 22 have been finalized and documented. [Minn. R. 7050.0186]”</w:t>
      </w:r>
    </w:p>
    <w:p w14:paraId="5B364A64" w14:textId="77777777" w:rsidR="00DE1A95" w:rsidRPr="00027820" w:rsidRDefault="00DE1A95" w:rsidP="00DE1A95">
      <w:pPr>
        <w:rPr>
          <w:rFonts w:ascii="Calibri" w:hAnsi="Calibri" w:cs="Calibri"/>
          <w:sz w:val="22"/>
          <w:szCs w:val="22"/>
        </w:rPr>
      </w:pPr>
    </w:p>
    <w:p w14:paraId="4CD0C8A7" w14:textId="1100A41B" w:rsidR="00DE1A95" w:rsidRPr="00027820" w:rsidRDefault="00DE1A95" w:rsidP="00DE1A95">
      <w:pPr>
        <w:rPr>
          <w:rFonts w:ascii="Calibri" w:hAnsi="Calibri" w:cs="Calibri"/>
          <w:sz w:val="22"/>
          <w:szCs w:val="22"/>
        </w:rPr>
      </w:pPr>
      <w:r w:rsidRPr="00027820">
        <w:rPr>
          <w:rFonts w:ascii="Calibri" w:hAnsi="Calibri" w:cs="Calibri"/>
          <w:sz w:val="22"/>
          <w:szCs w:val="22"/>
        </w:rPr>
        <w:t xml:space="preserve">The </w:t>
      </w:r>
      <w:r w:rsidR="00641D2A" w:rsidRPr="00027820">
        <w:rPr>
          <w:rFonts w:ascii="Calibri" w:hAnsi="Calibri" w:cs="Calibri"/>
          <w:sz w:val="22"/>
          <w:szCs w:val="22"/>
        </w:rPr>
        <w:t xml:space="preserve">proposed new language in </w:t>
      </w:r>
      <w:r w:rsidRPr="00027820">
        <w:rPr>
          <w:rFonts w:ascii="Calibri" w:hAnsi="Calibri" w:cs="Calibri"/>
          <w:sz w:val="22"/>
          <w:szCs w:val="22"/>
        </w:rPr>
        <w:t xml:space="preserve">this item (in </w:t>
      </w:r>
      <w:r w:rsidRPr="00027820">
        <w:rPr>
          <w:rFonts w:ascii="Calibri" w:hAnsi="Calibri" w:cs="Calibri"/>
          <w:color w:val="C00000"/>
          <w:sz w:val="22"/>
          <w:szCs w:val="22"/>
        </w:rPr>
        <w:t>red</w:t>
      </w:r>
      <w:r w:rsidRPr="00027820">
        <w:rPr>
          <w:rFonts w:ascii="Calibri" w:hAnsi="Calibri" w:cs="Calibri"/>
          <w:sz w:val="22"/>
          <w:szCs w:val="22"/>
        </w:rPr>
        <w:t xml:space="preserve">) does not add protections to </w:t>
      </w:r>
      <w:proofErr w:type="gramStart"/>
      <w:r w:rsidRPr="00027820">
        <w:rPr>
          <w:rFonts w:ascii="Calibri" w:hAnsi="Calibri" w:cs="Calibri"/>
          <w:sz w:val="22"/>
          <w:szCs w:val="22"/>
        </w:rPr>
        <w:t>wetlands, but</w:t>
      </w:r>
      <w:proofErr w:type="gramEnd"/>
      <w:r w:rsidRPr="00027820">
        <w:rPr>
          <w:rFonts w:ascii="Calibri" w:hAnsi="Calibri" w:cs="Calibri"/>
          <w:sz w:val="22"/>
          <w:szCs w:val="22"/>
        </w:rPr>
        <w:t xml:space="preserve"> does make it more difficult to begin projects. </w:t>
      </w:r>
      <w:r w:rsidR="00641D2A" w:rsidRPr="00027820">
        <w:rPr>
          <w:rFonts w:ascii="Calibri" w:hAnsi="Calibri" w:cs="Calibri"/>
          <w:sz w:val="22"/>
          <w:szCs w:val="22"/>
        </w:rPr>
        <w:t>Obtain</w:t>
      </w:r>
      <w:r w:rsidRPr="00027820">
        <w:rPr>
          <w:rFonts w:ascii="Calibri" w:hAnsi="Calibri" w:cs="Calibri"/>
          <w:sz w:val="22"/>
          <w:szCs w:val="22"/>
        </w:rPr>
        <w:t>ing wetland permits from all local, state</w:t>
      </w:r>
      <w:r w:rsidR="00641D2A" w:rsidRPr="00027820">
        <w:rPr>
          <w:rFonts w:ascii="Calibri" w:hAnsi="Calibri" w:cs="Calibri"/>
          <w:sz w:val="22"/>
          <w:szCs w:val="22"/>
        </w:rPr>
        <w:t>,</w:t>
      </w:r>
      <w:r w:rsidRPr="00027820">
        <w:rPr>
          <w:rFonts w:ascii="Calibri" w:hAnsi="Calibri" w:cs="Calibri"/>
          <w:sz w:val="22"/>
          <w:szCs w:val="22"/>
        </w:rPr>
        <w:t xml:space="preserve"> and federal permitting agencies can be a lengthy process. Logically, </w:t>
      </w:r>
      <w:r w:rsidR="00641D2A" w:rsidRPr="00027820">
        <w:rPr>
          <w:rFonts w:ascii="Calibri" w:hAnsi="Calibri" w:cs="Calibri"/>
          <w:sz w:val="22"/>
          <w:szCs w:val="22"/>
        </w:rPr>
        <w:t xml:space="preserve">owners of </w:t>
      </w:r>
      <w:r w:rsidRPr="00027820">
        <w:rPr>
          <w:rFonts w:ascii="Calibri" w:hAnsi="Calibri" w:cs="Calibri"/>
          <w:sz w:val="22"/>
          <w:szCs w:val="22"/>
        </w:rPr>
        <w:t>a project should be able to begin construction in upland areas without discharg</w:t>
      </w:r>
      <w:r w:rsidR="00641D2A" w:rsidRPr="00027820">
        <w:rPr>
          <w:rFonts w:ascii="Calibri" w:hAnsi="Calibri" w:cs="Calibri"/>
          <w:sz w:val="22"/>
          <w:szCs w:val="22"/>
        </w:rPr>
        <w:t>ing</w:t>
      </w:r>
      <w:r w:rsidRPr="00027820">
        <w:rPr>
          <w:rFonts w:ascii="Calibri" w:hAnsi="Calibri" w:cs="Calibri"/>
          <w:sz w:val="22"/>
          <w:szCs w:val="22"/>
        </w:rPr>
        <w:t xml:space="preserve"> to wetlands while awaiting wetland permit coverage for </w:t>
      </w:r>
      <w:r w:rsidR="00641D2A" w:rsidRPr="00027820">
        <w:rPr>
          <w:rFonts w:ascii="Calibri" w:hAnsi="Calibri" w:cs="Calibri"/>
          <w:sz w:val="22"/>
          <w:szCs w:val="22"/>
        </w:rPr>
        <w:t xml:space="preserve">the </w:t>
      </w:r>
      <w:r w:rsidRPr="00027820">
        <w:rPr>
          <w:rFonts w:ascii="Calibri" w:hAnsi="Calibri" w:cs="Calibri"/>
          <w:sz w:val="22"/>
          <w:szCs w:val="22"/>
        </w:rPr>
        <w:t xml:space="preserve">portions of construction </w:t>
      </w:r>
      <w:r w:rsidR="00641D2A" w:rsidRPr="00027820">
        <w:rPr>
          <w:rFonts w:ascii="Calibri" w:hAnsi="Calibri" w:cs="Calibri"/>
          <w:sz w:val="22"/>
          <w:szCs w:val="22"/>
        </w:rPr>
        <w:t>that do involve</w:t>
      </w:r>
      <w:r w:rsidRPr="00027820">
        <w:rPr>
          <w:rFonts w:ascii="Calibri" w:hAnsi="Calibri" w:cs="Calibri"/>
          <w:sz w:val="22"/>
          <w:szCs w:val="22"/>
        </w:rPr>
        <w:t xml:space="preserve"> discharges. Preventing projects from receiving CGP coverage</w:t>
      </w:r>
      <w:r w:rsidR="00641D2A" w:rsidRPr="00027820">
        <w:rPr>
          <w:rFonts w:ascii="Calibri" w:hAnsi="Calibri" w:cs="Calibri"/>
          <w:sz w:val="22"/>
          <w:szCs w:val="22"/>
        </w:rPr>
        <w:t xml:space="preserve"> before securing</w:t>
      </w:r>
      <w:r w:rsidRPr="00027820">
        <w:rPr>
          <w:rFonts w:ascii="Calibri" w:hAnsi="Calibri" w:cs="Calibri"/>
          <w:sz w:val="22"/>
          <w:szCs w:val="22"/>
        </w:rPr>
        <w:t xml:space="preserve"> wetland permit</w:t>
      </w:r>
      <w:r w:rsidR="00641D2A" w:rsidRPr="00027820">
        <w:rPr>
          <w:rFonts w:ascii="Calibri" w:hAnsi="Calibri" w:cs="Calibri"/>
          <w:sz w:val="22"/>
          <w:szCs w:val="22"/>
        </w:rPr>
        <w:t>s</w:t>
      </w:r>
      <w:r w:rsidRPr="00027820">
        <w:rPr>
          <w:rFonts w:ascii="Calibri" w:hAnsi="Calibri" w:cs="Calibri"/>
          <w:sz w:val="22"/>
          <w:szCs w:val="22"/>
        </w:rPr>
        <w:t xml:space="preserve"> would also </w:t>
      </w:r>
      <w:r w:rsidR="00641D2A" w:rsidRPr="00027820">
        <w:rPr>
          <w:rFonts w:ascii="Calibri" w:hAnsi="Calibri" w:cs="Calibri"/>
          <w:sz w:val="22"/>
          <w:szCs w:val="22"/>
        </w:rPr>
        <w:t xml:space="preserve">delay </w:t>
      </w:r>
      <w:r w:rsidR="003053A0" w:rsidRPr="00027820">
        <w:rPr>
          <w:rFonts w:ascii="Calibri" w:hAnsi="Calibri" w:cs="Calibri"/>
          <w:sz w:val="22"/>
          <w:szCs w:val="22"/>
        </w:rPr>
        <w:t xml:space="preserve">deliveries and </w:t>
      </w:r>
      <w:r w:rsidRPr="00027820">
        <w:rPr>
          <w:rFonts w:ascii="Calibri" w:hAnsi="Calibri" w:cs="Calibri"/>
          <w:sz w:val="22"/>
          <w:szCs w:val="22"/>
        </w:rPr>
        <w:t xml:space="preserve">staging </w:t>
      </w:r>
      <w:r w:rsidR="003053A0" w:rsidRPr="00027820">
        <w:rPr>
          <w:rFonts w:ascii="Calibri" w:hAnsi="Calibri" w:cs="Calibri"/>
          <w:sz w:val="22"/>
          <w:szCs w:val="22"/>
        </w:rPr>
        <w:t xml:space="preserve">of material </w:t>
      </w:r>
      <w:r w:rsidR="00641D2A" w:rsidRPr="00027820">
        <w:rPr>
          <w:rFonts w:ascii="Calibri" w:hAnsi="Calibri" w:cs="Calibri"/>
          <w:sz w:val="22"/>
          <w:szCs w:val="22"/>
        </w:rPr>
        <w:t xml:space="preserve">in </w:t>
      </w:r>
      <w:r w:rsidRPr="00027820">
        <w:rPr>
          <w:rFonts w:ascii="Calibri" w:hAnsi="Calibri" w:cs="Calibri"/>
          <w:sz w:val="22"/>
          <w:szCs w:val="22"/>
        </w:rPr>
        <w:t>upland laydown areas</w:t>
      </w:r>
      <w:r w:rsidR="003053A0" w:rsidRPr="00027820">
        <w:rPr>
          <w:rFonts w:ascii="Calibri" w:hAnsi="Calibri" w:cs="Calibri"/>
          <w:sz w:val="22"/>
          <w:szCs w:val="22"/>
        </w:rPr>
        <w:t>,</w:t>
      </w:r>
      <w:r w:rsidRPr="00027820">
        <w:rPr>
          <w:rFonts w:ascii="Calibri" w:hAnsi="Calibri" w:cs="Calibri"/>
          <w:sz w:val="22"/>
          <w:szCs w:val="22"/>
        </w:rPr>
        <w:t xml:space="preserve"> add</w:t>
      </w:r>
      <w:r w:rsidR="003053A0" w:rsidRPr="00027820">
        <w:rPr>
          <w:rFonts w:ascii="Calibri" w:hAnsi="Calibri" w:cs="Calibri"/>
          <w:sz w:val="22"/>
          <w:szCs w:val="22"/>
        </w:rPr>
        <w:t>ing</w:t>
      </w:r>
      <w:r w:rsidRPr="00027820">
        <w:rPr>
          <w:rFonts w:ascii="Calibri" w:hAnsi="Calibri" w:cs="Calibri"/>
          <w:sz w:val="22"/>
          <w:szCs w:val="22"/>
        </w:rPr>
        <w:t xml:space="preserve"> significant logistical burden</w:t>
      </w:r>
      <w:r w:rsidR="003053A0" w:rsidRPr="00027820">
        <w:rPr>
          <w:rFonts w:ascii="Calibri" w:hAnsi="Calibri" w:cs="Calibri"/>
          <w:sz w:val="22"/>
          <w:szCs w:val="22"/>
        </w:rPr>
        <w:t>s</w:t>
      </w:r>
      <w:r w:rsidRPr="00027820">
        <w:rPr>
          <w:rFonts w:ascii="Calibri" w:hAnsi="Calibri" w:cs="Calibri"/>
          <w:sz w:val="22"/>
          <w:szCs w:val="22"/>
        </w:rPr>
        <w:t xml:space="preserve"> to projects </w:t>
      </w:r>
      <w:r w:rsidR="007776B4" w:rsidRPr="00027820">
        <w:rPr>
          <w:rFonts w:ascii="Calibri" w:hAnsi="Calibri" w:cs="Calibri"/>
          <w:sz w:val="22"/>
          <w:szCs w:val="22"/>
        </w:rPr>
        <w:t>while imparting no</w:t>
      </w:r>
      <w:r w:rsidRPr="00027820">
        <w:rPr>
          <w:rFonts w:ascii="Calibri" w:hAnsi="Calibri" w:cs="Calibri"/>
          <w:sz w:val="22"/>
          <w:szCs w:val="22"/>
        </w:rPr>
        <w:t xml:space="preserve"> environmental benefit. It is not </w:t>
      </w:r>
      <w:r w:rsidRPr="00027820">
        <w:rPr>
          <w:rFonts w:ascii="Calibri" w:hAnsi="Calibri" w:cs="Calibri"/>
          <w:sz w:val="22"/>
          <w:szCs w:val="22"/>
        </w:rPr>
        <w:lastRenderedPageBreak/>
        <w:t>necessary for the MPCA to enforce wetland permitting on behalf of other agencies that possess th</w:t>
      </w:r>
      <w:r w:rsidR="007776B4" w:rsidRPr="00027820">
        <w:rPr>
          <w:rFonts w:ascii="Calibri" w:hAnsi="Calibri" w:cs="Calibri"/>
          <w:sz w:val="22"/>
          <w:szCs w:val="22"/>
        </w:rPr>
        <w:t>e same</w:t>
      </w:r>
      <w:r w:rsidRPr="00027820">
        <w:rPr>
          <w:rFonts w:ascii="Calibri" w:hAnsi="Calibri" w:cs="Calibri"/>
          <w:sz w:val="22"/>
          <w:szCs w:val="22"/>
        </w:rPr>
        <w:t xml:space="preserve"> ability.</w:t>
      </w:r>
    </w:p>
    <w:p w14:paraId="00AE8A4F" w14:textId="77777777" w:rsidR="00DE1A95" w:rsidRPr="00027820" w:rsidRDefault="00DE1A95" w:rsidP="00DE1A95">
      <w:pPr>
        <w:rPr>
          <w:rFonts w:ascii="Calibri" w:hAnsi="Calibri" w:cs="Calibri"/>
          <w:sz w:val="22"/>
          <w:szCs w:val="22"/>
        </w:rPr>
      </w:pPr>
    </w:p>
    <w:p w14:paraId="42FCB1CB" w14:textId="1A7EDE85" w:rsidR="00DE1A95" w:rsidRPr="00027820" w:rsidRDefault="00DE1A95" w:rsidP="00DE1A95">
      <w:pPr>
        <w:rPr>
          <w:rFonts w:ascii="Calibri" w:hAnsi="Calibri" w:cs="Calibri"/>
          <w:sz w:val="22"/>
          <w:szCs w:val="22"/>
        </w:rPr>
      </w:pPr>
      <w:r w:rsidRPr="00027820">
        <w:rPr>
          <w:rFonts w:ascii="Calibri" w:hAnsi="Calibri" w:cs="Calibri"/>
          <w:sz w:val="22"/>
          <w:szCs w:val="22"/>
        </w:rPr>
        <w:t>Th</w:t>
      </w:r>
      <w:r w:rsidR="007776B4" w:rsidRPr="00027820">
        <w:rPr>
          <w:rFonts w:ascii="Calibri" w:hAnsi="Calibri" w:cs="Calibri"/>
          <w:sz w:val="22"/>
          <w:szCs w:val="22"/>
        </w:rPr>
        <w:t>e</w:t>
      </w:r>
      <w:r w:rsidRPr="00027820">
        <w:rPr>
          <w:rFonts w:ascii="Calibri" w:hAnsi="Calibri" w:cs="Calibri"/>
          <w:sz w:val="22"/>
          <w:szCs w:val="22"/>
        </w:rPr>
        <w:t xml:space="preserve"> proposed change also does</w:t>
      </w:r>
      <w:r w:rsidR="007776B4" w:rsidRPr="00027820">
        <w:rPr>
          <w:rFonts w:ascii="Calibri" w:hAnsi="Calibri" w:cs="Calibri"/>
          <w:sz w:val="22"/>
          <w:szCs w:val="22"/>
        </w:rPr>
        <w:t>n’</w:t>
      </w:r>
      <w:r w:rsidRPr="00027820">
        <w:rPr>
          <w:rFonts w:ascii="Calibri" w:hAnsi="Calibri" w:cs="Calibri"/>
          <w:sz w:val="22"/>
          <w:szCs w:val="22"/>
        </w:rPr>
        <w:t xml:space="preserve">t </w:t>
      </w:r>
      <w:proofErr w:type="gramStart"/>
      <w:r w:rsidRPr="00027820">
        <w:rPr>
          <w:rFonts w:ascii="Calibri" w:hAnsi="Calibri" w:cs="Calibri"/>
          <w:sz w:val="22"/>
          <w:szCs w:val="22"/>
        </w:rPr>
        <w:t>take into account</w:t>
      </w:r>
      <w:proofErr w:type="gramEnd"/>
      <w:r w:rsidRPr="00027820">
        <w:rPr>
          <w:rFonts w:ascii="Calibri" w:hAnsi="Calibri" w:cs="Calibri"/>
          <w:sz w:val="22"/>
          <w:szCs w:val="22"/>
        </w:rPr>
        <w:t xml:space="preserve"> projects that can have sequential regulatory approvals. Examples are route permits issued by the M</w:t>
      </w:r>
      <w:r w:rsidR="007776B4" w:rsidRPr="00027820">
        <w:rPr>
          <w:rFonts w:ascii="Calibri" w:hAnsi="Calibri" w:cs="Calibri"/>
          <w:sz w:val="22"/>
          <w:szCs w:val="22"/>
        </w:rPr>
        <w:t>innesota</w:t>
      </w:r>
      <w:r w:rsidRPr="00027820">
        <w:rPr>
          <w:rFonts w:ascii="Calibri" w:hAnsi="Calibri" w:cs="Calibri"/>
          <w:sz w:val="22"/>
          <w:szCs w:val="22"/>
        </w:rPr>
        <w:t xml:space="preserve"> Public Utilities Commission, </w:t>
      </w:r>
      <w:r w:rsidR="00027820" w:rsidRPr="00027820">
        <w:rPr>
          <w:rFonts w:ascii="Calibri" w:hAnsi="Calibri" w:cs="Calibri"/>
          <w:sz w:val="22"/>
          <w:szCs w:val="22"/>
        </w:rPr>
        <w:t>which</w:t>
      </w:r>
      <w:r w:rsidRPr="00027820">
        <w:rPr>
          <w:rFonts w:ascii="Calibri" w:hAnsi="Calibri" w:cs="Calibri"/>
          <w:sz w:val="22"/>
          <w:szCs w:val="22"/>
        </w:rPr>
        <w:t xml:space="preserve"> sometimes release</w:t>
      </w:r>
      <w:r w:rsidR="00027820" w:rsidRPr="00027820">
        <w:rPr>
          <w:rFonts w:ascii="Calibri" w:hAnsi="Calibri" w:cs="Calibri"/>
          <w:sz w:val="22"/>
          <w:szCs w:val="22"/>
        </w:rPr>
        <w:t>s approvals for</w:t>
      </w:r>
      <w:r w:rsidRPr="00027820">
        <w:rPr>
          <w:rFonts w:ascii="Calibri" w:hAnsi="Calibri" w:cs="Calibri"/>
          <w:sz w:val="22"/>
          <w:szCs w:val="22"/>
        </w:rPr>
        <w:t xml:space="preserve"> sections of projects at a time. It</w:t>
      </w:r>
      <w:r w:rsidR="00027820" w:rsidRPr="00027820">
        <w:rPr>
          <w:rFonts w:ascii="Calibri" w:hAnsi="Calibri" w:cs="Calibri"/>
          <w:sz w:val="22"/>
          <w:szCs w:val="22"/>
        </w:rPr>
        <w:t>’</w:t>
      </w:r>
      <w:r w:rsidRPr="00027820">
        <w:rPr>
          <w:rFonts w:ascii="Calibri" w:hAnsi="Calibri" w:cs="Calibri"/>
          <w:sz w:val="22"/>
          <w:szCs w:val="22"/>
        </w:rPr>
        <w:t xml:space="preserve">s not uncommon for large </w:t>
      </w:r>
      <w:r w:rsidR="00027820" w:rsidRPr="00027820">
        <w:rPr>
          <w:rFonts w:ascii="Calibri" w:hAnsi="Calibri" w:cs="Calibri"/>
          <w:sz w:val="22"/>
          <w:szCs w:val="22"/>
        </w:rPr>
        <w:t xml:space="preserve">linear </w:t>
      </w:r>
      <w:r w:rsidRPr="00027820">
        <w:rPr>
          <w:rFonts w:ascii="Calibri" w:hAnsi="Calibri" w:cs="Calibri"/>
          <w:sz w:val="22"/>
          <w:szCs w:val="22"/>
        </w:rPr>
        <w:t xml:space="preserve">projects to </w:t>
      </w:r>
      <w:r w:rsidR="00027820" w:rsidRPr="00027820">
        <w:rPr>
          <w:rFonts w:ascii="Calibri" w:hAnsi="Calibri" w:cs="Calibri"/>
          <w:sz w:val="22"/>
          <w:szCs w:val="22"/>
        </w:rPr>
        <w:t xml:space="preserve">involve </w:t>
      </w:r>
      <w:r w:rsidRPr="00027820">
        <w:rPr>
          <w:rFonts w:ascii="Calibri" w:hAnsi="Calibri" w:cs="Calibri"/>
          <w:sz w:val="22"/>
          <w:szCs w:val="22"/>
        </w:rPr>
        <w:t xml:space="preserve">route adjustments </w:t>
      </w:r>
      <w:r w:rsidR="00027820" w:rsidRPr="00027820">
        <w:rPr>
          <w:rFonts w:ascii="Calibri" w:hAnsi="Calibri" w:cs="Calibri"/>
          <w:sz w:val="22"/>
          <w:szCs w:val="22"/>
        </w:rPr>
        <w:t>as work progresses</w:t>
      </w:r>
      <w:r w:rsidRPr="00027820">
        <w:rPr>
          <w:rFonts w:ascii="Calibri" w:hAnsi="Calibri" w:cs="Calibri"/>
          <w:sz w:val="22"/>
          <w:szCs w:val="22"/>
        </w:rPr>
        <w:t xml:space="preserve">, which then impact wetland permitting in small areas </w:t>
      </w:r>
      <w:r w:rsidR="00027820" w:rsidRPr="00027820">
        <w:rPr>
          <w:rFonts w:ascii="Calibri" w:hAnsi="Calibri" w:cs="Calibri"/>
          <w:sz w:val="22"/>
          <w:szCs w:val="22"/>
        </w:rPr>
        <w:t>along a corridor</w:t>
      </w:r>
      <w:r w:rsidRPr="00027820">
        <w:rPr>
          <w:rFonts w:ascii="Calibri" w:hAnsi="Calibri" w:cs="Calibri"/>
          <w:sz w:val="22"/>
          <w:szCs w:val="22"/>
        </w:rPr>
        <w:t xml:space="preserve">. Projects also need </w:t>
      </w:r>
      <w:r w:rsidR="00027820" w:rsidRPr="00027820">
        <w:rPr>
          <w:rFonts w:ascii="Calibri" w:hAnsi="Calibri" w:cs="Calibri"/>
          <w:sz w:val="22"/>
          <w:szCs w:val="22"/>
        </w:rPr>
        <w:t xml:space="preserve">ongoing adjustments </w:t>
      </w:r>
      <w:r w:rsidRPr="00027820">
        <w:rPr>
          <w:rFonts w:ascii="Calibri" w:hAnsi="Calibri" w:cs="Calibri"/>
          <w:sz w:val="22"/>
          <w:szCs w:val="22"/>
        </w:rPr>
        <w:t>to access to th</w:t>
      </w:r>
      <w:r w:rsidR="00027820" w:rsidRPr="00027820">
        <w:rPr>
          <w:rFonts w:ascii="Calibri" w:hAnsi="Calibri" w:cs="Calibri"/>
          <w:sz w:val="22"/>
          <w:szCs w:val="22"/>
        </w:rPr>
        <w:t>o</w:t>
      </w:r>
      <w:r w:rsidRPr="00027820">
        <w:rPr>
          <w:rFonts w:ascii="Calibri" w:hAnsi="Calibri" w:cs="Calibri"/>
          <w:sz w:val="22"/>
          <w:szCs w:val="22"/>
        </w:rPr>
        <w:t xml:space="preserve">se areas, which </w:t>
      </w:r>
      <w:r w:rsidR="00027820" w:rsidRPr="00027820">
        <w:rPr>
          <w:rFonts w:ascii="Calibri" w:hAnsi="Calibri" w:cs="Calibri"/>
          <w:sz w:val="22"/>
          <w:szCs w:val="22"/>
        </w:rPr>
        <w:t>can have corresponding</w:t>
      </w:r>
      <w:r w:rsidRPr="00027820">
        <w:rPr>
          <w:rFonts w:ascii="Calibri" w:hAnsi="Calibri" w:cs="Calibri"/>
          <w:sz w:val="22"/>
          <w:szCs w:val="22"/>
        </w:rPr>
        <w:t xml:space="preserve"> impacts </w:t>
      </w:r>
      <w:r w:rsidR="00027820" w:rsidRPr="00027820">
        <w:rPr>
          <w:rFonts w:ascii="Calibri" w:hAnsi="Calibri" w:cs="Calibri"/>
          <w:sz w:val="22"/>
          <w:szCs w:val="22"/>
        </w:rPr>
        <w:t>on</w:t>
      </w:r>
      <w:r w:rsidRPr="00027820">
        <w:rPr>
          <w:rFonts w:ascii="Calibri" w:hAnsi="Calibri" w:cs="Calibri"/>
          <w:sz w:val="22"/>
          <w:szCs w:val="22"/>
        </w:rPr>
        <w:t xml:space="preserve"> wetland permitting.</w:t>
      </w:r>
    </w:p>
    <w:p w14:paraId="733DA252" w14:textId="77777777" w:rsidR="00DE1A95" w:rsidRPr="00027820" w:rsidRDefault="00DE1A95" w:rsidP="00DE1A95">
      <w:pPr>
        <w:rPr>
          <w:rFonts w:ascii="Calibri" w:hAnsi="Calibri" w:cs="Calibri"/>
          <w:sz w:val="22"/>
          <w:szCs w:val="22"/>
        </w:rPr>
      </w:pPr>
    </w:p>
    <w:p w14:paraId="1E890679" w14:textId="77777777" w:rsidR="00DE1A95" w:rsidRPr="00027820" w:rsidRDefault="00DE1A95" w:rsidP="00DE1A95">
      <w:pPr>
        <w:rPr>
          <w:rFonts w:ascii="Calibri" w:hAnsi="Calibri" w:cs="Calibri"/>
          <w:i/>
          <w:iCs/>
          <w:sz w:val="22"/>
          <w:szCs w:val="22"/>
        </w:rPr>
      </w:pPr>
      <w:r w:rsidRPr="00027820">
        <w:rPr>
          <w:rFonts w:ascii="Calibri" w:hAnsi="Calibri" w:cs="Calibri"/>
          <w:i/>
          <w:iCs/>
          <w:sz w:val="22"/>
          <w:szCs w:val="22"/>
        </w:rPr>
        <w:t xml:space="preserve">The Chamber recommends </w:t>
      </w:r>
      <w:r w:rsidR="00027820" w:rsidRPr="00027820">
        <w:rPr>
          <w:rFonts w:ascii="Calibri" w:hAnsi="Calibri" w:cs="Calibri"/>
          <w:i/>
          <w:iCs/>
          <w:sz w:val="22"/>
          <w:szCs w:val="22"/>
        </w:rPr>
        <w:t xml:space="preserve">either </w:t>
      </w:r>
      <w:r w:rsidRPr="00027820">
        <w:rPr>
          <w:rFonts w:ascii="Calibri" w:hAnsi="Calibri" w:cs="Calibri"/>
          <w:i/>
          <w:iCs/>
          <w:sz w:val="22"/>
          <w:szCs w:val="22"/>
        </w:rPr>
        <w:t xml:space="preserve">striking the proposed additional language from Item 2.10 or replacing it with the following language: </w:t>
      </w:r>
    </w:p>
    <w:p w14:paraId="09CA0BFA" w14:textId="77777777" w:rsidR="00027820" w:rsidRPr="00027820" w:rsidRDefault="00027820" w:rsidP="00DE1A95">
      <w:pPr>
        <w:rPr>
          <w:rFonts w:ascii="Calibri" w:hAnsi="Calibri" w:cs="Calibri"/>
          <w:sz w:val="22"/>
          <w:szCs w:val="22"/>
        </w:rPr>
      </w:pPr>
    </w:p>
    <w:p w14:paraId="273A3C41" w14:textId="77777777" w:rsidR="00DE1A95" w:rsidRPr="00597619" w:rsidRDefault="00DE1A95" w:rsidP="00DE1A95">
      <w:pPr>
        <w:rPr>
          <w:rFonts w:ascii="Calibri" w:hAnsi="Calibri" w:cs="Calibri"/>
          <w:color w:val="538135"/>
          <w:sz w:val="22"/>
          <w:szCs w:val="22"/>
        </w:rPr>
      </w:pPr>
      <w:r w:rsidRPr="00597619">
        <w:rPr>
          <w:rFonts w:ascii="Calibri" w:hAnsi="Calibri" w:cs="Calibri"/>
          <w:color w:val="538135"/>
          <w:sz w:val="22"/>
          <w:szCs w:val="22"/>
        </w:rPr>
        <w:t>“Construction activities with discharges to wetlands cannot begin until the requirements for wetland permits, other determinations, or the mitigative sequence required in section 22 have been finalized and documented. [Minn. R. 7050.0186]”</w:t>
      </w:r>
    </w:p>
    <w:p w14:paraId="00265991" w14:textId="77777777" w:rsidR="00DE1A95" w:rsidRPr="00027820" w:rsidRDefault="00DE1A95" w:rsidP="00DE1A95">
      <w:pPr>
        <w:rPr>
          <w:rFonts w:ascii="Calibri" w:hAnsi="Calibri" w:cs="Calibri"/>
          <w:sz w:val="22"/>
          <w:szCs w:val="22"/>
        </w:rPr>
      </w:pPr>
    </w:p>
    <w:p w14:paraId="1C5349D0" w14:textId="77777777" w:rsidR="00AC27B7" w:rsidRDefault="00AC27B7" w:rsidP="00027820">
      <w:pPr>
        <w:pStyle w:val="Heading1"/>
      </w:pPr>
    </w:p>
    <w:p w14:paraId="5A46BBE2" w14:textId="03562EEF" w:rsidR="00DE1A95" w:rsidRPr="00027820" w:rsidRDefault="00DE1A95" w:rsidP="00027820">
      <w:pPr>
        <w:pStyle w:val="Heading1"/>
      </w:pPr>
      <w:r w:rsidRPr="00027820">
        <w:t>Item 10.2</w:t>
      </w:r>
    </w:p>
    <w:p w14:paraId="66A2AD62" w14:textId="77777777" w:rsidR="00DE1A95" w:rsidRPr="00027820" w:rsidRDefault="00DE1A95" w:rsidP="00DE1A95">
      <w:pPr>
        <w:rPr>
          <w:rFonts w:ascii="Calibri" w:hAnsi="Calibri" w:cs="Calibri"/>
          <w:sz w:val="22"/>
          <w:szCs w:val="22"/>
        </w:rPr>
      </w:pPr>
      <w:r w:rsidRPr="00027820">
        <w:rPr>
          <w:rFonts w:ascii="Calibri" w:hAnsi="Calibri" w:cs="Calibri"/>
          <w:sz w:val="22"/>
          <w:szCs w:val="22"/>
        </w:rPr>
        <w:t xml:space="preserve">“Permittees must discharge turbid or sediment-laden waters related to dewatering or basin draining (e.g., pumped discharges, trench/ditch cuts for drainage) </w:t>
      </w:r>
      <w:r w:rsidRPr="00027820">
        <w:rPr>
          <w:rFonts w:ascii="Calibri" w:hAnsi="Calibri" w:cs="Calibri"/>
          <w:color w:val="C00000"/>
          <w:sz w:val="22"/>
          <w:szCs w:val="22"/>
        </w:rPr>
        <w:t>to a sediment control (</w:t>
      </w:r>
      <w:proofErr w:type="gramStart"/>
      <w:r w:rsidRPr="00027820">
        <w:rPr>
          <w:rFonts w:ascii="Calibri" w:hAnsi="Calibri" w:cs="Calibri"/>
          <w:color w:val="C00000"/>
          <w:sz w:val="22"/>
          <w:szCs w:val="22"/>
        </w:rPr>
        <w:t>e.g.</w:t>
      </w:r>
      <w:proofErr w:type="gramEnd"/>
      <w:r w:rsidRPr="00027820">
        <w:rPr>
          <w:rFonts w:ascii="Calibri" w:hAnsi="Calibri" w:cs="Calibri"/>
          <w:color w:val="C00000"/>
          <w:sz w:val="22"/>
          <w:szCs w:val="22"/>
        </w:rPr>
        <w:t xml:space="preserve"> sediment trap or basin, filter bag) designed to prevent discharges with visual turbidity. </w:t>
      </w:r>
      <w:r w:rsidRPr="00B66DD8">
        <w:rPr>
          <w:rFonts w:ascii="Calibri" w:hAnsi="Calibri" w:cs="Calibri"/>
          <w:strike/>
          <w:color w:val="auto"/>
          <w:sz w:val="22"/>
          <w:szCs w:val="22"/>
        </w:rPr>
        <w:t>temporary or permanent sediment basin on the project site unless infeasible.</w:t>
      </w:r>
      <w:r w:rsidRPr="00027820">
        <w:rPr>
          <w:rFonts w:ascii="Calibri" w:hAnsi="Calibri" w:cs="Calibri"/>
          <w:color w:val="C00000"/>
          <w:sz w:val="22"/>
          <w:szCs w:val="22"/>
        </w:rPr>
        <w:t xml:space="preserve"> To the extent feasible, use well-vegetated (e.g., grassy or wooded), upland areas of the site to infiltrate dewatering water before discharge. Permittees are prohibited from using receiving waters as part of the treatment area. Permittees </w:t>
      </w:r>
      <w:r w:rsidRPr="003C545E">
        <w:rPr>
          <w:rFonts w:ascii="Calibri" w:hAnsi="Calibri" w:cs="Calibri"/>
          <w:strike/>
          <w:color w:val="auto"/>
          <w:sz w:val="22"/>
          <w:szCs w:val="22"/>
        </w:rPr>
        <w:t>may dewater to surface waters if they visually</w:t>
      </w:r>
      <w:r w:rsidRPr="00027820">
        <w:rPr>
          <w:rFonts w:ascii="Calibri" w:hAnsi="Calibri" w:cs="Calibri"/>
          <w:color w:val="C00000"/>
          <w:sz w:val="22"/>
          <w:szCs w:val="22"/>
        </w:rPr>
        <w:t xml:space="preserve"> must visually check and photograph the discharge at the beginning and every 4 hours of operation</w:t>
      </w:r>
      <w:r w:rsidRPr="00027820">
        <w:rPr>
          <w:rFonts w:ascii="Calibri" w:hAnsi="Calibri" w:cs="Calibri"/>
          <w:sz w:val="22"/>
          <w:szCs w:val="22"/>
        </w:rPr>
        <w:t xml:space="preserve"> to ensure adequate treatment has been obtained and nuisance conditions (see Minn. R. 7050.0210, subp. 2) will not result from the discharge. </w:t>
      </w:r>
      <w:r w:rsidRPr="00B66DD8">
        <w:rPr>
          <w:rFonts w:ascii="Calibri" w:hAnsi="Calibri" w:cs="Calibri"/>
          <w:strike/>
          <w:sz w:val="22"/>
          <w:szCs w:val="22"/>
        </w:rPr>
        <w:t>If permittees cannot discharge the water to a sedimentation basin prior to entering a surface water, permittees must treat it with appropriate BMPs such that the discharge does not adversely affect the surface water or downstream properties.</w:t>
      </w:r>
      <w:r w:rsidRPr="00027820">
        <w:rPr>
          <w:rFonts w:ascii="Calibri" w:hAnsi="Calibri" w:cs="Calibri"/>
          <w:sz w:val="22"/>
          <w:szCs w:val="22"/>
        </w:rPr>
        <w:t xml:space="preserve"> [Minn. R. 7050.0210]” </w:t>
      </w:r>
    </w:p>
    <w:p w14:paraId="09E2807E" w14:textId="77777777" w:rsidR="00DE1A95" w:rsidRPr="00027820" w:rsidRDefault="00DE1A95" w:rsidP="00DE1A95">
      <w:pPr>
        <w:rPr>
          <w:rFonts w:ascii="Calibri" w:hAnsi="Calibri" w:cs="Calibri"/>
          <w:sz w:val="22"/>
          <w:szCs w:val="22"/>
        </w:rPr>
      </w:pPr>
    </w:p>
    <w:p w14:paraId="516806DD" w14:textId="5F9463D4" w:rsidR="00DE1A95" w:rsidRPr="00027820" w:rsidRDefault="00DE1A95" w:rsidP="00DE1A95">
      <w:pPr>
        <w:rPr>
          <w:rFonts w:ascii="Calibri" w:hAnsi="Calibri" w:cs="Calibri"/>
          <w:sz w:val="22"/>
          <w:szCs w:val="22"/>
        </w:rPr>
      </w:pPr>
      <w:r w:rsidRPr="00027820">
        <w:rPr>
          <w:rFonts w:ascii="Calibri" w:hAnsi="Calibri" w:cs="Calibri"/>
          <w:sz w:val="22"/>
          <w:szCs w:val="22"/>
        </w:rPr>
        <w:t xml:space="preserve">The proposed language prohibits dewatering if discharge from the sediment control device has </w:t>
      </w:r>
      <w:r w:rsidR="00B66DD8">
        <w:rPr>
          <w:rFonts w:ascii="Calibri" w:hAnsi="Calibri" w:cs="Calibri"/>
          <w:sz w:val="22"/>
          <w:szCs w:val="22"/>
        </w:rPr>
        <w:t>visible</w:t>
      </w:r>
      <w:r w:rsidR="00B66DD8" w:rsidRPr="00027820">
        <w:rPr>
          <w:rFonts w:ascii="Calibri" w:hAnsi="Calibri" w:cs="Calibri"/>
          <w:sz w:val="22"/>
          <w:szCs w:val="22"/>
        </w:rPr>
        <w:t xml:space="preserve"> </w:t>
      </w:r>
      <w:r w:rsidRPr="00027820">
        <w:rPr>
          <w:rFonts w:ascii="Calibri" w:hAnsi="Calibri" w:cs="Calibri"/>
          <w:sz w:val="22"/>
          <w:szCs w:val="22"/>
        </w:rPr>
        <w:t>turbidity. Filter bags, sediment traps, and sediment basins often do</w:t>
      </w:r>
      <w:r w:rsidR="00B66DD8">
        <w:rPr>
          <w:rFonts w:ascii="Calibri" w:hAnsi="Calibri" w:cs="Calibri"/>
          <w:sz w:val="22"/>
          <w:szCs w:val="22"/>
        </w:rPr>
        <w:t>n’</w:t>
      </w:r>
      <w:r w:rsidRPr="00027820">
        <w:rPr>
          <w:rFonts w:ascii="Calibri" w:hAnsi="Calibri" w:cs="Calibri"/>
          <w:sz w:val="22"/>
          <w:szCs w:val="22"/>
        </w:rPr>
        <w:t xml:space="preserve">t remove all </w:t>
      </w:r>
      <w:r w:rsidR="00B66DD8">
        <w:rPr>
          <w:rFonts w:ascii="Calibri" w:hAnsi="Calibri" w:cs="Calibri"/>
          <w:sz w:val="22"/>
          <w:szCs w:val="22"/>
        </w:rPr>
        <w:t>visible</w:t>
      </w:r>
      <w:r w:rsidR="00B66DD8" w:rsidRPr="00027820">
        <w:rPr>
          <w:rFonts w:ascii="Calibri" w:hAnsi="Calibri" w:cs="Calibri"/>
          <w:sz w:val="22"/>
          <w:szCs w:val="22"/>
        </w:rPr>
        <w:t xml:space="preserve"> </w:t>
      </w:r>
      <w:r w:rsidRPr="00027820">
        <w:rPr>
          <w:rFonts w:ascii="Calibri" w:hAnsi="Calibri" w:cs="Calibri"/>
          <w:sz w:val="22"/>
          <w:szCs w:val="22"/>
        </w:rPr>
        <w:t xml:space="preserve">turbidity. This proposed change would likely </w:t>
      </w:r>
      <w:r w:rsidR="00B66DD8">
        <w:rPr>
          <w:rFonts w:ascii="Calibri" w:hAnsi="Calibri" w:cs="Calibri"/>
          <w:sz w:val="22"/>
          <w:szCs w:val="22"/>
        </w:rPr>
        <w:t xml:space="preserve">mean </w:t>
      </w:r>
      <w:r w:rsidRPr="00027820">
        <w:rPr>
          <w:rFonts w:ascii="Calibri" w:hAnsi="Calibri" w:cs="Calibri"/>
          <w:sz w:val="22"/>
          <w:szCs w:val="22"/>
        </w:rPr>
        <w:t xml:space="preserve">an extensive treatment train </w:t>
      </w:r>
      <w:r w:rsidR="00B66DD8">
        <w:rPr>
          <w:rFonts w:ascii="Calibri" w:hAnsi="Calibri" w:cs="Calibri"/>
          <w:sz w:val="22"/>
          <w:szCs w:val="22"/>
        </w:rPr>
        <w:t xml:space="preserve">would </w:t>
      </w:r>
      <w:r w:rsidR="00B66DD8" w:rsidRPr="00B66DD8">
        <w:rPr>
          <w:rFonts w:ascii="Calibri" w:hAnsi="Calibri" w:cs="Calibri"/>
          <w:sz w:val="22"/>
          <w:szCs w:val="22"/>
        </w:rPr>
        <w:t xml:space="preserve">often </w:t>
      </w:r>
      <w:r w:rsidR="00B66DD8">
        <w:rPr>
          <w:rFonts w:ascii="Calibri" w:hAnsi="Calibri" w:cs="Calibri"/>
          <w:sz w:val="22"/>
          <w:szCs w:val="22"/>
        </w:rPr>
        <w:t xml:space="preserve">be </w:t>
      </w:r>
      <w:r w:rsidR="00B66DD8" w:rsidRPr="00B66DD8">
        <w:rPr>
          <w:rFonts w:ascii="Calibri" w:hAnsi="Calibri" w:cs="Calibri"/>
          <w:sz w:val="22"/>
          <w:szCs w:val="22"/>
        </w:rPr>
        <w:t>require</w:t>
      </w:r>
      <w:r w:rsidR="00B66DD8">
        <w:rPr>
          <w:rFonts w:ascii="Calibri" w:hAnsi="Calibri" w:cs="Calibri"/>
          <w:sz w:val="22"/>
          <w:szCs w:val="22"/>
        </w:rPr>
        <w:t>d</w:t>
      </w:r>
      <w:r w:rsidR="00B66DD8" w:rsidRPr="00B66DD8">
        <w:rPr>
          <w:rFonts w:ascii="Calibri" w:hAnsi="Calibri" w:cs="Calibri"/>
          <w:sz w:val="22"/>
          <w:szCs w:val="22"/>
        </w:rPr>
        <w:t xml:space="preserve"> </w:t>
      </w:r>
      <w:r w:rsidRPr="00027820">
        <w:rPr>
          <w:rFonts w:ascii="Calibri" w:hAnsi="Calibri" w:cs="Calibri"/>
          <w:sz w:val="22"/>
          <w:szCs w:val="22"/>
        </w:rPr>
        <w:t>for dewatering activities. Additionally, naturally occurring water with high-humic content appear</w:t>
      </w:r>
      <w:r w:rsidR="00B66DD8">
        <w:rPr>
          <w:rFonts w:ascii="Calibri" w:hAnsi="Calibri" w:cs="Calibri"/>
          <w:sz w:val="22"/>
          <w:szCs w:val="22"/>
        </w:rPr>
        <w:t>s</w:t>
      </w:r>
      <w:r w:rsidRPr="00027820">
        <w:rPr>
          <w:rFonts w:ascii="Calibri" w:hAnsi="Calibri" w:cs="Calibri"/>
          <w:sz w:val="22"/>
          <w:szCs w:val="22"/>
        </w:rPr>
        <w:t xml:space="preserve"> brownish, which is unrelated to construction activities. Humic conditions can occur in lakes, wetlands, and streams.</w:t>
      </w:r>
    </w:p>
    <w:p w14:paraId="1EDC22C1" w14:textId="77777777" w:rsidR="00DE1A95" w:rsidRPr="00027820" w:rsidRDefault="00DE1A95" w:rsidP="00DE1A95">
      <w:pPr>
        <w:rPr>
          <w:rFonts w:ascii="Calibri" w:hAnsi="Calibri" w:cs="Calibri"/>
          <w:sz w:val="22"/>
          <w:szCs w:val="22"/>
        </w:rPr>
      </w:pPr>
    </w:p>
    <w:p w14:paraId="309ACBB3" w14:textId="77777777" w:rsidR="00AC27B7" w:rsidRDefault="00AC27B7" w:rsidP="00DE1A95">
      <w:pPr>
        <w:rPr>
          <w:rFonts w:ascii="Calibri" w:hAnsi="Calibri" w:cs="Calibri"/>
          <w:i/>
          <w:iCs/>
          <w:sz w:val="22"/>
          <w:szCs w:val="22"/>
        </w:rPr>
      </w:pPr>
    </w:p>
    <w:p w14:paraId="7E2E111D" w14:textId="3D856114" w:rsidR="00DE1A95" w:rsidRDefault="00DE1A95" w:rsidP="00DE1A95">
      <w:pPr>
        <w:rPr>
          <w:rFonts w:ascii="Calibri" w:hAnsi="Calibri" w:cs="Calibri"/>
          <w:i/>
          <w:iCs/>
          <w:sz w:val="22"/>
          <w:szCs w:val="22"/>
        </w:rPr>
      </w:pPr>
      <w:r w:rsidRPr="00B66DD8">
        <w:rPr>
          <w:rFonts w:ascii="Calibri" w:hAnsi="Calibri" w:cs="Calibri"/>
          <w:i/>
          <w:iCs/>
          <w:sz w:val="22"/>
          <w:szCs w:val="22"/>
        </w:rPr>
        <w:t>The Chamber proposes replacing proposed Item 10.2 with the following language:</w:t>
      </w:r>
    </w:p>
    <w:p w14:paraId="40EA07F2" w14:textId="77777777" w:rsidR="00AC27B7" w:rsidRPr="00B66DD8" w:rsidRDefault="00AC27B7" w:rsidP="00DE1A95">
      <w:pPr>
        <w:rPr>
          <w:rFonts w:ascii="Calibri" w:hAnsi="Calibri" w:cs="Calibri"/>
          <w:i/>
          <w:iCs/>
          <w:sz w:val="22"/>
          <w:szCs w:val="22"/>
        </w:rPr>
      </w:pPr>
    </w:p>
    <w:p w14:paraId="48537EEB" w14:textId="0F5BA524" w:rsidR="00DE1A95" w:rsidRPr="00597619" w:rsidRDefault="00DE1A95" w:rsidP="00DE1A95">
      <w:pPr>
        <w:rPr>
          <w:rFonts w:ascii="Calibri" w:hAnsi="Calibri" w:cs="Calibri"/>
          <w:color w:val="538135"/>
          <w:sz w:val="22"/>
          <w:szCs w:val="22"/>
        </w:rPr>
      </w:pPr>
      <w:r w:rsidRPr="00597619">
        <w:rPr>
          <w:rFonts w:ascii="Calibri" w:hAnsi="Calibri" w:cs="Calibri"/>
          <w:color w:val="538135"/>
          <w:sz w:val="22"/>
          <w:szCs w:val="22"/>
        </w:rPr>
        <w:t xml:space="preserve">“If discharging to a surface water, permittees must discharge sediment-laden waters related to dewatering or basin draining (e.g., pumped discharges, </w:t>
      </w:r>
      <w:proofErr w:type="gramStart"/>
      <w:r w:rsidRPr="00597619">
        <w:rPr>
          <w:rFonts w:ascii="Calibri" w:hAnsi="Calibri" w:cs="Calibri"/>
          <w:color w:val="538135"/>
          <w:sz w:val="22"/>
          <w:szCs w:val="22"/>
        </w:rPr>
        <w:t>trench</w:t>
      </w:r>
      <w:proofErr w:type="gramEnd"/>
      <w:r w:rsidR="00B66DD8" w:rsidRPr="00597619">
        <w:rPr>
          <w:rFonts w:ascii="Calibri" w:hAnsi="Calibri" w:cs="Calibri"/>
          <w:color w:val="538135"/>
          <w:sz w:val="22"/>
          <w:szCs w:val="22"/>
        </w:rPr>
        <w:t xml:space="preserve"> or </w:t>
      </w:r>
      <w:r w:rsidRPr="00597619">
        <w:rPr>
          <w:rFonts w:ascii="Calibri" w:hAnsi="Calibri" w:cs="Calibri"/>
          <w:color w:val="538135"/>
          <w:sz w:val="22"/>
          <w:szCs w:val="22"/>
        </w:rPr>
        <w:t>ditch cuts for drainage) to a sediment control (e.g.</w:t>
      </w:r>
      <w:r w:rsidR="00B66DD8" w:rsidRPr="00597619">
        <w:rPr>
          <w:rFonts w:ascii="Calibri" w:hAnsi="Calibri" w:cs="Calibri"/>
          <w:color w:val="538135"/>
          <w:sz w:val="22"/>
          <w:szCs w:val="22"/>
        </w:rPr>
        <w:t>,</w:t>
      </w:r>
      <w:r w:rsidRPr="00597619">
        <w:rPr>
          <w:rFonts w:ascii="Calibri" w:hAnsi="Calibri" w:cs="Calibri"/>
          <w:color w:val="538135"/>
          <w:sz w:val="22"/>
          <w:szCs w:val="22"/>
        </w:rPr>
        <w:t xml:space="preserve"> sediment trap or basin, filter bag) designed to prevent discharges with </w:t>
      </w:r>
      <w:r w:rsidR="00B66DD8" w:rsidRPr="00597619">
        <w:rPr>
          <w:rFonts w:ascii="Calibri" w:hAnsi="Calibri" w:cs="Calibri"/>
          <w:color w:val="538135"/>
          <w:sz w:val="22"/>
          <w:szCs w:val="22"/>
        </w:rPr>
        <w:t xml:space="preserve">visible </w:t>
      </w:r>
      <w:r w:rsidRPr="00597619">
        <w:rPr>
          <w:rFonts w:ascii="Calibri" w:hAnsi="Calibri" w:cs="Calibri"/>
          <w:color w:val="538135"/>
          <w:sz w:val="22"/>
          <w:szCs w:val="22"/>
        </w:rPr>
        <w:t xml:space="preserve">turbidity related to sediment. To the extent feasible, use well-vegetated (e.g., grassy or wooded) upland areas of the site to infiltrate dewatering water. Permittees must visually check and photograph the discharge at the beginning and every 4 hours of operation to ensure adequate treatment has been obtained and nuisance conditions to a surface water (see Minn. R. 7050.0210, subp. 2) will not result from the discharge.” </w:t>
      </w:r>
    </w:p>
    <w:p w14:paraId="4638E11A" w14:textId="77777777" w:rsidR="00DE1A95" w:rsidRPr="00027820" w:rsidRDefault="00DE1A95" w:rsidP="00DE1A95">
      <w:pPr>
        <w:rPr>
          <w:rFonts w:ascii="Calibri" w:hAnsi="Calibri" w:cs="Calibri"/>
          <w:sz w:val="22"/>
          <w:szCs w:val="22"/>
        </w:rPr>
      </w:pPr>
    </w:p>
    <w:p w14:paraId="3B1AA9BD" w14:textId="77777777" w:rsidR="00AC27B7" w:rsidRDefault="00AC27B7" w:rsidP="00B66DD8">
      <w:pPr>
        <w:pStyle w:val="Heading1"/>
      </w:pPr>
    </w:p>
    <w:p w14:paraId="0F207339" w14:textId="6D3F93EC" w:rsidR="00DE1A95" w:rsidRPr="00027820" w:rsidRDefault="00DE1A95" w:rsidP="00B66DD8">
      <w:pPr>
        <w:pStyle w:val="Heading1"/>
      </w:pPr>
      <w:r w:rsidRPr="00027820">
        <w:t>Item 10.3</w:t>
      </w:r>
    </w:p>
    <w:p w14:paraId="6AF0FDD6" w14:textId="77777777" w:rsidR="00DE1A95" w:rsidRPr="00B66DD8" w:rsidRDefault="00DE1A95" w:rsidP="00DE1A95">
      <w:pPr>
        <w:rPr>
          <w:rFonts w:ascii="Calibri" w:hAnsi="Calibri" w:cs="Calibri"/>
          <w:color w:val="C00000"/>
          <w:sz w:val="22"/>
          <w:szCs w:val="22"/>
        </w:rPr>
      </w:pPr>
      <w:r w:rsidRPr="00B66DD8">
        <w:rPr>
          <w:rFonts w:ascii="Calibri" w:hAnsi="Calibri" w:cs="Calibri"/>
          <w:color w:val="C00000"/>
          <w:sz w:val="22"/>
          <w:szCs w:val="22"/>
        </w:rPr>
        <w:t>“If nuisance conditions result from the discharge, Permittees must cease dewatering immediately and corrective actions must occur before dewatering is resumed. Nuisance conditions includes, but is not limited to, a sediment plume in the discharge or the discharge appears cloudy, or opaque, or has a visible contrast, or has a visible oil film, or has aquatic habitat degradation that can be identified by an observer. [Minn. R. 7050.0210]”</w:t>
      </w:r>
    </w:p>
    <w:p w14:paraId="3A46FA6C" w14:textId="77777777" w:rsidR="00DE1A95" w:rsidRPr="00027820" w:rsidRDefault="00DE1A95" w:rsidP="00DE1A95">
      <w:pPr>
        <w:rPr>
          <w:rFonts w:ascii="Calibri" w:hAnsi="Calibri" w:cs="Calibri"/>
          <w:sz w:val="22"/>
          <w:szCs w:val="22"/>
        </w:rPr>
      </w:pPr>
    </w:p>
    <w:p w14:paraId="5001C87E" w14:textId="06B5F149" w:rsidR="00DE1A95" w:rsidRPr="00027820" w:rsidRDefault="003C4C06" w:rsidP="00DE1A95">
      <w:pPr>
        <w:rPr>
          <w:rFonts w:ascii="Calibri" w:hAnsi="Calibri" w:cs="Calibri"/>
          <w:sz w:val="22"/>
          <w:szCs w:val="22"/>
        </w:rPr>
      </w:pPr>
      <w:r>
        <w:rPr>
          <w:rFonts w:ascii="Calibri" w:hAnsi="Calibri" w:cs="Calibri"/>
          <w:sz w:val="22"/>
          <w:szCs w:val="22"/>
        </w:rPr>
        <w:t>The n</w:t>
      </w:r>
      <w:r w:rsidR="00DE1A95" w:rsidRPr="00027820">
        <w:rPr>
          <w:rFonts w:ascii="Calibri" w:hAnsi="Calibri" w:cs="Calibri"/>
          <w:sz w:val="22"/>
          <w:szCs w:val="22"/>
        </w:rPr>
        <w:t xml:space="preserve">uisance conditions </w:t>
      </w:r>
      <w:r>
        <w:rPr>
          <w:rFonts w:ascii="Calibri" w:hAnsi="Calibri" w:cs="Calibri"/>
          <w:sz w:val="22"/>
          <w:szCs w:val="22"/>
        </w:rPr>
        <w:t xml:space="preserve">listed </w:t>
      </w:r>
      <w:r w:rsidR="00B66DD8">
        <w:rPr>
          <w:rFonts w:ascii="Calibri" w:hAnsi="Calibri" w:cs="Calibri"/>
          <w:sz w:val="22"/>
          <w:szCs w:val="22"/>
        </w:rPr>
        <w:t xml:space="preserve">in that item </w:t>
      </w:r>
      <w:r w:rsidR="00DE1A95" w:rsidRPr="00027820">
        <w:rPr>
          <w:rFonts w:ascii="Calibri" w:hAnsi="Calibri" w:cs="Calibri"/>
          <w:sz w:val="22"/>
          <w:szCs w:val="22"/>
        </w:rPr>
        <w:t>are overly broad</w:t>
      </w:r>
      <w:r>
        <w:rPr>
          <w:rFonts w:ascii="Calibri" w:hAnsi="Calibri" w:cs="Calibri"/>
          <w:sz w:val="22"/>
          <w:szCs w:val="22"/>
        </w:rPr>
        <w:t>,</w:t>
      </w:r>
      <w:r w:rsidR="00DE1A95" w:rsidRPr="00027820">
        <w:rPr>
          <w:rFonts w:ascii="Calibri" w:hAnsi="Calibri" w:cs="Calibri"/>
          <w:sz w:val="22"/>
          <w:szCs w:val="22"/>
        </w:rPr>
        <w:t xml:space="preserve"> and the term </w:t>
      </w:r>
      <w:r>
        <w:rPr>
          <w:rFonts w:ascii="Calibri" w:hAnsi="Calibri" w:cs="Calibri"/>
          <w:sz w:val="22"/>
          <w:szCs w:val="22"/>
        </w:rPr>
        <w:t>“</w:t>
      </w:r>
      <w:r w:rsidR="00DE1A95" w:rsidRPr="00027820">
        <w:rPr>
          <w:rFonts w:ascii="Calibri" w:hAnsi="Calibri" w:cs="Calibri"/>
          <w:sz w:val="22"/>
          <w:szCs w:val="22"/>
        </w:rPr>
        <w:t>aquatic habitat degradation</w:t>
      </w:r>
      <w:r>
        <w:rPr>
          <w:rFonts w:ascii="Calibri" w:hAnsi="Calibri" w:cs="Calibri"/>
          <w:sz w:val="22"/>
          <w:szCs w:val="22"/>
        </w:rPr>
        <w:t>”</w:t>
      </w:r>
      <w:r w:rsidR="00DE1A95" w:rsidRPr="00027820">
        <w:rPr>
          <w:rFonts w:ascii="Calibri" w:hAnsi="Calibri" w:cs="Calibri"/>
          <w:sz w:val="22"/>
          <w:szCs w:val="22"/>
        </w:rPr>
        <w:t xml:space="preserve"> requires a definition. As written, </w:t>
      </w:r>
      <w:r>
        <w:rPr>
          <w:rFonts w:ascii="Calibri" w:hAnsi="Calibri" w:cs="Calibri"/>
          <w:sz w:val="22"/>
          <w:szCs w:val="22"/>
        </w:rPr>
        <w:t>the item would</w:t>
      </w:r>
      <w:r w:rsidRPr="00027820">
        <w:rPr>
          <w:rFonts w:ascii="Calibri" w:hAnsi="Calibri" w:cs="Calibri"/>
          <w:sz w:val="22"/>
          <w:szCs w:val="22"/>
        </w:rPr>
        <w:t xml:space="preserve"> </w:t>
      </w:r>
      <w:r w:rsidR="00DE1A95" w:rsidRPr="00027820">
        <w:rPr>
          <w:rFonts w:ascii="Calibri" w:hAnsi="Calibri" w:cs="Calibri"/>
          <w:sz w:val="22"/>
          <w:szCs w:val="22"/>
        </w:rPr>
        <w:t xml:space="preserve">allow any observer to claim </w:t>
      </w:r>
      <w:r>
        <w:rPr>
          <w:rFonts w:ascii="Calibri" w:hAnsi="Calibri" w:cs="Calibri"/>
          <w:sz w:val="22"/>
          <w:szCs w:val="22"/>
        </w:rPr>
        <w:t xml:space="preserve">that </w:t>
      </w:r>
      <w:r w:rsidR="00DE1A95" w:rsidRPr="00027820">
        <w:rPr>
          <w:rFonts w:ascii="Calibri" w:hAnsi="Calibri" w:cs="Calibri"/>
          <w:sz w:val="22"/>
          <w:szCs w:val="22"/>
        </w:rPr>
        <w:t xml:space="preserve">there </w:t>
      </w:r>
      <w:r>
        <w:rPr>
          <w:rFonts w:ascii="Calibri" w:hAnsi="Calibri" w:cs="Calibri"/>
          <w:sz w:val="22"/>
          <w:szCs w:val="22"/>
        </w:rPr>
        <w:t>wa</w:t>
      </w:r>
      <w:r w:rsidR="00DE1A95" w:rsidRPr="00027820">
        <w:rPr>
          <w:rFonts w:ascii="Calibri" w:hAnsi="Calibri" w:cs="Calibri"/>
          <w:sz w:val="22"/>
          <w:szCs w:val="22"/>
        </w:rPr>
        <w:t>s aquatic habitat degradation</w:t>
      </w:r>
      <w:r>
        <w:rPr>
          <w:rFonts w:ascii="Calibri" w:hAnsi="Calibri" w:cs="Calibri"/>
          <w:sz w:val="22"/>
          <w:szCs w:val="22"/>
        </w:rPr>
        <w:t>,</w:t>
      </w:r>
      <w:r w:rsidR="00DE1A95" w:rsidRPr="00027820">
        <w:rPr>
          <w:rFonts w:ascii="Calibri" w:hAnsi="Calibri" w:cs="Calibri"/>
          <w:sz w:val="22"/>
          <w:szCs w:val="22"/>
        </w:rPr>
        <w:t xml:space="preserve"> </w:t>
      </w:r>
      <w:r w:rsidRPr="003C4C06">
        <w:rPr>
          <w:rFonts w:ascii="Calibri" w:hAnsi="Calibri" w:cs="Calibri"/>
          <w:sz w:val="22"/>
          <w:szCs w:val="22"/>
        </w:rPr>
        <w:t>—</w:t>
      </w:r>
      <w:r>
        <w:rPr>
          <w:rFonts w:ascii="Calibri" w:hAnsi="Calibri" w:cs="Calibri"/>
          <w:sz w:val="22"/>
          <w:szCs w:val="22"/>
        </w:rPr>
        <w:t>absent any</w:t>
      </w:r>
      <w:r w:rsidR="00DE1A95" w:rsidRPr="00027820">
        <w:rPr>
          <w:rFonts w:ascii="Calibri" w:hAnsi="Calibri" w:cs="Calibri"/>
          <w:sz w:val="22"/>
          <w:szCs w:val="22"/>
        </w:rPr>
        <w:t xml:space="preserve"> qualifi</w:t>
      </w:r>
      <w:r>
        <w:rPr>
          <w:rFonts w:ascii="Calibri" w:hAnsi="Calibri" w:cs="Calibri"/>
          <w:sz w:val="22"/>
          <w:szCs w:val="22"/>
        </w:rPr>
        <w:t>cation</w:t>
      </w:r>
      <w:r w:rsidR="00DE1A95" w:rsidRPr="00027820">
        <w:rPr>
          <w:rFonts w:ascii="Calibri" w:hAnsi="Calibri" w:cs="Calibri"/>
          <w:sz w:val="22"/>
          <w:szCs w:val="22"/>
        </w:rPr>
        <w:t xml:space="preserve"> to make </w:t>
      </w:r>
      <w:r>
        <w:rPr>
          <w:rFonts w:ascii="Calibri" w:hAnsi="Calibri" w:cs="Calibri"/>
          <w:sz w:val="22"/>
          <w:szCs w:val="22"/>
        </w:rPr>
        <w:t>that determination</w:t>
      </w:r>
      <w:r w:rsidRPr="003C4C06">
        <w:rPr>
          <w:rFonts w:ascii="Calibri" w:hAnsi="Calibri" w:cs="Calibri"/>
          <w:sz w:val="22"/>
          <w:szCs w:val="22"/>
        </w:rPr>
        <w:t>—</w:t>
      </w:r>
      <w:r w:rsidR="00DE1A95" w:rsidRPr="00027820">
        <w:rPr>
          <w:rFonts w:ascii="Calibri" w:hAnsi="Calibri" w:cs="Calibri"/>
          <w:sz w:val="22"/>
          <w:szCs w:val="22"/>
        </w:rPr>
        <w:t xml:space="preserve">thus </w:t>
      </w:r>
      <w:r>
        <w:rPr>
          <w:rFonts w:ascii="Calibri" w:hAnsi="Calibri" w:cs="Calibri"/>
          <w:sz w:val="22"/>
          <w:szCs w:val="22"/>
        </w:rPr>
        <w:t>bringing</w:t>
      </w:r>
      <w:r w:rsidR="00DE1A95" w:rsidRPr="00027820">
        <w:rPr>
          <w:rFonts w:ascii="Calibri" w:hAnsi="Calibri" w:cs="Calibri"/>
          <w:sz w:val="22"/>
          <w:szCs w:val="22"/>
        </w:rPr>
        <w:t xml:space="preserve"> dewatering </w:t>
      </w:r>
      <w:r>
        <w:rPr>
          <w:rFonts w:ascii="Calibri" w:hAnsi="Calibri" w:cs="Calibri"/>
          <w:sz w:val="22"/>
          <w:szCs w:val="22"/>
        </w:rPr>
        <w:t xml:space="preserve">to a halt </w:t>
      </w:r>
      <w:r w:rsidR="00DE1A95" w:rsidRPr="00027820">
        <w:rPr>
          <w:rFonts w:ascii="Calibri" w:hAnsi="Calibri" w:cs="Calibri"/>
          <w:sz w:val="22"/>
          <w:szCs w:val="22"/>
        </w:rPr>
        <w:t>and negatively impact</w:t>
      </w:r>
      <w:r>
        <w:rPr>
          <w:rFonts w:ascii="Calibri" w:hAnsi="Calibri" w:cs="Calibri"/>
          <w:sz w:val="22"/>
          <w:szCs w:val="22"/>
        </w:rPr>
        <w:t>ing</w:t>
      </w:r>
      <w:r w:rsidR="00DE1A95" w:rsidRPr="00027820">
        <w:rPr>
          <w:rFonts w:ascii="Calibri" w:hAnsi="Calibri" w:cs="Calibri"/>
          <w:sz w:val="22"/>
          <w:szCs w:val="22"/>
        </w:rPr>
        <w:t xml:space="preserve"> construction</w:t>
      </w:r>
      <w:r>
        <w:rPr>
          <w:rFonts w:ascii="Calibri" w:hAnsi="Calibri" w:cs="Calibri"/>
          <w:sz w:val="22"/>
          <w:szCs w:val="22"/>
        </w:rPr>
        <w:t xml:space="preserve"> work</w:t>
      </w:r>
      <w:r w:rsidR="00DE1A95" w:rsidRPr="00027820">
        <w:rPr>
          <w:rFonts w:ascii="Calibri" w:hAnsi="Calibri" w:cs="Calibri"/>
          <w:sz w:val="22"/>
          <w:szCs w:val="22"/>
        </w:rPr>
        <w:t xml:space="preserve">. Additionally, “has a visible contrast” is an unclear </w:t>
      </w:r>
      <w:r>
        <w:rPr>
          <w:rFonts w:ascii="Calibri" w:hAnsi="Calibri" w:cs="Calibri"/>
          <w:sz w:val="22"/>
          <w:szCs w:val="22"/>
        </w:rPr>
        <w:t>description</w:t>
      </w:r>
      <w:r w:rsidRPr="00027820">
        <w:rPr>
          <w:rFonts w:ascii="Calibri" w:hAnsi="Calibri" w:cs="Calibri"/>
          <w:sz w:val="22"/>
          <w:szCs w:val="22"/>
        </w:rPr>
        <w:t xml:space="preserve"> </w:t>
      </w:r>
      <w:r>
        <w:rPr>
          <w:rFonts w:ascii="Calibri" w:hAnsi="Calibri" w:cs="Calibri"/>
          <w:sz w:val="22"/>
          <w:szCs w:val="22"/>
        </w:rPr>
        <w:t>because</w:t>
      </w:r>
      <w:r w:rsidR="00DE1A95" w:rsidRPr="00027820">
        <w:rPr>
          <w:rFonts w:ascii="Calibri" w:hAnsi="Calibri" w:cs="Calibri"/>
          <w:sz w:val="22"/>
          <w:szCs w:val="22"/>
        </w:rPr>
        <w:t xml:space="preserve"> pumping clear water into a </w:t>
      </w:r>
      <w:r>
        <w:rPr>
          <w:rFonts w:ascii="Calibri" w:hAnsi="Calibri" w:cs="Calibri"/>
          <w:sz w:val="22"/>
          <w:szCs w:val="22"/>
        </w:rPr>
        <w:t xml:space="preserve">turbid </w:t>
      </w:r>
      <w:r w:rsidR="00DE1A95" w:rsidRPr="00027820">
        <w:rPr>
          <w:rFonts w:ascii="Calibri" w:hAnsi="Calibri" w:cs="Calibri"/>
          <w:sz w:val="22"/>
          <w:szCs w:val="22"/>
        </w:rPr>
        <w:t xml:space="preserve">stream would </w:t>
      </w:r>
      <w:r>
        <w:rPr>
          <w:rFonts w:ascii="Calibri" w:hAnsi="Calibri" w:cs="Calibri"/>
          <w:sz w:val="22"/>
          <w:szCs w:val="22"/>
        </w:rPr>
        <w:t>create</w:t>
      </w:r>
      <w:r w:rsidR="00DE1A95" w:rsidRPr="00027820">
        <w:rPr>
          <w:rFonts w:ascii="Calibri" w:hAnsi="Calibri" w:cs="Calibri"/>
          <w:sz w:val="22"/>
          <w:szCs w:val="22"/>
        </w:rPr>
        <w:t xml:space="preserve"> a visible contrast</w:t>
      </w:r>
      <w:r>
        <w:rPr>
          <w:rFonts w:ascii="Calibri" w:hAnsi="Calibri" w:cs="Calibri"/>
          <w:sz w:val="22"/>
          <w:szCs w:val="22"/>
        </w:rPr>
        <w:t>,</w:t>
      </w:r>
      <w:r w:rsidR="00DE1A95" w:rsidRPr="00027820">
        <w:rPr>
          <w:rFonts w:ascii="Calibri" w:hAnsi="Calibri" w:cs="Calibri"/>
          <w:sz w:val="22"/>
          <w:szCs w:val="22"/>
        </w:rPr>
        <w:t xml:space="preserve"> as would pumping naturally humic water into a less humic stream. </w:t>
      </w:r>
    </w:p>
    <w:p w14:paraId="6F7559A5" w14:textId="77777777" w:rsidR="00DE1A95" w:rsidRPr="00027820" w:rsidRDefault="00DE1A95" w:rsidP="00DE1A95">
      <w:pPr>
        <w:rPr>
          <w:rFonts w:ascii="Calibri" w:hAnsi="Calibri" w:cs="Calibri"/>
          <w:sz w:val="22"/>
          <w:szCs w:val="22"/>
        </w:rPr>
      </w:pPr>
    </w:p>
    <w:p w14:paraId="03FD00E9" w14:textId="622EC243" w:rsidR="00DE1A95" w:rsidRPr="00027820" w:rsidRDefault="00DE1A95" w:rsidP="00DE1A95">
      <w:pPr>
        <w:rPr>
          <w:rFonts w:ascii="Calibri" w:hAnsi="Calibri" w:cs="Calibri"/>
          <w:sz w:val="22"/>
          <w:szCs w:val="22"/>
        </w:rPr>
      </w:pPr>
      <w:r w:rsidRPr="00027820">
        <w:rPr>
          <w:rFonts w:ascii="Calibri" w:hAnsi="Calibri" w:cs="Calibri"/>
          <w:sz w:val="22"/>
          <w:szCs w:val="22"/>
        </w:rPr>
        <w:t>The Chamber of Commerce supports addi</w:t>
      </w:r>
      <w:r w:rsidR="003C4C06">
        <w:rPr>
          <w:rFonts w:ascii="Calibri" w:hAnsi="Calibri" w:cs="Calibri"/>
          <w:sz w:val="22"/>
          <w:szCs w:val="22"/>
        </w:rPr>
        <w:t>ng</w:t>
      </w:r>
      <w:r w:rsidRPr="00027820">
        <w:rPr>
          <w:rFonts w:ascii="Calibri" w:hAnsi="Calibri" w:cs="Calibri"/>
          <w:sz w:val="22"/>
          <w:szCs w:val="22"/>
        </w:rPr>
        <w:t xml:space="preserve"> language </w:t>
      </w:r>
      <w:r w:rsidR="003C4C06">
        <w:rPr>
          <w:rFonts w:ascii="Calibri" w:hAnsi="Calibri" w:cs="Calibri"/>
          <w:sz w:val="22"/>
          <w:szCs w:val="22"/>
        </w:rPr>
        <w:t>to</w:t>
      </w:r>
      <w:r w:rsidRPr="00027820">
        <w:rPr>
          <w:rFonts w:ascii="Calibri" w:hAnsi="Calibri" w:cs="Calibri"/>
          <w:sz w:val="22"/>
          <w:szCs w:val="22"/>
        </w:rPr>
        <w:t xml:space="preserve"> </w:t>
      </w:r>
      <w:r w:rsidR="003C4C06">
        <w:rPr>
          <w:rFonts w:ascii="Calibri" w:hAnsi="Calibri" w:cs="Calibri"/>
          <w:sz w:val="22"/>
          <w:szCs w:val="22"/>
        </w:rPr>
        <w:t>define</w:t>
      </w:r>
      <w:r w:rsidR="003C4C06" w:rsidRPr="00027820">
        <w:rPr>
          <w:rFonts w:ascii="Calibri" w:hAnsi="Calibri" w:cs="Calibri"/>
          <w:sz w:val="22"/>
          <w:szCs w:val="22"/>
        </w:rPr>
        <w:t xml:space="preserve"> </w:t>
      </w:r>
      <w:r w:rsidRPr="00027820">
        <w:rPr>
          <w:rFonts w:ascii="Calibri" w:hAnsi="Calibri" w:cs="Calibri"/>
          <w:sz w:val="22"/>
          <w:szCs w:val="22"/>
        </w:rPr>
        <w:t xml:space="preserve">nuisance </w:t>
      </w:r>
      <w:proofErr w:type="gramStart"/>
      <w:r w:rsidRPr="00027820">
        <w:rPr>
          <w:rFonts w:ascii="Calibri" w:hAnsi="Calibri" w:cs="Calibri"/>
          <w:sz w:val="22"/>
          <w:szCs w:val="22"/>
        </w:rPr>
        <w:t>conditions, and</w:t>
      </w:r>
      <w:proofErr w:type="gramEnd"/>
      <w:r w:rsidRPr="00027820">
        <w:rPr>
          <w:rFonts w:ascii="Calibri" w:hAnsi="Calibri" w:cs="Calibri"/>
          <w:sz w:val="22"/>
          <w:szCs w:val="22"/>
        </w:rPr>
        <w:t xml:space="preserve"> believes that </w:t>
      </w:r>
      <w:r w:rsidR="003C4C06">
        <w:rPr>
          <w:rFonts w:ascii="Calibri" w:hAnsi="Calibri" w:cs="Calibri"/>
          <w:sz w:val="22"/>
          <w:szCs w:val="22"/>
        </w:rPr>
        <w:t xml:space="preserve">the changes currently under consideration give the </w:t>
      </w:r>
      <w:r w:rsidRPr="00027820">
        <w:rPr>
          <w:rFonts w:ascii="Calibri" w:hAnsi="Calibri" w:cs="Calibri"/>
          <w:sz w:val="22"/>
          <w:szCs w:val="22"/>
        </w:rPr>
        <w:t xml:space="preserve">MPCA an opportunity to align with other state agencies </w:t>
      </w:r>
      <w:r w:rsidR="003C4C06">
        <w:rPr>
          <w:rFonts w:ascii="Calibri" w:hAnsi="Calibri" w:cs="Calibri"/>
          <w:sz w:val="22"/>
          <w:szCs w:val="22"/>
        </w:rPr>
        <w:t>on</w:t>
      </w:r>
      <w:r w:rsidRPr="00027820">
        <w:rPr>
          <w:rFonts w:ascii="Calibri" w:hAnsi="Calibri" w:cs="Calibri"/>
          <w:sz w:val="22"/>
          <w:szCs w:val="22"/>
        </w:rPr>
        <w:t xml:space="preserve"> enforc</w:t>
      </w:r>
      <w:r w:rsidR="003C4C06">
        <w:rPr>
          <w:rFonts w:ascii="Calibri" w:hAnsi="Calibri" w:cs="Calibri"/>
          <w:sz w:val="22"/>
          <w:szCs w:val="22"/>
        </w:rPr>
        <w:t>ing</w:t>
      </w:r>
      <w:r w:rsidRPr="00027820">
        <w:rPr>
          <w:rFonts w:ascii="Calibri" w:hAnsi="Calibri" w:cs="Calibri"/>
          <w:sz w:val="22"/>
          <w:szCs w:val="22"/>
        </w:rPr>
        <w:t xml:space="preserve"> conditions to minimize aquatic habitat degradation. </w:t>
      </w:r>
    </w:p>
    <w:p w14:paraId="1C18A8C3" w14:textId="77777777" w:rsidR="00DE1A95" w:rsidRPr="00027820" w:rsidRDefault="00DE1A95" w:rsidP="00DE1A95">
      <w:pPr>
        <w:rPr>
          <w:rFonts w:ascii="Calibri" w:hAnsi="Calibri" w:cs="Calibri"/>
          <w:sz w:val="22"/>
          <w:szCs w:val="22"/>
        </w:rPr>
      </w:pPr>
    </w:p>
    <w:p w14:paraId="790F0A91" w14:textId="77777777" w:rsidR="00DE1A95" w:rsidRPr="003959E9" w:rsidRDefault="00DE1A95" w:rsidP="00DE1A95">
      <w:pPr>
        <w:rPr>
          <w:rFonts w:ascii="Calibri" w:hAnsi="Calibri" w:cs="Calibri"/>
          <w:i/>
          <w:iCs/>
          <w:sz w:val="22"/>
          <w:szCs w:val="22"/>
        </w:rPr>
      </w:pPr>
      <w:r w:rsidRPr="003959E9">
        <w:rPr>
          <w:rFonts w:ascii="Calibri" w:hAnsi="Calibri" w:cs="Calibri"/>
          <w:i/>
          <w:iCs/>
          <w:sz w:val="22"/>
          <w:szCs w:val="22"/>
        </w:rPr>
        <w:t>The Chamber proposes replacing proposed Item 10.3</w:t>
      </w:r>
      <w:r w:rsidR="003959E9">
        <w:rPr>
          <w:rFonts w:ascii="Calibri" w:hAnsi="Calibri" w:cs="Calibri"/>
          <w:i/>
          <w:iCs/>
          <w:sz w:val="22"/>
          <w:szCs w:val="22"/>
        </w:rPr>
        <w:t xml:space="preserve"> with</w:t>
      </w:r>
      <w:r w:rsidRPr="003959E9">
        <w:rPr>
          <w:rFonts w:ascii="Calibri" w:hAnsi="Calibri" w:cs="Calibri"/>
          <w:i/>
          <w:iCs/>
          <w:sz w:val="22"/>
          <w:szCs w:val="22"/>
        </w:rPr>
        <w:t xml:space="preserve"> the following language:</w:t>
      </w:r>
    </w:p>
    <w:p w14:paraId="511552B0" w14:textId="77777777" w:rsidR="003959E9" w:rsidRPr="00027820" w:rsidRDefault="003959E9" w:rsidP="00DE1A95">
      <w:pPr>
        <w:rPr>
          <w:rFonts w:ascii="Calibri" w:hAnsi="Calibri" w:cs="Calibri"/>
          <w:sz w:val="22"/>
          <w:szCs w:val="22"/>
        </w:rPr>
      </w:pPr>
    </w:p>
    <w:p w14:paraId="3A120713" w14:textId="36DF5FAE" w:rsidR="00DE1A95" w:rsidRPr="00597619" w:rsidRDefault="00DE1A95" w:rsidP="00DE1A95">
      <w:pPr>
        <w:rPr>
          <w:rFonts w:ascii="Calibri" w:hAnsi="Calibri" w:cs="Calibri"/>
          <w:color w:val="538135"/>
          <w:sz w:val="22"/>
          <w:szCs w:val="22"/>
        </w:rPr>
      </w:pPr>
      <w:r w:rsidRPr="00597619">
        <w:rPr>
          <w:rFonts w:ascii="Calibri" w:hAnsi="Calibri" w:cs="Calibri"/>
          <w:color w:val="538135"/>
          <w:sz w:val="22"/>
          <w:szCs w:val="22"/>
        </w:rPr>
        <w:t xml:space="preserve">“If nuisance conditions, as defined in Minn. R. 7050.0210 Subp. 2, result from the discharge to a surface water, Permittees must cease dewatering immediately and corrective actions must </w:t>
      </w:r>
      <w:r w:rsidR="003959E9" w:rsidRPr="00597619">
        <w:rPr>
          <w:rFonts w:ascii="Calibri" w:hAnsi="Calibri" w:cs="Calibri"/>
          <w:color w:val="538135"/>
          <w:sz w:val="22"/>
          <w:szCs w:val="22"/>
        </w:rPr>
        <w:t>be impl</w:t>
      </w:r>
      <w:r w:rsidR="00017AE2" w:rsidRPr="00597619">
        <w:rPr>
          <w:rFonts w:ascii="Calibri" w:hAnsi="Calibri" w:cs="Calibri"/>
          <w:color w:val="538135"/>
          <w:sz w:val="22"/>
          <w:szCs w:val="22"/>
        </w:rPr>
        <w:t>e</w:t>
      </w:r>
      <w:r w:rsidR="003959E9" w:rsidRPr="00597619">
        <w:rPr>
          <w:rFonts w:ascii="Calibri" w:hAnsi="Calibri" w:cs="Calibri"/>
          <w:color w:val="538135"/>
          <w:sz w:val="22"/>
          <w:szCs w:val="22"/>
        </w:rPr>
        <w:t xml:space="preserve">mented </w:t>
      </w:r>
      <w:r w:rsidRPr="00597619">
        <w:rPr>
          <w:rFonts w:ascii="Calibri" w:hAnsi="Calibri" w:cs="Calibri"/>
          <w:color w:val="538135"/>
          <w:sz w:val="22"/>
          <w:szCs w:val="22"/>
        </w:rPr>
        <w:t>before dewatering is resumed. [Minn. R. 7050.0210 Subp. 2]”</w:t>
      </w:r>
    </w:p>
    <w:p w14:paraId="60A63546" w14:textId="77777777" w:rsidR="00DE1A95" w:rsidRPr="00027820" w:rsidRDefault="00DE1A95" w:rsidP="00DE1A95">
      <w:pPr>
        <w:rPr>
          <w:rFonts w:ascii="Calibri" w:hAnsi="Calibri" w:cs="Calibri"/>
          <w:sz w:val="22"/>
          <w:szCs w:val="22"/>
        </w:rPr>
      </w:pPr>
    </w:p>
    <w:p w14:paraId="42763700" w14:textId="77777777" w:rsidR="00AC27B7" w:rsidRDefault="00AC27B7" w:rsidP="003959E9">
      <w:pPr>
        <w:pStyle w:val="Heading1"/>
      </w:pPr>
    </w:p>
    <w:p w14:paraId="565A43B0" w14:textId="77777777" w:rsidR="00AC27B7" w:rsidRDefault="00AC27B7">
      <w:pPr>
        <w:rPr>
          <w:rFonts w:ascii="Calibri" w:hAnsi="Calibri" w:cs="Times New Roman"/>
          <w:b/>
          <w:bCs/>
          <w:kern w:val="32"/>
          <w:sz w:val="22"/>
          <w:szCs w:val="32"/>
        </w:rPr>
      </w:pPr>
      <w:r>
        <w:br w:type="page"/>
      </w:r>
    </w:p>
    <w:p w14:paraId="6356A24F" w14:textId="4C28DAAF" w:rsidR="00DE1A95" w:rsidRPr="00027820" w:rsidRDefault="00DE1A95" w:rsidP="003959E9">
      <w:pPr>
        <w:pStyle w:val="Heading1"/>
      </w:pPr>
      <w:r w:rsidRPr="00027820">
        <w:t>Item 11.15</w:t>
      </w:r>
    </w:p>
    <w:p w14:paraId="0D9D8F69" w14:textId="77777777" w:rsidR="00DE1A95" w:rsidRPr="00027820" w:rsidRDefault="00DE1A95" w:rsidP="00DE1A95">
      <w:pPr>
        <w:rPr>
          <w:rFonts w:ascii="Calibri" w:hAnsi="Calibri" w:cs="Calibri"/>
          <w:sz w:val="22"/>
          <w:szCs w:val="22"/>
        </w:rPr>
      </w:pPr>
      <w:r w:rsidRPr="00027820">
        <w:rPr>
          <w:rFonts w:ascii="Calibri" w:hAnsi="Calibri" w:cs="Calibri"/>
          <w:sz w:val="22"/>
          <w:szCs w:val="22"/>
        </w:rPr>
        <w:t xml:space="preserve">“During each inspection, permittees must inspect areas </w:t>
      </w:r>
      <w:r w:rsidRPr="003959E9">
        <w:rPr>
          <w:rFonts w:ascii="Calibri" w:hAnsi="Calibri" w:cs="Calibri"/>
          <w:color w:val="C00000"/>
          <w:sz w:val="22"/>
          <w:szCs w:val="22"/>
        </w:rPr>
        <w:t>adjacent to the project,</w:t>
      </w:r>
      <w:r w:rsidRPr="00027820">
        <w:rPr>
          <w:rFonts w:ascii="Calibri" w:hAnsi="Calibri" w:cs="Calibri"/>
          <w:sz w:val="22"/>
          <w:szCs w:val="22"/>
        </w:rPr>
        <w:t xml:space="preserve"> surface waters, including drainage ditches and conveyance systems but not curb and gutter systems, for evidence of erosion and sediment deposition. Permittees must remove all deltas and sediment deposited in </w:t>
      </w:r>
      <w:r w:rsidRPr="003959E9">
        <w:rPr>
          <w:rFonts w:ascii="Calibri" w:hAnsi="Calibri" w:cs="Calibri"/>
          <w:color w:val="C00000"/>
          <w:sz w:val="22"/>
          <w:szCs w:val="22"/>
        </w:rPr>
        <w:t>areas adjacent to the project,</w:t>
      </w:r>
      <w:r w:rsidRPr="00027820">
        <w:rPr>
          <w:rFonts w:ascii="Calibri" w:hAnsi="Calibri" w:cs="Calibri"/>
          <w:sz w:val="22"/>
          <w:szCs w:val="22"/>
        </w:rPr>
        <w:t xml:space="preserve"> surface waters, including drainage ways, catch basins, and other drainage systems and restabilize the areas where sediment removal results in exposed soil. Permittees must complete removal and stabilization within seven (7) calendar days of discovery unless precluded by legal, regulatory, or physical access constraints. Permittees must use all reasonable efforts to obtain access. If precluded, removal and stabilization must take place within seven (7) days of obtaining access. Permittees are responsible for contacting all local, regional, </w:t>
      </w:r>
      <w:proofErr w:type="gramStart"/>
      <w:r w:rsidRPr="00027820">
        <w:rPr>
          <w:rFonts w:ascii="Calibri" w:hAnsi="Calibri" w:cs="Calibri"/>
          <w:sz w:val="22"/>
          <w:szCs w:val="22"/>
        </w:rPr>
        <w:t>state</w:t>
      </w:r>
      <w:proofErr w:type="gramEnd"/>
      <w:r w:rsidRPr="00027820">
        <w:rPr>
          <w:rFonts w:ascii="Calibri" w:hAnsi="Calibri" w:cs="Calibri"/>
          <w:sz w:val="22"/>
          <w:szCs w:val="22"/>
        </w:rPr>
        <w:t xml:space="preserve"> and federal authorities and receiving any applicable permits, prior to conducting any work in surface waters. [Minn. R. 7090]”</w:t>
      </w:r>
    </w:p>
    <w:p w14:paraId="70937965" w14:textId="77777777" w:rsidR="00DE1A95" w:rsidRPr="00027820" w:rsidRDefault="00DE1A95" w:rsidP="00DE1A95">
      <w:pPr>
        <w:rPr>
          <w:rFonts w:ascii="Calibri" w:hAnsi="Calibri" w:cs="Calibri"/>
          <w:sz w:val="22"/>
          <w:szCs w:val="22"/>
        </w:rPr>
      </w:pPr>
    </w:p>
    <w:p w14:paraId="64A5181E" w14:textId="77777777" w:rsidR="00DE1A95" w:rsidRPr="00027820" w:rsidRDefault="00DE1A95" w:rsidP="00DE1A95">
      <w:pPr>
        <w:rPr>
          <w:rFonts w:ascii="Calibri" w:hAnsi="Calibri" w:cs="Calibri"/>
          <w:sz w:val="22"/>
          <w:szCs w:val="22"/>
        </w:rPr>
      </w:pPr>
      <w:r w:rsidRPr="00027820">
        <w:rPr>
          <w:rFonts w:ascii="Calibri" w:hAnsi="Calibri" w:cs="Calibri"/>
          <w:sz w:val="22"/>
          <w:szCs w:val="22"/>
        </w:rPr>
        <w:t xml:space="preserve">This new requirement to remove all sediment deposited to all adjacent areas is overly broad. As with all construction projects, large storms can cause downgradient BMPs to fail </w:t>
      </w:r>
      <w:r w:rsidR="003959E9">
        <w:rPr>
          <w:rFonts w:ascii="Calibri" w:hAnsi="Calibri" w:cs="Calibri"/>
          <w:sz w:val="22"/>
          <w:szCs w:val="22"/>
        </w:rPr>
        <w:t>through</w:t>
      </w:r>
      <w:r w:rsidRPr="00027820">
        <w:rPr>
          <w:rFonts w:ascii="Calibri" w:hAnsi="Calibri" w:cs="Calibri"/>
          <w:sz w:val="22"/>
          <w:szCs w:val="22"/>
        </w:rPr>
        <w:t xml:space="preserve"> no fault of the project. De minimis levels of sediment should be excluded, especially considering </w:t>
      </w:r>
      <w:r w:rsidR="003959E9">
        <w:rPr>
          <w:rFonts w:ascii="Calibri" w:hAnsi="Calibri" w:cs="Calibri"/>
          <w:sz w:val="22"/>
          <w:szCs w:val="22"/>
        </w:rPr>
        <w:t>that</w:t>
      </w:r>
      <w:r w:rsidRPr="00027820">
        <w:rPr>
          <w:rFonts w:ascii="Calibri" w:hAnsi="Calibri" w:cs="Calibri"/>
          <w:sz w:val="22"/>
          <w:szCs w:val="22"/>
        </w:rPr>
        <w:t xml:space="preserve"> trying to remove a thin veneer of sediment </w:t>
      </w:r>
      <w:r w:rsidR="003959E9">
        <w:rPr>
          <w:rFonts w:ascii="Calibri" w:hAnsi="Calibri" w:cs="Calibri"/>
          <w:sz w:val="22"/>
          <w:szCs w:val="22"/>
        </w:rPr>
        <w:t>with</w:t>
      </w:r>
      <w:r w:rsidRPr="00027820">
        <w:rPr>
          <w:rFonts w:ascii="Calibri" w:hAnsi="Calibri" w:cs="Calibri"/>
          <w:sz w:val="22"/>
          <w:szCs w:val="22"/>
        </w:rPr>
        <w:t xml:space="preserve"> equipment would cause </w:t>
      </w:r>
      <w:r w:rsidR="003959E9">
        <w:rPr>
          <w:rFonts w:ascii="Calibri" w:hAnsi="Calibri" w:cs="Calibri"/>
          <w:sz w:val="22"/>
          <w:szCs w:val="22"/>
        </w:rPr>
        <w:t>additional</w:t>
      </w:r>
      <w:r w:rsidRPr="00027820">
        <w:rPr>
          <w:rFonts w:ascii="Calibri" w:hAnsi="Calibri" w:cs="Calibri"/>
          <w:sz w:val="22"/>
          <w:szCs w:val="22"/>
        </w:rPr>
        <w:t xml:space="preserve"> ground disturbance to neighboring propert</w:t>
      </w:r>
      <w:r w:rsidR="003959E9">
        <w:rPr>
          <w:rFonts w:ascii="Calibri" w:hAnsi="Calibri" w:cs="Calibri"/>
          <w:sz w:val="22"/>
          <w:szCs w:val="22"/>
        </w:rPr>
        <w:t>ies</w:t>
      </w:r>
      <w:r w:rsidRPr="00027820">
        <w:rPr>
          <w:rFonts w:ascii="Calibri" w:hAnsi="Calibri" w:cs="Calibri"/>
          <w:sz w:val="22"/>
          <w:szCs w:val="22"/>
        </w:rPr>
        <w:t xml:space="preserve"> </w:t>
      </w:r>
      <w:r w:rsidR="003959E9">
        <w:rPr>
          <w:rFonts w:ascii="Calibri" w:hAnsi="Calibri" w:cs="Calibri"/>
          <w:sz w:val="22"/>
          <w:szCs w:val="22"/>
        </w:rPr>
        <w:t>while</w:t>
      </w:r>
      <w:r w:rsidRPr="00027820">
        <w:rPr>
          <w:rFonts w:ascii="Calibri" w:hAnsi="Calibri" w:cs="Calibri"/>
          <w:sz w:val="22"/>
          <w:szCs w:val="22"/>
        </w:rPr>
        <w:t xml:space="preserve"> offer</w:t>
      </w:r>
      <w:r w:rsidR="003959E9">
        <w:rPr>
          <w:rFonts w:ascii="Calibri" w:hAnsi="Calibri" w:cs="Calibri"/>
          <w:sz w:val="22"/>
          <w:szCs w:val="22"/>
        </w:rPr>
        <w:t>ing</w:t>
      </w:r>
      <w:r w:rsidRPr="00027820">
        <w:rPr>
          <w:rFonts w:ascii="Calibri" w:hAnsi="Calibri" w:cs="Calibri"/>
          <w:sz w:val="22"/>
          <w:szCs w:val="22"/>
        </w:rPr>
        <w:t xml:space="preserve"> no real benefit.</w:t>
      </w:r>
    </w:p>
    <w:p w14:paraId="2C9B1DA0" w14:textId="77777777" w:rsidR="00DE1A95" w:rsidRPr="00027820" w:rsidRDefault="00DE1A95" w:rsidP="00DE1A95">
      <w:pPr>
        <w:rPr>
          <w:rFonts w:ascii="Calibri" w:hAnsi="Calibri" w:cs="Calibri"/>
          <w:sz w:val="22"/>
          <w:szCs w:val="22"/>
        </w:rPr>
      </w:pPr>
    </w:p>
    <w:p w14:paraId="55CC5E16" w14:textId="77777777" w:rsidR="003959E9" w:rsidRPr="003959E9" w:rsidRDefault="00DE1A95" w:rsidP="00DE1A95">
      <w:pPr>
        <w:rPr>
          <w:rFonts w:ascii="Calibri" w:hAnsi="Calibri" w:cs="Calibri"/>
          <w:i/>
          <w:iCs/>
          <w:sz w:val="22"/>
          <w:szCs w:val="22"/>
        </w:rPr>
      </w:pPr>
      <w:r w:rsidRPr="003959E9">
        <w:rPr>
          <w:rFonts w:ascii="Calibri" w:hAnsi="Calibri" w:cs="Calibri"/>
          <w:i/>
          <w:iCs/>
          <w:sz w:val="22"/>
          <w:szCs w:val="22"/>
        </w:rPr>
        <w:t>The Chamber proposes add</w:t>
      </w:r>
      <w:r w:rsidR="003959E9" w:rsidRPr="003959E9">
        <w:rPr>
          <w:rFonts w:ascii="Calibri" w:hAnsi="Calibri" w:cs="Calibri"/>
          <w:i/>
          <w:iCs/>
          <w:sz w:val="22"/>
          <w:szCs w:val="22"/>
        </w:rPr>
        <w:t>ing</w:t>
      </w:r>
      <w:r w:rsidRPr="003959E9">
        <w:rPr>
          <w:rFonts w:ascii="Calibri" w:hAnsi="Calibri" w:cs="Calibri"/>
          <w:i/>
          <w:iCs/>
          <w:sz w:val="22"/>
          <w:szCs w:val="22"/>
        </w:rPr>
        <w:t xml:space="preserve"> the following language: </w:t>
      </w:r>
    </w:p>
    <w:p w14:paraId="1C425F77" w14:textId="77777777" w:rsidR="003959E9" w:rsidRDefault="003959E9" w:rsidP="00DE1A95">
      <w:pPr>
        <w:rPr>
          <w:rFonts w:ascii="Calibri" w:hAnsi="Calibri" w:cs="Calibri"/>
          <w:sz w:val="22"/>
          <w:szCs w:val="22"/>
        </w:rPr>
      </w:pPr>
    </w:p>
    <w:p w14:paraId="39551A2B" w14:textId="77777777" w:rsidR="00DE1A95" w:rsidRPr="00597619" w:rsidRDefault="003959E9" w:rsidP="00DE1A95">
      <w:pPr>
        <w:rPr>
          <w:rFonts w:ascii="Calibri" w:hAnsi="Calibri" w:cs="Calibri"/>
          <w:color w:val="538135"/>
          <w:sz w:val="22"/>
          <w:szCs w:val="22"/>
        </w:rPr>
      </w:pPr>
      <w:r w:rsidRPr="00597619">
        <w:rPr>
          <w:rFonts w:ascii="Calibri" w:hAnsi="Calibri" w:cs="Calibri"/>
          <w:color w:val="538135"/>
          <w:sz w:val="22"/>
          <w:szCs w:val="22"/>
        </w:rPr>
        <w:t>“</w:t>
      </w:r>
      <w:r w:rsidR="00DE1A95" w:rsidRPr="00597619">
        <w:rPr>
          <w:rFonts w:ascii="Calibri" w:hAnsi="Calibri" w:cs="Calibri"/>
          <w:color w:val="538135"/>
          <w:sz w:val="22"/>
          <w:szCs w:val="22"/>
        </w:rPr>
        <w:t xml:space="preserve">De minimis amounts of sediment may be left in adjacent land if allowed by the landowner and </w:t>
      </w:r>
      <w:r w:rsidRPr="00597619">
        <w:rPr>
          <w:rFonts w:ascii="Calibri" w:hAnsi="Calibri" w:cs="Calibri"/>
          <w:color w:val="538135"/>
          <w:sz w:val="22"/>
          <w:szCs w:val="22"/>
        </w:rPr>
        <w:t xml:space="preserve">if </w:t>
      </w:r>
      <w:r w:rsidR="00DE1A95" w:rsidRPr="00597619">
        <w:rPr>
          <w:rFonts w:ascii="Calibri" w:hAnsi="Calibri" w:cs="Calibri"/>
          <w:color w:val="538135"/>
          <w:sz w:val="22"/>
          <w:szCs w:val="22"/>
        </w:rPr>
        <w:t>it will not harm existing vegetation growth in the impact area.</w:t>
      </w:r>
      <w:r w:rsidRPr="00597619">
        <w:rPr>
          <w:rFonts w:ascii="Calibri" w:hAnsi="Calibri" w:cs="Calibri"/>
          <w:color w:val="538135"/>
          <w:sz w:val="22"/>
          <w:szCs w:val="22"/>
        </w:rPr>
        <w:t>”</w:t>
      </w:r>
    </w:p>
    <w:p w14:paraId="10D9B778" w14:textId="77777777" w:rsidR="00DE1A95" w:rsidRPr="00027820" w:rsidRDefault="00DE1A95" w:rsidP="00DE1A95">
      <w:pPr>
        <w:rPr>
          <w:rFonts w:ascii="Calibri" w:hAnsi="Calibri" w:cs="Calibri"/>
          <w:sz w:val="22"/>
          <w:szCs w:val="22"/>
        </w:rPr>
      </w:pPr>
    </w:p>
    <w:p w14:paraId="3BB6CB9E" w14:textId="77777777" w:rsidR="00AC27B7" w:rsidRDefault="00AC27B7" w:rsidP="003959E9">
      <w:pPr>
        <w:pStyle w:val="Heading1"/>
      </w:pPr>
    </w:p>
    <w:p w14:paraId="0B6033E3" w14:textId="5FE3A827" w:rsidR="00DE1A95" w:rsidRPr="00027820" w:rsidRDefault="00DE1A95" w:rsidP="003959E9">
      <w:pPr>
        <w:pStyle w:val="Heading1"/>
      </w:pPr>
      <w:r w:rsidRPr="00027820">
        <w:t>Item 11.11 d.</w:t>
      </w:r>
    </w:p>
    <w:p w14:paraId="04B35546" w14:textId="77777777" w:rsidR="00DE1A95" w:rsidRPr="00027820" w:rsidRDefault="00DE1A95" w:rsidP="00DE1A95">
      <w:pPr>
        <w:rPr>
          <w:rFonts w:ascii="Calibri" w:hAnsi="Calibri" w:cs="Calibri"/>
          <w:sz w:val="22"/>
          <w:szCs w:val="22"/>
        </w:rPr>
      </w:pPr>
      <w:r w:rsidRPr="003959E9">
        <w:rPr>
          <w:rFonts w:ascii="Calibri" w:hAnsi="Calibri" w:cs="Calibri"/>
          <w:color w:val="C00000"/>
          <w:sz w:val="22"/>
          <w:szCs w:val="22"/>
        </w:rPr>
        <w:t>“For projects consisting of ground mounted solar panels where a pollinator habitat or native prairie type vegetated cover is being established, inspections may be reduced to once per month if the site has temporary vegetation with a density of 70% temporary uniform cover. If after 24 months no significant erosion problems are observed, inspections may be suspended completely until the termination requirements in section 13 have been met.</w:t>
      </w:r>
      <w:r w:rsidRPr="00027820">
        <w:rPr>
          <w:rFonts w:ascii="Calibri" w:hAnsi="Calibri" w:cs="Calibri"/>
          <w:sz w:val="22"/>
          <w:szCs w:val="22"/>
        </w:rPr>
        <w:t xml:space="preserve"> [Minn. R. 7090]”</w:t>
      </w:r>
    </w:p>
    <w:p w14:paraId="6EDB0EAE" w14:textId="77777777" w:rsidR="00DE1A95" w:rsidRPr="00027820" w:rsidRDefault="00DE1A95" w:rsidP="00DE1A95">
      <w:pPr>
        <w:rPr>
          <w:rFonts w:ascii="Calibri" w:hAnsi="Calibri" w:cs="Calibri"/>
          <w:sz w:val="22"/>
          <w:szCs w:val="22"/>
        </w:rPr>
      </w:pPr>
    </w:p>
    <w:p w14:paraId="64CF2883" w14:textId="7CE587A1" w:rsidR="00DE1A95" w:rsidRPr="00027820" w:rsidRDefault="00DE1A95" w:rsidP="00DE1A95">
      <w:pPr>
        <w:rPr>
          <w:rFonts w:ascii="Calibri" w:hAnsi="Calibri" w:cs="Calibri"/>
          <w:sz w:val="22"/>
          <w:szCs w:val="22"/>
        </w:rPr>
      </w:pPr>
      <w:r w:rsidRPr="00027820">
        <w:rPr>
          <w:rFonts w:ascii="Calibri" w:hAnsi="Calibri" w:cs="Calibri"/>
          <w:sz w:val="22"/>
          <w:szCs w:val="22"/>
        </w:rPr>
        <w:t>The Chamber supports using pollinator or native habitat for vegetative cover</w:t>
      </w:r>
      <w:r w:rsidR="003959E9">
        <w:rPr>
          <w:rFonts w:ascii="Calibri" w:hAnsi="Calibri" w:cs="Calibri"/>
          <w:sz w:val="22"/>
          <w:szCs w:val="22"/>
        </w:rPr>
        <w:t xml:space="preserve"> </w:t>
      </w:r>
      <w:r w:rsidR="003959E9" w:rsidRPr="003959E9">
        <w:rPr>
          <w:rFonts w:ascii="Calibri" w:hAnsi="Calibri" w:cs="Calibri"/>
          <w:sz w:val="22"/>
          <w:szCs w:val="22"/>
        </w:rPr>
        <w:t xml:space="preserve">for projects </w:t>
      </w:r>
      <w:r w:rsidRPr="00027820">
        <w:rPr>
          <w:rFonts w:ascii="Calibri" w:hAnsi="Calibri" w:cs="Calibri"/>
          <w:sz w:val="22"/>
          <w:szCs w:val="22"/>
        </w:rPr>
        <w:t>beyond just ground</w:t>
      </w:r>
      <w:r w:rsidR="003959E9">
        <w:rPr>
          <w:rFonts w:ascii="Calibri" w:hAnsi="Calibri" w:cs="Calibri"/>
          <w:sz w:val="22"/>
          <w:szCs w:val="22"/>
        </w:rPr>
        <w:t>-</w:t>
      </w:r>
      <w:r w:rsidRPr="00027820">
        <w:rPr>
          <w:rFonts w:ascii="Calibri" w:hAnsi="Calibri" w:cs="Calibri"/>
          <w:sz w:val="22"/>
          <w:szCs w:val="22"/>
        </w:rPr>
        <w:t xml:space="preserve">mounted solar </w:t>
      </w:r>
      <w:r w:rsidR="003959E9">
        <w:rPr>
          <w:rFonts w:ascii="Calibri" w:hAnsi="Calibri" w:cs="Calibri"/>
          <w:sz w:val="22"/>
          <w:szCs w:val="22"/>
        </w:rPr>
        <w:t>developments</w:t>
      </w:r>
      <w:r w:rsidRPr="00027820">
        <w:rPr>
          <w:rFonts w:ascii="Calibri" w:hAnsi="Calibri" w:cs="Calibri"/>
          <w:sz w:val="22"/>
          <w:szCs w:val="22"/>
        </w:rPr>
        <w:t xml:space="preserve">. </w:t>
      </w:r>
      <w:r w:rsidR="003959E9">
        <w:rPr>
          <w:rFonts w:ascii="Calibri" w:hAnsi="Calibri" w:cs="Calibri"/>
          <w:sz w:val="22"/>
          <w:szCs w:val="22"/>
        </w:rPr>
        <w:t xml:space="preserve">We </w:t>
      </w:r>
      <w:r w:rsidRPr="00027820">
        <w:rPr>
          <w:rFonts w:ascii="Calibri" w:hAnsi="Calibri" w:cs="Calibri"/>
          <w:sz w:val="22"/>
          <w:szCs w:val="22"/>
        </w:rPr>
        <w:t>propose that when a native</w:t>
      </w:r>
      <w:r w:rsidR="003959E9">
        <w:rPr>
          <w:rFonts w:ascii="Calibri" w:hAnsi="Calibri" w:cs="Calibri"/>
          <w:sz w:val="22"/>
          <w:szCs w:val="22"/>
        </w:rPr>
        <w:t>-</w:t>
      </w:r>
      <w:r w:rsidRPr="00027820">
        <w:rPr>
          <w:rFonts w:ascii="Calibri" w:hAnsi="Calibri" w:cs="Calibri"/>
          <w:sz w:val="22"/>
          <w:szCs w:val="22"/>
        </w:rPr>
        <w:t xml:space="preserve"> or pollinator</w:t>
      </w:r>
      <w:r w:rsidR="003959E9">
        <w:rPr>
          <w:rFonts w:ascii="Calibri" w:hAnsi="Calibri" w:cs="Calibri"/>
          <w:sz w:val="22"/>
          <w:szCs w:val="22"/>
        </w:rPr>
        <w:t>-</w:t>
      </w:r>
      <w:r w:rsidRPr="00027820">
        <w:rPr>
          <w:rFonts w:ascii="Calibri" w:hAnsi="Calibri" w:cs="Calibri"/>
          <w:sz w:val="22"/>
          <w:szCs w:val="22"/>
        </w:rPr>
        <w:t xml:space="preserve">habitat seed mix is used for vegetative cover and a density of 70% uniform cover has been established, inspections should </w:t>
      </w:r>
      <w:r w:rsidR="003959E9">
        <w:rPr>
          <w:rFonts w:ascii="Calibri" w:hAnsi="Calibri" w:cs="Calibri"/>
          <w:sz w:val="22"/>
          <w:szCs w:val="22"/>
        </w:rPr>
        <w:t>not be required</w:t>
      </w:r>
      <w:r w:rsidR="003959E9" w:rsidRPr="00027820">
        <w:rPr>
          <w:rFonts w:ascii="Calibri" w:hAnsi="Calibri" w:cs="Calibri"/>
          <w:sz w:val="22"/>
          <w:szCs w:val="22"/>
        </w:rPr>
        <w:t xml:space="preserve"> </w:t>
      </w:r>
      <w:r w:rsidRPr="00027820">
        <w:rPr>
          <w:rFonts w:ascii="Calibri" w:hAnsi="Calibri" w:cs="Calibri"/>
          <w:sz w:val="22"/>
          <w:szCs w:val="22"/>
        </w:rPr>
        <w:t xml:space="preserve">once all construction activities have </w:t>
      </w:r>
      <w:r w:rsidR="003959E9">
        <w:rPr>
          <w:rFonts w:ascii="Calibri" w:hAnsi="Calibri" w:cs="Calibri"/>
          <w:sz w:val="22"/>
          <w:szCs w:val="22"/>
        </w:rPr>
        <w:t>been completed</w:t>
      </w:r>
      <w:r w:rsidRPr="00027820">
        <w:rPr>
          <w:rFonts w:ascii="Calibri" w:hAnsi="Calibri" w:cs="Calibri"/>
          <w:sz w:val="22"/>
          <w:szCs w:val="22"/>
        </w:rPr>
        <w:t>. Th</w:t>
      </w:r>
      <w:r w:rsidR="003959E9">
        <w:rPr>
          <w:rFonts w:ascii="Calibri" w:hAnsi="Calibri" w:cs="Calibri"/>
          <w:sz w:val="22"/>
          <w:szCs w:val="22"/>
        </w:rPr>
        <w:t>e</w:t>
      </w:r>
      <w:r w:rsidRPr="00027820">
        <w:rPr>
          <w:rFonts w:ascii="Calibri" w:hAnsi="Calibri" w:cs="Calibri"/>
          <w:sz w:val="22"/>
          <w:szCs w:val="22"/>
        </w:rPr>
        <w:t xml:space="preserve"> temporary cover provides good erosion protection</w:t>
      </w:r>
      <w:r w:rsidR="00017AE2">
        <w:rPr>
          <w:rFonts w:ascii="Calibri" w:hAnsi="Calibri" w:cs="Calibri"/>
          <w:sz w:val="22"/>
          <w:szCs w:val="22"/>
        </w:rPr>
        <w:t>,</w:t>
      </w:r>
      <w:r w:rsidRPr="00027820">
        <w:rPr>
          <w:rFonts w:ascii="Calibri" w:hAnsi="Calibri" w:cs="Calibri"/>
          <w:sz w:val="22"/>
          <w:szCs w:val="22"/>
        </w:rPr>
        <w:t xml:space="preserve"> and there is no benefit </w:t>
      </w:r>
      <w:r w:rsidR="00017AE2">
        <w:rPr>
          <w:rFonts w:ascii="Calibri" w:hAnsi="Calibri" w:cs="Calibri"/>
          <w:sz w:val="22"/>
          <w:szCs w:val="22"/>
        </w:rPr>
        <w:t>to</w:t>
      </w:r>
      <w:r w:rsidRPr="00027820">
        <w:rPr>
          <w:rFonts w:ascii="Calibri" w:hAnsi="Calibri" w:cs="Calibri"/>
          <w:sz w:val="22"/>
          <w:szCs w:val="22"/>
        </w:rPr>
        <w:t xml:space="preserve"> continuing to inspect fully grown cover.</w:t>
      </w:r>
    </w:p>
    <w:p w14:paraId="7A521ACE" w14:textId="77777777" w:rsidR="00DE1A95" w:rsidRPr="00027820" w:rsidRDefault="00DE1A95" w:rsidP="00DE1A95">
      <w:pPr>
        <w:rPr>
          <w:rFonts w:ascii="Calibri" w:hAnsi="Calibri" w:cs="Calibri"/>
          <w:sz w:val="22"/>
          <w:szCs w:val="22"/>
        </w:rPr>
      </w:pPr>
    </w:p>
    <w:p w14:paraId="2BC146C0" w14:textId="77777777" w:rsidR="00AC27B7" w:rsidRDefault="00AC27B7">
      <w:pPr>
        <w:rPr>
          <w:rFonts w:ascii="Calibri" w:hAnsi="Calibri" w:cs="Calibri"/>
          <w:i/>
          <w:iCs/>
          <w:sz w:val="22"/>
          <w:szCs w:val="22"/>
        </w:rPr>
      </w:pPr>
      <w:r>
        <w:rPr>
          <w:rFonts w:ascii="Calibri" w:hAnsi="Calibri" w:cs="Calibri"/>
          <w:i/>
          <w:iCs/>
          <w:sz w:val="22"/>
          <w:szCs w:val="22"/>
        </w:rPr>
        <w:br w:type="page"/>
      </w:r>
    </w:p>
    <w:p w14:paraId="3ADB3C49" w14:textId="6EAE3201" w:rsidR="00DE1A95" w:rsidRPr="00017AE2" w:rsidRDefault="00017AE2" w:rsidP="00DE1A95">
      <w:pPr>
        <w:rPr>
          <w:rFonts w:ascii="Calibri" w:hAnsi="Calibri" w:cs="Calibri"/>
          <w:i/>
          <w:iCs/>
          <w:sz w:val="22"/>
          <w:szCs w:val="22"/>
        </w:rPr>
      </w:pPr>
      <w:r w:rsidRPr="00017AE2">
        <w:rPr>
          <w:rFonts w:ascii="Calibri" w:hAnsi="Calibri" w:cs="Calibri"/>
          <w:i/>
          <w:iCs/>
          <w:sz w:val="22"/>
          <w:szCs w:val="22"/>
        </w:rPr>
        <w:t>The</w:t>
      </w:r>
      <w:r w:rsidR="00DE1A95" w:rsidRPr="00017AE2">
        <w:rPr>
          <w:rFonts w:ascii="Calibri" w:hAnsi="Calibri" w:cs="Calibri"/>
          <w:i/>
          <w:iCs/>
          <w:sz w:val="22"/>
          <w:szCs w:val="22"/>
        </w:rPr>
        <w:t xml:space="preserve"> Chamber </w:t>
      </w:r>
      <w:r w:rsidRPr="00017AE2">
        <w:rPr>
          <w:rFonts w:ascii="Calibri" w:hAnsi="Calibri" w:cs="Calibri"/>
          <w:i/>
          <w:iCs/>
          <w:sz w:val="22"/>
          <w:szCs w:val="22"/>
        </w:rPr>
        <w:t xml:space="preserve">recommends </w:t>
      </w:r>
      <w:r w:rsidR="00DE1A95" w:rsidRPr="00017AE2">
        <w:rPr>
          <w:rFonts w:ascii="Calibri" w:hAnsi="Calibri" w:cs="Calibri"/>
          <w:i/>
          <w:iCs/>
          <w:sz w:val="22"/>
          <w:szCs w:val="22"/>
        </w:rPr>
        <w:t>replacing proposed Item 11.11 d. with the following language:</w:t>
      </w:r>
    </w:p>
    <w:p w14:paraId="07A48248" w14:textId="77777777" w:rsidR="00017AE2" w:rsidRPr="00027820" w:rsidRDefault="00017AE2" w:rsidP="00DE1A95">
      <w:pPr>
        <w:rPr>
          <w:rFonts w:ascii="Calibri" w:hAnsi="Calibri" w:cs="Calibri"/>
          <w:sz w:val="22"/>
          <w:szCs w:val="22"/>
        </w:rPr>
      </w:pPr>
    </w:p>
    <w:p w14:paraId="4D26BBC1" w14:textId="08D5E568" w:rsidR="00DE1A95" w:rsidRPr="00597619" w:rsidRDefault="00DE1A95" w:rsidP="00DE1A95">
      <w:pPr>
        <w:rPr>
          <w:rFonts w:ascii="Calibri" w:hAnsi="Calibri" w:cs="Calibri"/>
          <w:color w:val="538135"/>
          <w:sz w:val="22"/>
          <w:szCs w:val="22"/>
        </w:rPr>
      </w:pPr>
      <w:r w:rsidRPr="00597619">
        <w:rPr>
          <w:rFonts w:ascii="Calibri" w:hAnsi="Calibri" w:cs="Calibri"/>
          <w:color w:val="538135"/>
          <w:sz w:val="22"/>
          <w:szCs w:val="22"/>
        </w:rPr>
        <w:t>“For projects where a pollinator habitat or native</w:t>
      </w:r>
      <w:r w:rsidR="00017AE2" w:rsidRPr="00597619">
        <w:rPr>
          <w:rFonts w:ascii="Calibri" w:hAnsi="Calibri" w:cs="Calibri"/>
          <w:color w:val="538135"/>
          <w:sz w:val="22"/>
          <w:szCs w:val="22"/>
        </w:rPr>
        <w:t>-</w:t>
      </w:r>
      <w:r w:rsidRPr="00597619">
        <w:rPr>
          <w:rFonts w:ascii="Calibri" w:hAnsi="Calibri" w:cs="Calibri"/>
          <w:color w:val="538135"/>
          <w:sz w:val="22"/>
          <w:szCs w:val="22"/>
        </w:rPr>
        <w:t>prairie</w:t>
      </w:r>
      <w:r w:rsidR="00017AE2" w:rsidRPr="00597619">
        <w:rPr>
          <w:rFonts w:ascii="Calibri" w:hAnsi="Calibri" w:cs="Calibri"/>
          <w:color w:val="538135"/>
          <w:sz w:val="22"/>
          <w:szCs w:val="22"/>
        </w:rPr>
        <w:t>-</w:t>
      </w:r>
      <w:r w:rsidRPr="00597619">
        <w:rPr>
          <w:rFonts w:ascii="Calibri" w:hAnsi="Calibri" w:cs="Calibri"/>
          <w:color w:val="538135"/>
          <w:sz w:val="22"/>
          <w:szCs w:val="22"/>
        </w:rPr>
        <w:t xml:space="preserve">type vegetated cover is being established, inspections may be suspended if the site has temporary vegetation with a density of 70% uniform cover and all construction activities have </w:t>
      </w:r>
      <w:r w:rsidR="00017AE2" w:rsidRPr="00597619">
        <w:rPr>
          <w:rFonts w:ascii="Calibri" w:hAnsi="Calibri" w:cs="Calibri"/>
          <w:color w:val="538135"/>
          <w:sz w:val="22"/>
          <w:szCs w:val="22"/>
        </w:rPr>
        <w:t>been completed</w:t>
      </w:r>
      <w:r w:rsidRPr="00597619">
        <w:rPr>
          <w:rFonts w:ascii="Calibri" w:hAnsi="Calibri" w:cs="Calibri"/>
          <w:color w:val="538135"/>
          <w:sz w:val="22"/>
          <w:szCs w:val="22"/>
        </w:rPr>
        <w:t>. [Minn. R. 7090]”</w:t>
      </w:r>
    </w:p>
    <w:p w14:paraId="61FDAC69" w14:textId="77777777" w:rsidR="00DE1A95" w:rsidRPr="00027820" w:rsidRDefault="00DE1A95" w:rsidP="00DE1A95">
      <w:pPr>
        <w:rPr>
          <w:rFonts w:ascii="Calibri" w:hAnsi="Calibri" w:cs="Calibri"/>
          <w:sz w:val="22"/>
          <w:szCs w:val="22"/>
        </w:rPr>
      </w:pPr>
    </w:p>
    <w:p w14:paraId="3F509CEB" w14:textId="5CADC237" w:rsidR="00DE1A95" w:rsidRPr="00027820" w:rsidRDefault="00DE1A95" w:rsidP="00DE1A95">
      <w:pPr>
        <w:rPr>
          <w:rFonts w:ascii="Calibri" w:hAnsi="Calibri" w:cs="Calibri"/>
          <w:sz w:val="22"/>
          <w:szCs w:val="22"/>
        </w:rPr>
      </w:pPr>
      <w:r w:rsidRPr="00027820">
        <w:rPr>
          <w:rFonts w:ascii="Calibri" w:hAnsi="Calibri" w:cs="Calibri"/>
          <w:sz w:val="22"/>
          <w:szCs w:val="22"/>
        </w:rPr>
        <w:t>The Chamber appreciates the opportunity to comment on th</w:t>
      </w:r>
      <w:r w:rsidR="00017AE2">
        <w:rPr>
          <w:rFonts w:ascii="Calibri" w:hAnsi="Calibri" w:cs="Calibri"/>
          <w:sz w:val="22"/>
          <w:szCs w:val="22"/>
        </w:rPr>
        <w:t>e</w:t>
      </w:r>
      <w:r w:rsidRPr="00027820">
        <w:rPr>
          <w:rFonts w:ascii="Calibri" w:hAnsi="Calibri" w:cs="Calibri"/>
          <w:sz w:val="22"/>
          <w:szCs w:val="22"/>
        </w:rPr>
        <w:t xml:space="preserve"> proposed</w:t>
      </w:r>
      <w:r w:rsidR="00017AE2">
        <w:rPr>
          <w:rFonts w:ascii="Calibri" w:hAnsi="Calibri" w:cs="Calibri"/>
          <w:sz w:val="22"/>
          <w:szCs w:val="22"/>
        </w:rPr>
        <w:t xml:space="preserve"> </w:t>
      </w:r>
      <w:r w:rsidR="00017AE2" w:rsidRPr="00017AE2">
        <w:rPr>
          <w:rFonts w:ascii="Calibri" w:hAnsi="Calibri" w:cs="Calibri"/>
          <w:sz w:val="22"/>
          <w:szCs w:val="22"/>
        </w:rPr>
        <w:t>revisions to the</w:t>
      </w:r>
      <w:r w:rsidR="00017AE2">
        <w:rPr>
          <w:rFonts w:ascii="Calibri" w:hAnsi="Calibri" w:cs="Calibri"/>
          <w:sz w:val="22"/>
          <w:szCs w:val="22"/>
        </w:rPr>
        <w:t xml:space="preserve"> CGP</w:t>
      </w:r>
      <w:r w:rsidRPr="00027820">
        <w:rPr>
          <w:rFonts w:ascii="Calibri" w:hAnsi="Calibri" w:cs="Calibri"/>
          <w:sz w:val="22"/>
          <w:szCs w:val="22"/>
        </w:rPr>
        <w:t xml:space="preserve">. If additional information or clarification </w:t>
      </w:r>
      <w:r w:rsidR="00017AE2">
        <w:rPr>
          <w:rFonts w:ascii="Calibri" w:hAnsi="Calibri" w:cs="Calibri"/>
          <w:sz w:val="22"/>
          <w:szCs w:val="22"/>
        </w:rPr>
        <w:t>would be helpful,</w:t>
      </w:r>
      <w:r w:rsidRPr="00027820">
        <w:rPr>
          <w:rFonts w:ascii="Calibri" w:hAnsi="Calibri" w:cs="Calibri"/>
          <w:sz w:val="22"/>
          <w:szCs w:val="22"/>
        </w:rPr>
        <w:t xml:space="preserve"> please contact Sharon Dahl at </w:t>
      </w:r>
      <w:hyperlink r:id="rId11" w:history="1">
        <w:r w:rsidR="00017AE2" w:rsidRPr="00A66224">
          <w:rPr>
            <w:rStyle w:val="Hyperlink"/>
            <w:rFonts w:ascii="Calibri" w:hAnsi="Calibri" w:cs="Calibri"/>
            <w:sz w:val="22"/>
            <w:szCs w:val="22"/>
          </w:rPr>
          <w:t>sdahl@barr.com</w:t>
        </w:r>
      </w:hyperlink>
      <w:r w:rsidRPr="00027820">
        <w:rPr>
          <w:rFonts w:ascii="Calibri" w:hAnsi="Calibri" w:cs="Calibri"/>
          <w:sz w:val="22"/>
          <w:szCs w:val="22"/>
        </w:rPr>
        <w:t>.</w:t>
      </w:r>
    </w:p>
    <w:p w14:paraId="12A0AD41" w14:textId="77777777" w:rsidR="00572E59" w:rsidRPr="00027820" w:rsidRDefault="00572E59" w:rsidP="0064221D">
      <w:pPr>
        <w:rPr>
          <w:rFonts w:ascii="Calibri" w:hAnsi="Calibri" w:cs="Calibri"/>
          <w:sz w:val="22"/>
          <w:szCs w:val="22"/>
        </w:rPr>
      </w:pPr>
    </w:p>
    <w:p w14:paraId="39234DD6" w14:textId="77777777" w:rsidR="0064221D" w:rsidRPr="00027820" w:rsidRDefault="0064221D" w:rsidP="0064221D">
      <w:pPr>
        <w:rPr>
          <w:rFonts w:ascii="Calibri" w:hAnsi="Calibri" w:cs="Calibri"/>
          <w:sz w:val="22"/>
          <w:szCs w:val="22"/>
        </w:rPr>
      </w:pPr>
      <w:r w:rsidRPr="00027820">
        <w:rPr>
          <w:rFonts w:ascii="Calibri" w:hAnsi="Calibri" w:cs="Calibri"/>
          <w:sz w:val="22"/>
          <w:szCs w:val="22"/>
        </w:rPr>
        <w:t xml:space="preserve">Respectfully submitted, </w:t>
      </w:r>
    </w:p>
    <w:p w14:paraId="1A6DDF90" w14:textId="77777777" w:rsidR="0064221D" w:rsidRPr="00027820" w:rsidRDefault="0064221D" w:rsidP="0064221D">
      <w:pPr>
        <w:rPr>
          <w:rFonts w:ascii="Calibri" w:hAnsi="Calibri" w:cs="Calibri"/>
          <w:sz w:val="22"/>
          <w:szCs w:val="22"/>
        </w:rPr>
      </w:pPr>
    </w:p>
    <w:p w14:paraId="04266278" w14:textId="141E16B6" w:rsidR="004E3B9F" w:rsidRPr="00027820" w:rsidRDefault="00731F3F" w:rsidP="004E3B9F">
      <w:pPr>
        <w:rPr>
          <w:rFonts w:ascii="Calibri" w:hAnsi="Calibri" w:cs="Calibri"/>
          <w:sz w:val="22"/>
          <w:szCs w:val="22"/>
        </w:rPr>
      </w:pPr>
      <w:r w:rsidRPr="00027820">
        <w:rPr>
          <w:rFonts w:ascii="Calibri" w:hAnsi="Calibri" w:cs="Calibri"/>
          <w:noProof/>
          <w:sz w:val="22"/>
          <w:szCs w:val="22"/>
        </w:rPr>
        <w:drawing>
          <wp:inline distT="0" distB="0" distL="0" distR="0" wp14:anchorId="1AA793A2" wp14:editId="7444F2A8">
            <wp:extent cx="15621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581025"/>
                    </a:xfrm>
                    <a:prstGeom prst="rect">
                      <a:avLst/>
                    </a:prstGeom>
                    <a:noFill/>
                    <a:ln>
                      <a:noFill/>
                    </a:ln>
                  </pic:spPr>
                </pic:pic>
              </a:graphicData>
            </a:graphic>
          </wp:inline>
        </w:drawing>
      </w:r>
    </w:p>
    <w:p w14:paraId="4F9C5030" w14:textId="77777777" w:rsidR="00572E59" w:rsidRPr="00027820" w:rsidRDefault="00572E59" w:rsidP="004E3B9F">
      <w:pPr>
        <w:rPr>
          <w:rFonts w:ascii="Calibri" w:hAnsi="Calibri" w:cs="Calibri"/>
          <w:sz w:val="22"/>
          <w:szCs w:val="22"/>
        </w:rPr>
      </w:pPr>
    </w:p>
    <w:p w14:paraId="3ABD1CED" w14:textId="77777777" w:rsidR="004E3B9F" w:rsidRPr="00027820" w:rsidRDefault="00FC1DE2" w:rsidP="004E3B9F">
      <w:pPr>
        <w:rPr>
          <w:rFonts w:ascii="Calibri" w:hAnsi="Calibri" w:cs="Calibri"/>
          <w:sz w:val="22"/>
          <w:szCs w:val="22"/>
        </w:rPr>
      </w:pPr>
      <w:r w:rsidRPr="00027820">
        <w:rPr>
          <w:rFonts w:ascii="Calibri" w:hAnsi="Calibri" w:cs="Calibri"/>
          <w:sz w:val="22"/>
          <w:szCs w:val="22"/>
        </w:rPr>
        <w:t>Tony Kwilas</w:t>
      </w:r>
    </w:p>
    <w:p w14:paraId="040B81A0" w14:textId="77777777" w:rsidR="004E3B9F" w:rsidRPr="00027820" w:rsidRDefault="00FC1DE2" w:rsidP="004E3B9F">
      <w:pPr>
        <w:rPr>
          <w:rFonts w:ascii="Calibri" w:hAnsi="Calibri" w:cs="Calibri"/>
          <w:sz w:val="22"/>
          <w:szCs w:val="22"/>
        </w:rPr>
      </w:pPr>
      <w:r w:rsidRPr="00027820">
        <w:rPr>
          <w:rFonts w:ascii="Calibri" w:hAnsi="Calibri" w:cs="Calibri"/>
          <w:sz w:val="22"/>
          <w:szCs w:val="22"/>
        </w:rPr>
        <w:t>Director, Environmental Policy</w:t>
      </w:r>
    </w:p>
    <w:p w14:paraId="48787C37" w14:textId="77777777" w:rsidR="005952B8" w:rsidRPr="00027820" w:rsidRDefault="004E3B9F">
      <w:pPr>
        <w:rPr>
          <w:rFonts w:ascii="Calibri" w:hAnsi="Calibri" w:cs="Calibri"/>
          <w:sz w:val="22"/>
          <w:szCs w:val="22"/>
        </w:rPr>
      </w:pPr>
      <w:r w:rsidRPr="00027820">
        <w:rPr>
          <w:rFonts w:ascii="Calibri" w:hAnsi="Calibri" w:cs="Calibri"/>
          <w:sz w:val="22"/>
          <w:szCs w:val="22"/>
        </w:rPr>
        <w:t>Minnesota Chamber of Commerce</w:t>
      </w:r>
    </w:p>
    <w:p w14:paraId="51422072" w14:textId="77777777" w:rsidR="00DE1A95" w:rsidRPr="00027820" w:rsidRDefault="00DE1A95">
      <w:pPr>
        <w:rPr>
          <w:rFonts w:ascii="Calibri" w:hAnsi="Calibri" w:cs="Calibri"/>
          <w:sz w:val="22"/>
          <w:szCs w:val="22"/>
        </w:rPr>
      </w:pPr>
    </w:p>
    <w:p w14:paraId="70E3A6C7" w14:textId="77777777" w:rsidR="00DE1A95" w:rsidRPr="00027820" w:rsidRDefault="00DE1A95">
      <w:pPr>
        <w:rPr>
          <w:rFonts w:ascii="Calibri" w:hAnsi="Calibri" w:cs="Calibri"/>
          <w:sz w:val="22"/>
          <w:szCs w:val="22"/>
        </w:rPr>
      </w:pPr>
      <w:r w:rsidRPr="00027820">
        <w:rPr>
          <w:rFonts w:ascii="Calibri" w:hAnsi="Calibri" w:cs="Calibri"/>
          <w:sz w:val="22"/>
          <w:szCs w:val="22"/>
        </w:rPr>
        <w:t>bc: ENRPC WQ Subcommittee</w:t>
      </w:r>
    </w:p>
    <w:p w14:paraId="688219AD" w14:textId="77777777" w:rsidR="005952B8" w:rsidRPr="00027820" w:rsidRDefault="005952B8" w:rsidP="005952B8">
      <w:pPr>
        <w:rPr>
          <w:rFonts w:ascii="Calibri" w:hAnsi="Calibri" w:cs="Calibri"/>
          <w:sz w:val="22"/>
          <w:szCs w:val="22"/>
        </w:rPr>
      </w:pPr>
    </w:p>
    <w:p w14:paraId="621FE593" w14:textId="77777777" w:rsidR="005952B8" w:rsidRPr="00027820" w:rsidRDefault="005952B8" w:rsidP="005952B8">
      <w:pPr>
        <w:rPr>
          <w:rFonts w:ascii="Calibri" w:hAnsi="Calibri" w:cs="Calibri"/>
          <w:sz w:val="22"/>
          <w:szCs w:val="22"/>
        </w:rPr>
      </w:pPr>
    </w:p>
    <w:p w14:paraId="7CB72F89" w14:textId="77777777" w:rsidR="005952B8" w:rsidRPr="00027820" w:rsidRDefault="005952B8" w:rsidP="005952B8">
      <w:pPr>
        <w:rPr>
          <w:rFonts w:ascii="Calibri" w:hAnsi="Calibri" w:cs="Calibri"/>
          <w:sz w:val="22"/>
          <w:szCs w:val="22"/>
        </w:rPr>
      </w:pPr>
    </w:p>
    <w:sectPr w:rsidR="005952B8" w:rsidRPr="00027820" w:rsidSect="00FC7E8C">
      <w:headerReference w:type="even" r:id="rId13"/>
      <w:headerReference w:type="default" r:id="rId14"/>
      <w:footerReference w:type="even" r:id="rId15"/>
      <w:footerReference w:type="default" r:id="rId16"/>
      <w:headerReference w:type="first" r:id="rId17"/>
      <w:footerReference w:type="first" r:id="rId18"/>
      <w:pgSz w:w="12240" w:h="15840"/>
      <w:pgMar w:top="2880" w:right="1394" w:bottom="2160" w:left="1496" w:header="72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E916" w14:textId="77777777" w:rsidR="006D37BC" w:rsidRDefault="006D37BC">
      <w:r>
        <w:separator/>
      </w:r>
    </w:p>
  </w:endnote>
  <w:endnote w:type="continuationSeparator" w:id="0">
    <w:p w14:paraId="19280A4E" w14:textId="77777777" w:rsidR="006D37BC" w:rsidRDefault="006D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Proxima Nova Lt">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0FA2" w14:textId="77777777" w:rsidR="00C60791" w:rsidRDefault="00C60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65F6" w14:textId="77777777" w:rsidR="00C60791" w:rsidRDefault="00C60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C65E" w14:textId="77777777" w:rsidR="00984BD8" w:rsidRPr="00984BD8" w:rsidRDefault="00984BD8" w:rsidP="00984BD8">
    <w:pPr>
      <w:pStyle w:val="Footer"/>
      <w:jc w:val="center"/>
      <w:rPr>
        <w:rFonts w:ascii="Proxima Nova Lt" w:hAnsi="Proxima Nova Lt"/>
        <w:color w:val="182752"/>
        <w:sz w:val="21"/>
        <w:szCs w:val="21"/>
      </w:rPr>
    </w:pPr>
    <w:r w:rsidRPr="00984BD8">
      <w:rPr>
        <w:rFonts w:ascii="Proxima Nova Lt" w:hAnsi="Proxima Nova Lt"/>
        <w:color w:val="182752"/>
        <w:sz w:val="21"/>
        <w:szCs w:val="21"/>
      </w:rPr>
      <w:t>400 Robert St. North, Suite 1500, St. Paul, MN 55101</w:t>
    </w:r>
    <w:r>
      <w:rPr>
        <w:rFonts w:ascii="Proxima Nova Lt" w:hAnsi="Proxima Nova Lt"/>
        <w:color w:val="182752"/>
        <w:sz w:val="21"/>
        <w:szCs w:val="21"/>
      </w:rPr>
      <w:t xml:space="preserve"> </w:t>
    </w:r>
    <w:r>
      <w:rPr>
        <w:rFonts w:ascii="Proxima Nova Lt" w:hAnsi="Proxima Nova Lt"/>
        <w:color w:val="182752"/>
        <w:sz w:val="21"/>
        <w:szCs w:val="21"/>
      </w:rPr>
      <w:br/>
    </w:r>
    <w:hyperlink r:id="rId1" w:history="1">
      <w:r w:rsidRPr="00984BD8">
        <w:rPr>
          <w:rStyle w:val="Hyperlink"/>
          <w:rFonts w:ascii="Proxima Nova Lt" w:hAnsi="Proxima Nova Lt"/>
          <w:color w:val="182752"/>
          <w:sz w:val="21"/>
          <w:szCs w:val="21"/>
        </w:rPr>
        <w:t>www.mnchamber.com</w:t>
      </w:r>
    </w:hyperlink>
    <w:r>
      <w:rPr>
        <w:rFonts w:ascii="Proxima Nova Lt" w:hAnsi="Proxima Nova Lt"/>
        <w:color w:val="18275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827C" w14:textId="77777777" w:rsidR="006D37BC" w:rsidRDefault="006D37BC">
      <w:r>
        <w:separator/>
      </w:r>
    </w:p>
  </w:footnote>
  <w:footnote w:type="continuationSeparator" w:id="0">
    <w:p w14:paraId="4E64F0EE" w14:textId="77777777" w:rsidR="006D37BC" w:rsidRDefault="006D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7FE3" w14:textId="42EF2B38" w:rsidR="00C60791" w:rsidRDefault="00C60791">
    <w:pPr>
      <w:pStyle w:val="Header"/>
    </w:pPr>
    <w:r>
      <w:rPr>
        <w:noProof/>
      </w:rPr>
      <w:pict w14:anchorId="592A3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50969" o:spid="_x0000_s1026" type="#_x0000_t136" style="position:absolute;margin-left:0;margin-top:0;width:470.8pt;height:188.3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7561" w14:textId="2BFF5E40" w:rsidR="007364AF" w:rsidRDefault="00C60791" w:rsidP="00FC7E8C">
    <w:pPr>
      <w:pStyle w:val="Header"/>
      <w:jc w:val="right"/>
    </w:pPr>
    <w:r>
      <w:rPr>
        <w:noProof/>
      </w:rPr>
      <w:pict w14:anchorId="69458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50970" o:spid="_x0000_s1027" type="#_x0000_t136" style="position:absolute;left:0;text-align:left;margin-left:0;margin-top:0;width:470.8pt;height:188.3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731F3F" w:rsidRPr="00FC7E8C">
      <w:rPr>
        <w:noProof/>
      </w:rPr>
      <w:drawing>
        <wp:inline distT="0" distB="0" distL="0" distR="0" wp14:anchorId="373C6D29" wp14:editId="28B0229B">
          <wp:extent cx="1276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B263" w14:textId="4B157B35" w:rsidR="00FC7E8C" w:rsidRDefault="00C60791" w:rsidP="00FC7E8C">
    <w:pPr>
      <w:pStyle w:val="Header"/>
      <w:jc w:val="center"/>
    </w:pPr>
    <w:r>
      <w:rPr>
        <w:noProof/>
      </w:rPr>
      <w:pict w14:anchorId="2F3CD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50968" o:spid="_x0000_s1025" type="#_x0000_t136" style="position:absolute;left:0;text-align:left;margin-left:0;margin-top:0;width:470.8pt;height:188.3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r w:rsidR="00731F3F" w:rsidRPr="00FC7E8C">
      <w:rPr>
        <w:rFonts w:ascii="Calibri" w:hAnsi="Calibri"/>
        <w:noProof/>
        <w:sz w:val="22"/>
        <w:szCs w:val="22"/>
      </w:rPr>
      <w:drawing>
        <wp:inline distT="0" distB="0" distL="0" distR="0" wp14:anchorId="243486A7" wp14:editId="6DAC5F50">
          <wp:extent cx="1657350"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2E21"/>
    <w:multiLevelType w:val="hybridMultilevel"/>
    <w:tmpl w:val="EC3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ADF"/>
    <w:multiLevelType w:val="hybridMultilevel"/>
    <w:tmpl w:val="48EC0414"/>
    <w:lvl w:ilvl="0" w:tplc="C67865D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4769A"/>
    <w:multiLevelType w:val="hybridMultilevel"/>
    <w:tmpl w:val="95B4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42ECB"/>
    <w:multiLevelType w:val="hybridMultilevel"/>
    <w:tmpl w:val="AD70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334D9"/>
    <w:multiLevelType w:val="hybridMultilevel"/>
    <w:tmpl w:val="2F08A9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88714A7"/>
    <w:multiLevelType w:val="hybridMultilevel"/>
    <w:tmpl w:val="2DEAF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135418"/>
    <w:multiLevelType w:val="hybridMultilevel"/>
    <w:tmpl w:val="67AA75AA"/>
    <w:lvl w:ilvl="0" w:tplc="933CCD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616B98"/>
    <w:multiLevelType w:val="multilevel"/>
    <w:tmpl w:val="B45E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B53A5F"/>
    <w:multiLevelType w:val="hybridMultilevel"/>
    <w:tmpl w:val="8490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611923">
    <w:abstractNumId w:val="7"/>
  </w:num>
  <w:num w:numId="2" w16cid:durableId="1730957105">
    <w:abstractNumId w:val="1"/>
  </w:num>
  <w:num w:numId="3" w16cid:durableId="1205948148">
    <w:abstractNumId w:val="2"/>
  </w:num>
  <w:num w:numId="4" w16cid:durableId="997339934">
    <w:abstractNumId w:val="3"/>
  </w:num>
  <w:num w:numId="5" w16cid:durableId="1124157269">
    <w:abstractNumId w:val="8"/>
  </w:num>
  <w:num w:numId="6" w16cid:durableId="1245457489">
    <w:abstractNumId w:val="0"/>
  </w:num>
  <w:num w:numId="7" w16cid:durableId="1574583048">
    <w:abstractNumId w:val="4"/>
  </w:num>
  <w:num w:numId="8" w16cid:durableId="1845900430">
    <w:abstractNumId w:val="6"/>
  </w:num>
  <w:num w:numId="9" w16cid:durableId="1588339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12"/>
    <w:rsid w:val="00017AE2"/>
    <w:rsid w:val="00027820"/>
    <w:rsid w:val="00091699"/>
    <w:rsid w:val="000976E1"/>
    <w:rsid w:val="000A7CCD"/>
    <w:rsid w:val="000F6B69"/>
    <w:rsid w:val="001401D2"/>
    <w:rsid w:val="00191089"/>
    <w:rsid w:val="001A6806"/>
    <w:rsid w:val="001C0EF8"/>
    <w:rsid w:val="00254062"/>
    <w:rsid w:val="0026097B"/>
    <w:rsid w:val="0026511F"/>
    <w:rsid w:val="00290677"/>
    <w:rsid w:val="002A2B12"/>
    <w:rsid w:val="002B28F8"/>
    <w:rsid w:val="003053A0"/>
    <w:rsid w:val="0031538E"/>
    <w:rsid w:val="00357412"/>
    <w:rsid w:val="00373CCE"/>
    <w:rsid w:val="003959E9"/>
    <w:rsid w:val="003C4C06"/>
    <w:rsid w:val="003C545E"/>
    <w:rsid w:val="003D195D"/>
    <w:rsid w:val="004229A1"/>
    <w:rsid w:val="00471F6C"/>
    <w:rsid w:val="004C6763"/>
    <w:rsid w:val="004E3B9F"/>
    <w:rsid w:val="00572E59"/>
    <w:rsid w:val="005952B8"/>
    <w:rsid w:val="00597619"/>
    <w:rsid w:val="006404D9"/>
    <w:rsid w:val="00641D2A"/>
    <w:rsid w:val="0064221D"/>
    <w:rsid w:val="006D37BC"/>
    <w:rsid w:val="006E3BD7"/>
    <w:rsid w:val="006F7EDF"/>
    <w:rsid w:val="00726D12"/>
    <w:rsid w:val="00731896"/>
    <w:rsid w:val="00731F3F"/>
    <w:rsid w:val="007364AF"/>
    <w:rsid w:val="007776B4"/>
    <w:rsid w:val="00786EE2"/>
    <w:rsid w:val="008048D9"/>
    <w:rsid w:val="008162B9"/>
    <w:rsid w:val="00824890"/>
    <w:rsid w:val="00855BBF"/>
    <w:rsid w:val="0087141D"/>
    <w:rsid w:val="008836FD"/>
    <w:rsid w:val="008A0DF2"/>
    <w:rsid w:val="008C13F7"/>
    <w:rsid w:val="008E7D6B"/>
    <w:rsid w:val="008F3B9B"/>
    <w:rsid w:val="008F5406"/>
    <w:rsid w:val="00907AF9"/>
    <w:rsid w:val="00943167"/>
    <w:rsid w:val="00950089"/>
    <w:rsid w:val="00952EF2"/>
    <w:rsid w:val="00984BD8"/>
    <w:rsid w:val="009C3C74"/>
    <w:rsid w:val="00A4466D"/>
    <w:rsid w:val="00A53420"/>
    <w:rsid w:val="00A553C0"/>
    <w:rsid w:val="00A761D0"/>
    <w:rsid w:val="00A97CCB"/>
    <w:rsid w:val="00AB4E69"/>
    <w:rsid w:val="00AC27B7"/>
    <w:rsid w:val="00AF4DC4"/>
    <w:rsid w:val="00B05590"/>
    <w:rsid w:val="00B055B2"/>
    <w:rsid w:val="00B103FB"/>
    <w:rsid w:val="00B4341D"/>
    <w:rsid w:val="00B43B14"/>
    <w:rsid w:val="00B50DC5"/>
    <w:rsid w:val="00B66DD8"/>
    <w:rsid w:val="00B66EED"/>
    <w:rsid w:val="00B73E40"/>
    <w:rsid w:val="00B8490D"/>
    <w:rsid w:val="00BD5A62"/>
    <w:rsid w:val="00BE0ABB"/>
    <w:rsid w:val="00BF22CF"/>
    <w:rsid w:val="00BF56AC"/>
    <w:rsid w:val="00C60791"/>
    <w:rsid w:val="00C70ACC"/>
    <w:rsid w:val="00C71608"/>
    <w:rsid w:val="00C85907"/>
    <w:rsid w:val="00CE3BA0"/>
    <w:rsid w:val="00D02FA8"/>
    <w:rsid w:val="00D53235"/>
    <w:rsid w:val="00DC409B"/>
    <w:rsid w:val="00DE1A95"/>
    <w:rsid w:val="00DF6BE0"/>
    <w:rsid w:val="00E00606"/>
    <w:rsid w:val="00E36E42"/>
    <w:rsid w:val="00E37FF5"/>
    <w:rsid w:val="00E63765"/>
    <w:rsid w:val="00EF297F"/>
    <w:rsid w:val="00F203F9"/>
    <w:rsid w:val="00F23B13"/>
    <w:rsid w:val="00F80379"/>
    <w:rsid w:val="00FC1DE2"/>
    <w:rsid w:val="00FC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32C6A"/>
  <w15:chartTrackingRefBased/>
  <w15:docId w15:val="{39123E7B-C6FC-42FD-839A-CFB2CE01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qFormat/>
    <w:rsid w:val="00027820"/>
    <w:pPr>
      <w:keepNext/>
      <w:outlineLvl w:val="0"/>
    </w:pPr>
    <w:rPr>
      <w:rFonts w:ascii="Calibri" w:hAnsi="Calibri" w:cs="Times New Roman"/>
      <w:b/>
      <w:bCs/>
      <w:kern w:val="32"/>
      <w:sz w:val="22"/>
      <w:szCs w:val="32"/>
    </w:rPr>
  </w:style>
  <w:style w:type="paragraph" w:styleId="Heading2">
    <w:name w:val="heading 2"/>
    <w:basedOn w:val="Normal"/>
    <w:next w:val="Normal"/>
    <w:link w:val="Heading2Char"/>
    <w:semiHidden/>
    <w:unhideWhenUsed/>
    <w:qFormat/>
    <w:rsid w:val="0064221D"/>
    <w:pPr>
      <w:keepNext/>
      <w:keepLines/>
      <w:spacing w:after="120" w:line="276" w:lineRule="auto"/>
      <w:outlineLvl w:val="1"/>
    </w:pPr>
    <w:rPr>
      <w:rFonts w:cs="Segoe UI"/>
      <w:b/>
      <w:color w:val="auto"/>
      <w:spacing w:val="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2B12"/>
    <w:pPr>
      <w:tabs>
        <w:tab w:val="center" w:pos="4320"/>
        <w:tab w:val="right" w:pos="8640"/>
      </w:tabs>
    </w:pPr>
  </w:style>
  <w:style w:type="paragraph" w:styleId="Footer">
    <w:name w:val="footer"/>
    <w:basedOn w:val="Normal"/>
    <w:rsid w:val="002A2B12"/>
    <w:pPr>
      <w:tabs>
        <w:tab w:val="center" w:pos="4320"/>
        <w:tab w:val="right" w:pos="8640"/>
      </w:tabs>
    </w:pPr>
  </w:style>
  <w:style w:type="character" w:styleId="Hyperlink">
    <w:name w:val="Hyperlink"/>
    <w:rsid w:val="002A2B12"/>
    <w:rPr>
      <w:color w:val="0000FF"/>
      <w:u w:val="single"/>
    </w:rPr>
  </w:style>
  <w:style w:type="character" w:styleId="Strong">
    <w:name w:val="Strong"/>
    <w:qFormat/>
    <w:rsid w:val="00855BBF"/>
    <w:rPr>
      <w:b/>
      <w:bCs/>
    </w:rPr>
  </w:style>
  <w:style w:type="character" w:styleId="Emphasis">
    <w:name w:val="Emphasis"/>
    <w:qFormat/>
    <w:rsid w:val="00855BBF"/>
    <w:rPr>
      <w:i/>
      <w:iCs/>
    </w:rPr>
  </w:style>
  <w:style w:type="paragraph" w:styleId="NormalWeb">
    <w:name w:val="Normal (Web)"/>
    <w:basedOn w:val="Normal"/>
    <w:rsid w:val="00855BBF"/>
    <w:pPr>
      <w:spacing w:before="100" w:beforeAutospacing="1" w:after="100" w:afterAutospacing="1"/>
    </w:pPr>
    <w:rPr>
      <w:rFonts w:ascii="Times New Roman" w:hAnsi="Times New Roman" w:cs="Times New Roman"/>
      <w:color w:val="auto"/>
    </w:rPr>
  </w:style>
  <w:style w:type="paragraph" w:styleId="PlainText">
    <w:name w:val="Plain Text"/>
    <w:basedOn w:val="Normal"/>
    <w:link w:val="PlainTextChar"/>
    <w:uiPriority w:val="99"/>
    <w:unhideWhenUsed/>
    <w:rsid w:val="00E37FF5"/>
    <w:rPr>
      <w:rFonts w:ascii="Times New Roman" w:eastAsia="Calibri" w:hAnsi="Times New Roman" w:cs="Times New Roman"/>
      <w:color w:val="auto"/>
      <w:szCs w:val="21"/>
    </w:rPr>
  </w:style>
  <w:style w:type="character" w:customStyle="1" w:styleId="PlainTextChar">
    <w:name w:val="Plain Text Char"/>
    <w:link w:val="PlainText"/>
    <w:uiPriority w:val="99"/>
    <w:rsid w:val="00E37FF5"/>
    <w:rPr>
      <w:rFonts w:eastAsia="Calibri"/>
      <w:sz w:val="24"/>
      <w:szCs w:val="21"/>
    </w:rPr>
  </w:style>
  <w:style w:type="paragraph" w:customStyle="1" w:styleId="BasicParagraph">
    <w:name w:val="[Basic Paragraph]"/>
    <w:basedOn w:val="Normal"/>
    <w:uiPriority w:val="99"/>
    <w:rsid w:val="009C3C74"/>
    <w:pPr>
      <w:autoSpaceDE w:val="0"/>
      <w:autoSpaceDN w:val="0"/>
      <w:adjustRightInd w:val="0"/>
      <w:spacing w:line="288" w:lineRule="auto"/>
      <w:textAlignment w:val="center"/>
    </w:pPr>
    <w:rPr>
      <w:rFonts w:ascii="Times" w:hAnsi="Times" w:cs="Times"/>
    </w:rPr>
  </w:style>
  <w:style w:type="paragraph" w:styleId="ListParagraph">
    <w:name w:val="List Paragraph"/>
    <w:basedOn w:val="Normal"/>
    <w:uiPriority w:val="34"/>
    <w:qFormat/>
    <w:rsid w:val="008F3B9B"/>
    <w:pPr>
      <w:spacing w:after="200" w:line="276" w:lineRule="auto"/>
      <w:ind w:left="720"/>
      <w:contextualSpacing/>
    </w:pPr>
    <w:rPr>
      <w:rFonts w:ascii="Times New Roman" w:hAnsi="Times New Roman" w:cs="Times New Roman"/>
      <w:color w:val="auto"/>
      <w:sz w:val="20"/>
      <w:szCs w:val="20"/>
    </w:rPr>
  </w:style>
  <w:style w:type="paragraph" w:customStyle="1" w:styleId="Default">
    <w:name w:val="Default"/>
    <w:rsid w:val="004E3B9F"/>
    <w:pPr>
      <w:autoSpaceDE w:val="0"/>
      <w:autoSpaceDN w:val="0"/>
      <w:adjustRightInd w:val="0"/>
    </w:pPr>
    <w:rPr>
      <w:rFonts w:ascii="Corbel" w:eastAsia="Calibri" w:hAnsi="Corbel" w:cs="Corbel"/>
      <w:color w:val="000000"/>
      <w:sz w:val="24"/>
      <w:szCs w:val="24"/>
    </w:rPr>
  </w:style>
  <w:style w:type="character" w:styleId="EndnoteReference">
    <w:name w:val="endnote reference"/>
    <w:unhideWhenUsed/>
    <w:rsid w:val="005952B8"/>
    <w:rPr>
      <w:vertAlign w:val="superscript"/>
    </w:rPr>
  </w:style>
  <w:style w:type="character" w:customStyle="1" w:styleId="Heading2Char">
    <w:name w:val="Heading 2 Char"/>
    <w:link w:val="Heading2"/>
    <w:semiHidden/>
    <w:rsid w:val="0064221D"/>
    <w:rPr>
      <w:rFonts w:ascii="Arial" w:hAnsi="Arial" w:cs="Segoe UI"/>
      <w:b/>
      <w:spacing w:val="4"/>
      <w:sz w:val="24"/>
    </w:rPr>
  </w:style>
  <w:style w:type="paragraph" w:styleId="FootnoteText">
    <w:name w:val="footnote text"/>
    <w:basedOn w:val="Normal"/>
    <w:link w:val="FootnoteTextChar"/>
    <w:unhideWhenUsed/>
    <w:rsid w:val="0064221D"/>
    <w:pPr>
      <w:spacing w:after="240" w:line="276" w:lineRule="auto"/>
    </w:pPr>
    <w:rPr>
      <w:rFonts w:ascii="Segoe UI" w:hAnsi="Segoe UI" w:cs="Segoe UI"/>
      <w:color w:val="auto"/>
      <w:spacing w:val="4"/>
      <w:sz w:val="20"/>
      <w:szCs w:val="20"/>
    </w:rPr>
  </w:style>
  <w:style w:type="character" w:customStyle="1" w:styleId="FootnoteTextChar">
    <w:name w:val="Footnote Text Char"/>
    <w:link w:val="FootnoteText"/>
    <w:rsid w:val="0064221D"/>
    <w:rPr>
      <w:rFonts w:ascii="Segoe UI" w:hAnsi="Segoe UI" w:cs="Segoe UI"/>
      <w:spacing w:val="4"/>
    </w:rPr>
  </w:style>
  <w:style w:type="paragraph" w:styleId="MessageHeader">
    <w:name w:val="Message Header"/>
    <w:basedOn w:val="Normal"/>
    <w:link w:val="MessageHeaderChar"/>
    <w:unhideWhenUsed/>
    <w:rsid w:val="0064221D"/>
    <w:pPr>
      <w:keepLines/>
      <w:spacing w:before="60" w:after="120" w:line="276" w:lineRule="auto"/>
      <w:ind w:left="907" w:hanging="907"/>
    </w:pPr>
    <w:rPr>
      <w:rFonts w:ascii="Segoe UI" w:hAnsi="Segoe UI" w:cs="Segoe UI"/>
      <w:color w:val="auto"/>
      <w:spacing w:val="4"/>
      <w:sz w:val="20"/>
      <w:szCs w:val="20"/>
    </w:rPr>
  </w:style>
  <w:style w:type="character" w:customStyle="1" w:styleId="MessageHeaderChar">
    <w:name w:val="Message Header Char"/>
    <w:link w:val="MessageHeader"/>
    <w:rsid w:val="0064221D"/>
    <w:rPr>
      <w:rFonts w:ascii="Segoe UI" w:hAnsi="Segoe UI" w:cs="Segoe UI"/>
      <w:spacing w:val="4"/>
    </w:rPr>
  </w:style>
  <w:style w:type="character" w:customStyle="1" w:styleId="MessageHeaderLabel">
    <w:name w:val="Message Header Label"/>
    <w:rsid w:val="0064221D"/>
    <w:rPr>
      <w:rFonts w:ascii="Arial" w:hAnsi="Arial" w:cs="Arial" w:hint="default"/>
      <w:b/>
      <w:bCs w:val="0"/>
      <w:sz w:val="20"/>
    </w:rPr>
  </w:style>
  <w:style w:type="table" w:styleId="TableGrid">
    <w:name w:val="Table Grid"/>
    <w:basedOn w:val="TableNormal"/>
    <w:rsid w:val="006422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64221D"/>
  </w:style>
  <w:style w:type="paragraph" w:styleId="BalloonText">
    <w:name w:val="Balloon Text"/>
    <w:basedOn w:val="Normal"/>
    <w:link w:val="BalloonTextChar"/>
    <w:rsid w:val="00BE0ABB"/>
    <w:rPr>
      <w:rFonts w:ascii="Segoe UI" w:hAnsi="Segoe UI" w:cs="Segoe UI"/>
      <w:sz w:val="18"/>
      <w:szCs w:val="18"/>
    </w:rPr>
  </w:style>
  <w:style w:type="character" w:customStyle="1" w:styleId="BalloonTextChar">
    <w:name w:val="Balloon Text Char"/>
    <w:link w:val="BalloonText"/>
    <w:rsid w:val="00BE0ABB"/>
    <w:rPr>
      <w:rFonts w:ascii="Segoe UI" w:hAnsi="Segoe UI" w:cs="Segoe UI"/>
      <w:color w:val="000000"/>
      <w:sz w:val="18"/>
      <w:szCs w:val="18"/>
    </w:rPr>
  </w:style>
  <w:style w:type="character" w:styleId="CommentReference">
    <w:name w:val="annotation reference"/>
    <w:rsid w:val="008048D9"/>
    <w:rPr>
      <w:sz w:val="16"/>
      <w:szCs w:val="16"/>
    </w:rPr>
  </w:style>
  <w:style w:type="paragraph" w:styleId="CommentText">
    <w:name w:val="annotation text"/>
    <w:basedOn w:val="Normal"/>
    <w:link w:val="CommentTextChar"/>
    <w:rsid w:val="008048D9"/>
    <w:rPr>
      <w:sz w:val="20"/>
      <w:szCs w:val="20"/>
    </w:rPr>
  </w:style>
  <w:style w:type="character" w:customStyle="1" w:styleId="CommentTextChar">
    <w:name w:val="Comment Text Char"/>
    <w:link w:val="CommentText"/>
    <w:rsid w:val="008048D9"/>
    <w:rPr>
      <w:rFonts w:ascii="Arial" w:hAnsi="Arial" w:cs="Arial"/>
      <w:color w:val="000000"/>
    </w:rPr>
  </w:style>
  <w:style w:type="paragraph" w:styleId="CommentSubject">
    <w:name w:val="annotation subject"/>
    <w:basedOn w:val="CommentText"/>
    <w:next w:val="CommentText"/>
    <w:link w:val="CommentSubjectChar"/>
    <w:rsid w:val="008048D9"/>
    <w:rPr>
      <w:b/>
      <w:bCs/>
    </w:rPr>
  </w:style>
  <w:style w:type="character" w:customStyle="1" w:styleId="CommentSubjectChar">
    <w:name w:val="Comment Subject Char"/>
    <w:link w:val="CommentSubject"/>
    <w:rsid w:val="008048D9"/>
    <w:rPr>
      <w:rFonts w:ascii="Arial" w:hAnsi="Arial" w:cs="Arial"/>
      <w:b/>
      <w:bCs/>
      <w:color w:val="000000"/>
    </w:rPr>
  </w:style>
  <w:style w:type="paragraph" w:styleId="Revision">
    <w:name w:val="Revision"/>
    <w:hidden/>
    <w:uiPriority w:val="99"/>
    <w:semiHidden/>
    <w:rsid w:val="00357412"/>
    <w:rPr>
      <w:rFonts w:ascii="Arial" w:hAnsi="Arial" w:cs="Arial"/>
      <w:color w:val="000000"/>
      <w:sz w:val="24"/>
      <w:szCs w:val="24"/>
    </w:rPr>
  </w:style>
  <w:style w:type="character" w:customStyle="1" w:styleId="Heading1Char">
    <w:name w:val="Heading 1 Char"/>
    <w:link w:val="Heading1"/>
    <w:rsid w:val="00027820"/>
    <w:rPr>
      <w:rFonts w:ascii="Calibri" w:eastAsia="Times New Roman" w:hAnsi="Calibri" w:cs="Times New Roman"/>
      <w:b/>
      <w:bCs/>
      <w:color w:val="000000"/>
      <w:kern w:val="32"/>
      <w:sz w:val="22"/>
      <w:szCs w:val="32"/>
    </w:rPr>
  </w:style>
  <w:style w:type="character" w:styleId="UnresolvedMention">
    <w:name w:val="Unresolved Mention"/>
    <w:uiPriority w:val="99"/>
    <w:semiHidden/>
    <w:unhideWhenUsed/>
    <w:rsid w:val="0001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7689">
      <w:bodyDiv w:val="1"/>
      <w:marLeft w:val="0"/>
      <w:marRight w:val="0"/>
      <w:marTop w:val="0"/>
      <w:marBottom w:val="0"/>
      <w:divBdr>
        <w:top w:val="none" w:sz="0" w:space="0" w:color="auto"/>
        <w:left w:val="none" w:sz="0" w:space="0" w:color="auto"/>
        <w:bottom w:val="none" w:sz="0" w:space="0" w:color="auto"/>
        <w:right w:val="none" w:sz="0" w:space="0" w:color="auto"/>
      </w:divBdr>
    </w:div>
    <w:div w:id="813449935">
      <w:bodyDiv w:val="1"/>
      <w:marLeft w:val="0"/>
      <w:marRight w:val="0"/>
      <w:marTop w:val="0"/>
      <w:marBottom w:val="0"/>
      <w:divBdr>
        <w:top w:val="none" w:sz="0" w:space="0" w:color="auto"/>
        <w:left w:val="none" w:sz="0" w:space="0" w:color="auto"/>
        <w:bottom w:val="none" w:sz="0" w:space="0" w:color="auto"/>
        <w:right w:val="none" w:sz="0" w:space="0" w:color="auto"/>
      </w:divBdr>
    </w:div>
    <w:div w:id="8327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ahl@bar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mnchamb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7DD61B0DF624DAA06BA4B2FED1993" ma:contentTypeVersion="11" ma:contentTypeDescription="Create a new document." ma:contentTypeScope="" ma:versionID="fd3842462c468f2f8ed17d7a0181c234">
  <xsd:schema xmlns:xsd="http://www.w3.org/2001/XMLSchema" xmlns:xs="http://www.w3.org/2001/XMLSchema" xmlns:p="http://schemas.microsoft.com/office/2006/metadata/properties" xmlns:ns3="ac279a9d-8d68-45be-8e98-8d773d4fe301" targetNamespace="http://schemas.microsoft.com/office/2006/metadata/properties" ma:root="true" ma:fieldsID="6721b22775ff35fd7f125747a6d9ad64" ns3:_="">
    <xsd:import namespace="ac279a9d-8d68-45be-8e98-8d773d4fe3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79a9d-8d68-45be-8e98-8d773d4fe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AB72-3CD5-4A14-81C9-02E20DCAB1B3}">
  <ds:schemaRefs>
    <ds:schemaRef ds:uri="http://schemas.microsoft.com/sharepoint/v3/contenttype/forms"/>
  </ds:schemaRefs>
</ds:datastoreItem>
</file>

<file path=customXml/itemProps2.xml><?xml version="1.0" encoding="utf-8"?>
<ds:datastoreItem xmlns:ds="http://schemas.openxmlformats.org/officeDocument/2006/customXml" ds:itemID="{C4934B12-0288-4F63-9FAE-9144BB6C8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79a9d-8d68-45be-8e98-8d773d4fe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E4F32-6AAB-4E7A-960D-38B5DF41A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651845-640F-4BC9-BDF8-836275C5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1562</Words>
  <Characters>9031</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lpstr>
    </vt:vector>
  </TitlesOfParts>
  <Company>MN Chamber</Company>
  <LinksUpToDate>false</LinksUpToDate>
  <CharactersWithSpaces>10544</CharactersWithSpaces>
  <SharedDoc>false</SharedDoc>
  <HLinks>
    <vt:vector size="12" baseType="variant">
      <vt:variant>
        <vt:i4>5046390</vt:i4>
      </vt:variant>
      <vt:variant>
        <vt:i4>0</vt:i4>
      </vt:variant>
      <vt:variant>
        <vt:i4>0</vt:i4>
      </vt:variant>
      <vt:variant>
        <vt:i4>5</vt:i4>
      </vt:variant>
      <vt:variant>
        <vt:lpwstr>mailto:sdahl@barr.com</vt:lpwstr>
      </vt:variant>
      <vt:variant>
        <vt:lpwstr/>
      </vt:variant>
      <vt:variant>
        <vt:i4>5898271</vt:i4>
      </vt:variant>
      <vt:variant>
        <vt:i4>0</vt:i4>
      </vt:variant>
      <vt:variant>
        <vt:i4>0</vt:i4>
      </vt:variant>
      <vt:variant>
        <vt:i4>5</vt:i4>
      </vt:variant>
      <vt:variant>
        <vt:lpwstr>http://www.mnchamber.com/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Sharon B. Dahl</cp:lastModifiedBy>
  <cp:revision>8</cp:revision>
  <cp:lastPrinted>2012-03-28T16:19:00Z</cp:lastPrinted>
  <dcterms:created xsi:type="dcterms:W3CDTF">2023-02-24T17:13:00Z</dcterms:created>
  <dcterms:modified xsi:type="dcterms:W3CDTF">2023-02-24T18:51:00Z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0x01010014C7DD61B0DF624DAA06BA4B2FED1993</vt:lpwstr>
  </property>
  <property fmtid="{D5CDD505-2E9C-101B-9397-08002B2CF9AE}" pid="3" name="GrammarlyDocumentId">
    <vt:lpwstr>5d67bf881113612de017c546f46af428d4a61c35e24313049b9d8d84f69b3b8a</vt:lpwstr>
  </property>
</Properties>
</file>