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F3985" w14:textId="77777777" w:rsidR="00912A69" w:rsidRDefault="006620D1" w:rsidP="00FD08B6">
      <w:pPr>
        <w:jc w:val="center"/>
        <w:rPr>
          <w:sz w:val="24"/>
          <w:szCs w:val="24"/>
        </w:rPr>
      </w:pPr>
      <w:r w:rsidRPr="00552997">
        <w:rPr>
          <w:sz w:val="24"/>
          <w:szCs w:val="24"/>
        </w:rPr>
        <w:t xml:space="preserve">Sigurd </w:t>
      </w:r>
      <w:proofErr w:type="spellStart"/>
      <w:r w:rsidRPr="00552997">
        <w:rPr>
          <w:sz w:val="24"/>
          <w:szCs w:val="24"/>
        </w:rPr>
        <w:t>Scheurl</w:t>
      </w:r>
      <w:r w:rsidR="00FD08B6" w:rsidRPr="00552997">
        <w:rPr>
          <w:sz w:val="24"/>
          <w:szCs w:val="24"/>
        </w:rPr>
        <w:t>e</w:t>
      </w:r>
      <w:proofErr w:type="spellEnd"/>
      <w:r w:rsidR="00FD08B6" w:rsidRPr="00552997">
        <w:rPr>
          <w:sz w:val="24"/>
          <w:szCs w:val="24"/>
        </w:rPr>
        <w:t xml:space="preserve"> </w:t>
      </w:r>
    </w:p>
    <w:p w14:paraId="1ABC87D5" w14:textId="29E51F51" w:rsidR="006620D1" w:rsidRDefault="006620D1" w:rsidP="00FD08B6">
      <w:pPr>
        <w:jc w:val="center"/>
        <w:rPr>
          <w:sz w:val="24"/>
          <w:szCs w:val="24"/>
        </w:rPr>
      </w:pPr>
      <w:r w:rsidRPr="00552997">
        <w:rPr>
          <w:sz w:val="24"/>
          <w:szCs w:val="24"/>
        </w:rPr>
        <w:t>242 Oak Leaf Drive, Winona, MN 55987</w:t>
      </w:r>
    </w:p>
    <w:p w14:paraId="07DA632C" w14:textId="747C3317" w:rsidR="006620D1" w:rsidRPr="00552997" w:rsidRDefault="006620D1" w:rsidP="006620D1">
      <w:pPr>
        <w:jc w:val="center"/>
        <w:rPr>
          <w:sz w:val="24"/>
          <w:szCs w:val="24"/>
        </w:rPr>
      </w:pPr>
      <w:r w:rsidRPr="00552997">
        <w:rPr>
          <w:sz w:val="24"/>
          <w:szCs w:val="24"/>
        </w:rPr>
        <w:t xml:space="preserve">612-669-1377 – </w:t>
      </w:r>
      <w:hyperlink r:id="rId7" w:history="1">
        <w:r w:rsidRPr="00552997">
          <w:rPr>
            <w:rStyle w:val="Hyperlink"/>
            <w:sz w:val="24"/>
            <w:szCs w:val="24"/>
          </w:rPr>
          <w:t>sidrunner@gmail.com</w:t>
        </w:r>
      </w:hyperlink>
    </w:p>
    <w:p w14:paraId="731AFC1A" w14:textId="77777777" w:rsidR="00912A69" w:rsidRDefault="00912A69" w:rsidP="006620D1">
      <w:pPr>
        <w:rPr>
          <w:sz w:val="24"/>
          <w:szCs w:val="24"/>
        </w:rPr>
      </w:pPr>
    </w:p>
    <w:p w14:paraId="2A74AE66" w14:textId="43B2F27F" w:rsidR="0034390D" w:rsidRDefault="0034390D" w:rsidP="006620D1">
      <w:pPr>
        <w:rPr>
          <w:sz w:val="24"/>
          <w:szCs w:val="24"/>
        </w:rPr>
      </w:pPr>
      <w:r>
        <w:rPr>
          <w:sz w:val="24"/>
          <w:szCs w:val="24"/>
        </w:rPr>
        <w:t>Date:</w:t>
      </w:r>
      <w:r>
        <w:rPr>
          <w:sz w:val="24"/>
          <w:szCs w:val="24"/>
        </w:rPr>
        <w:tab/>
      </w:r>
      <w:r>
        <w:rPr>
          <w:sz w:val="24"/>
          <w:szCs w:val="24"/>
        </w:rPr>
        <w:tab/>
        <w:t>December 1</w:t>
      </w:r>
      <w:r w:rsidR="000B2076">
        <w:rPr>
          <w:sz w:val="24"/>
          <w:szCs w:val="24"/>
        </w:rPr>
        <w:t>3</w:t>
      </w:r>
      <w:r>
        <w:rPr>
          <w:sz w:val="24"/>
          <w:szCs w:val="24"/>
        </w:rPr>
        <w:t>, 2023</w:t>
      </w:r>
    </w:p>
    <w:p w14:paraId="735E6560" w14:textId="70D159F3" w:rsidR="003E0048" w:rsidRDefault="006620D1" w:rsidP="006620D1">
      <w:pPr>
        <w:rPr>
          <w:sz w:val="24"/>
          <w:szCs w:val="24"/>
        </w:rPr>
      </w:pPr>
      <w:r w:rsidRPr="00552997">
        <w:rPr>
          <w:sz w:val="24"/>
          <w:szCs w:val="24"/>
        </w:rPr>
        <w:t xml:space="preserve">To: </w:t>
      </w:r>
      <w:r w:rsidRPr="00552997">
        <w:rPr>
          <w:sz w:val="24"/>
          <w:szCs w:val="24"/>
        </w:rPr>
        <w:tab/>
      </w:r>
      <w:r w:rsidRPr="00552997">
        <w:rPr>
          <w:sz w:val="24"/>
          <w:szCs w:val="24"/>
        </w:rPr>
        <w:tab/>
      </w:r>
      <w:proofErr w:type="spellStart"/>
      <w:r w:rsidR="00407ACA">
        <w:rPr>
          <w:sz w:val="24"/>
          <w:szCs w:val="24"/>
        </w:rPr>
        <w:t>Megen</w:t>
      </w:r>
      <w:proofErr w:type="spellEnd"/>
      <w:r w:rsidR="00407ACA">
        <w:rPr>
          <w:sz w:val="24"/>
          <w:szCs w:val="24"/>
        </w:rPr>
        <w:t xml:space="preserve"> </w:t>
      </w:r>
      <w:proofErr w:type="spellStart"/>
      <w:r w:rsidR="00407ACA">
        <w:rPr>
          <w:sz w:val="24"/>
          <w:szCs w:val="24"/>
        </w:rPr>
        <w:t>Kab</w:t>
      </w:r>
      <w:r w:rsidR="000206AB">
        <w:rPr>
          <w:sz w:val="24"/>
          <w:szCs w:val="24"/>
        </w:rPr>
        <w:t>ele</w:t>
      </w:r>
      <w:proofErr w:type="spellEnd"/>
      <w:r w:rsidR="00C82549" w:rsidRPr="00552997">
        <w:rPr>
          <w:sz w:val="24"/>
          <w:szCs w:val="24"/>
        </w:rPr>
        <w:t xml:space="preserve">, </w:t>
      </w:r>
      <w:r w:rsidR="000206AB">
        <w:rPr>
          <w:sz w:val="24"/>
          <w:szCs w:val="24"/>
        </w:rPr>
        <w:t xml:space="preserve">Dan Card, </w:t>
      </w:r>
      <w:r w:rsidR="004F5365">
        <w:rPr>
          <w:sz w:val="24"/>
          <w:szCs w:val="24"/>
        </w:rPr>
        <w:t xml:space="preserve">Joy </w:t>
      </w:r>
      <w:proofErr w:type="spellStart"/>
      <w:r w:rsidR="004F5365">
        <w:rPr>
          <w:sz w:val="24"/>
          <w:szCs w:val="24"/>
        </w:rPr>
        <w:t>Wiecks</w:t>
      </w:r>
      <w:proofErr w:type="spellEnd"/>
      <w:r w:rsidR="004F5365">
        <w:rPr>
          <w:sz w:val="24"/>
          <w:szCs w:val="24"/>
        </w:rPr>
        <w:t xml:space="preserve">, </w:t>
      </w:r>
      <w:r w:rsidR="00C82549" w:rsidRPr="00552997">
        <w:rPr>
          <w:sz w:val="24"/>
          <w:szCs w:val="24"/>
        </w:rPr>
        <w:t>Minnesota Pollution Control</w:t>
      </w:r>
      <w:r w:rsidR="00DA6742" w:rsidRPr="00552997">
        <w:rPr>
          <w:sz w:val="24"/>
          <w:szCs w:val="24"/>
        </w:rPr>
        <w:t xml:space="preserve"> Agency (MPCA)</w:t>
      </w:r>
    </w:p>
    <w:p w14:paraId="09539E22" w14:textId="1954EC90" w:rsidR="006620D1" w:rsidRPr="00552997" w:rsidRDefault="00A930C0" w:rsidP="006620D1">
      <w:pPr>
        <w:rPr>
          <w:sz w:val="24"/>
          <w:szCs w:val="24"/>
        </w:rPr>
      </w:pPr>
      <w:r>
        <w:rPr>
          <w:sz w:val="24"/>
          <w:szCs w:val="24"/>
        </w:rPr>
        <w:t>From:</w:t>
      </w:r>
      <w:r>
        <w:rPr>
          <w:sz w:val="24"/>
          <w:szCs w:val="24"/>
        </w:rPr>
        <w:tab/>
      </w:r>
      <w:r>
        <w:rPr>
          <w:sz w:val="24"/>
          <w:szCs w:val="24"/>
        </w:rPr>
        <w:tab/>
        <w:t>Sig</w:t>
      </w:r>
      <w:r w:rsidR="0034390D">
        <w:rPr>
          <w:sz w:val="24"/>
          <w:szCs w:val="24"/>
        </w:rPr>
        <w:t xml:space="preserve">urd </w:t>
      </w:r>
      <w:proofErr w:type="spellStart"/>
      <w:r w:rsidR="0034390D">
        <w:rPr>
          <w:sz w:val="24"/>
          <w:szCs w:val="24"/>
        </w:rPr>
        <w:t>Scheurle</w:t>
      </w:r>
      <w:proofErr w:type="spellEnd"/>
    </w:p>
    <w:p w14:paraId="3A7E4815" w14:textId="18309924" w:rsidR="006620D1" w:rsidRPr="00552997" w:rsidRDefault="006620D1" w:rsidP="006620D1">
      <w:pPr>
        <w:rPr>
          <w:sz w:val="24"/>
          <w:szCs w:val="24"/>
        </w:rPr>
      </w:pPr>
      <w:r w:rsidRPr="00552997">
        <w:rPr>
          <w:sz w:val="24"/>
          <w:szCs w:val="24"/>
        </w:rPr>
        <w:t>Regarding:</w:t>
      </w:r>
      <w:r w:rsidRPr="00552997">
        <w:rPr>
          <w:sz w:val="24"/>
          <w:szCs w:val="24"/>
        </w:rPr>
        <w:tab/>
      </w:r>
      <w:r w:rsidR="000B2076">
        <w:rPr>
          <w:sz w:val="24"/>
          <w:szCs w:val="24"/>
        </w:rPr>
        <w:t xml:space="preserve">Additional </w:t>
      </w:r>
      <w:r w:rsidR="00DA6742" w:rsidRPr="00552997">
        <w:rPr>
          <w:sz w:val="24"/>
          <w:szCs w:val="24"/>
        </w:rPr>
        <w:t xml:space="preserve">Comments on </w:t>
      </w:r>
      <w:r w:rsidR="00D63E05">
        <w:rPr>
          <w:sz w:val="24"/>
          <w:szCs w:val="24"/>
        </w:rPr>
        <w:t xml:space="preserve">the </w:t>
      </w:r>
      <w:r w:rsidR="00DA6742" w:rsidRPr="00552997">
        <w:rPr>
          <w:sz w:val="24"/>
          <w:szCs w:val="24"/>
        </w:rPr>
        <w:t>Proposed Bend Landfill Expansion – EAW and Draft Air Permit</w:t>
      </w:r>
    </w:p>
    <w:p w14:paraId="6C7DC2AC" w14:textId="78D5335A" w:rsidR="00D718DF" w:rsidRPr="00552997" w:rsidRDefault="00F96D50" w:rsidP="006620D1">
      <w:pPr>
        <w:rPr>
          <w:sz w:val="24"/>
          <w:szCs w:val="24"/>
        </w:rPr>
      </w:pPr>
      <w:r w:rsidRPr="00552997">
        <w:rPr>
          <w:sz w:val="24"/>
          <w:szCs w:val="24"/>
        </w:rPr>
        <w:t xml:space="preserve">First, thank you for </w:t>
      </w:r>
      <w:r w:rsidR="00D718DF" w:rsidRPr="00552997">
        <w:rPr>
          <w:sz w:val="24"/>
          <w:szCs w:val="24"/>
        </w:rPr>
        <w:t xml:space="preserve">your attention to these </w:t>
      </w:r>
      <w:r w:rsidR="000B2076">
        <w:rPr>
          <w:sz w:val="24"/>
          <w:szCs w:val="24"/>
        </w:rPr>
        <w:t xml:space="preserve">additional </w:t>
      </w:r>
      <w:r w:rsidR="00DA6742" w:rsidRPr="00552997">
        <w:rPr>
          <w:sz w:val="24"/>
          <w:szCs w:val="24"/>
        </w:rPr>
        <w:t xml:space="preserve">public comments </w:t>
      </w:r>
      <w:r w:rsidR="00BE6C3C">
        <w:rPr>
          <w:sz w:val="24"/>
          <w:szCs w:val="24"/>
        </w:rPr>
        <w:t xml:space="preserve">and those submitted earlier </w:t>
      </w:r>
      <w:r w:rsidR="00DA6742" w:rsidRPr="00552997">
        <w:rPr>
          <w:sz w:val="24"/>
          <w:szCs w:val="24"/>
        </w:rPr>
        <w:t xml:space="preserve">on the proposed major expansion of the </w:t>
      </w:r>
      <w:r w:rsidR="00D718DF" w:rsidRPr="00552997">
        <w:rPr>
          <w:sz w:val="24"/>
          <w:szCs w:val="24"/>
        </w:rPr>
        <w:t xml:space="preserve">Pine Bend </w:t>
      </w:r>
      <w:r w:rsidR="00DA6742" w:rsidRPr="00552997">
        <w:rPr>
          <w:sz w:val="24"/>
          <w:szCs w:val="24"/>
        </w:rPr>
        <w:t xml:space="preserve">landfill. </w:t>
      </w:r>
      <w:r w:rsidR="00D718DF" w:rsidRPr="00552997">
        <w:rPr>
          <w:sz w:val="24"/>
          <w:szCs w:val="24"/>
        </w:rPr>
        <w:t xml:space="preserve"> </w:t>
      </w:r>
      <w:r w:rsidR="000B2076">
        <w:rPr>
          <w:sz w:val="24"/>
          <w:szCs w:val="24"/>
        </w:rPr>
        <w:t>I repeat comment #1 and outline</w:t>
      </w:r>
      <w:r w:rsidR="00D718DF" w:rsidRPr="00552997">
        <w:rPr>
          <w:sz w:val="24"/>
          <w:szCs w:val="24"/>
        </w:rPr>
        <w:t xml:space="preserve"> </w:t>
      </w:r>
      <w:r w:rsidR="000B2076">
        <w:rPr>
          <w:sz w:val="24"/>
          <w:szCs w:val="24"/>
        </w:rPr>
        <w:t>additional</w:t>
      </w:r>
      <w:r w:rsidR="00D718DF" w:rsidRPr="00552997">
        <w:rPr>
          <w:sz w:val="24"/>
          <w:szCs w:val="24"/>
        </w:rPr>
        <w:t xml:space="preserve"> comments </w:t>
      </w:r>
      <w:r w:rsidR="000B2076">
        <w:rPr>
          <w:sz w:val="24"/>
          <w:szCs w:val="24"/>
        </w:rPr>
        <w:t>in #2 &amp; #3 below</w:t>
      </w:r>
      <w:r w:rsidR="00D718DF" w:rsidRPr="00552997">
        <w:rPr>
          <w:sz w:val="24"/>
          <w:szCs w:val="24"/>
        </w:rPr>
        <w:t>:</w:t>
      </w:r>
    </w:p>
    <w:p w14:paraId="451603E5" w14:textId="4E18F346" w:rsidR="003E6CEA" w:rsidRDefault="003E6CEA" w:rsidP="00912A69">
      <w:pPr>
        <w:pStyle w:val="ListParagraph"/>
        <w:numPr>
          <w:ilvl w:val="0"/>
          <w:numId w:val="4"/>
        </w:numPr>
        <w:rPr>
          <w:sz w:val="24"/>
          <w:szCs w:val="24"/>
        </w:rPr>
      </w:pPr>
      <w:r w:rsidRPr="00912A69">
        <w:rPr>
          <w:sz w:val="24"/>
          <w:szCs w:val="24"/>
        </w:rPr>
        <w:t xml:space="preserve">Based on available public information, environmental review in the form of an EIS is mandatory.  Under the </w:t>
      </w:r>
      <w:r w:rsidR="009C461D" w:rsidRPr="00912A69">
        <w:rPr>
          <w:sz w:val="24"/>
          <w:szCs w:val="24"/>
        </w:rPr>
        <w:t>Environmental Quality Board (“</w:t>
      </w:r>
      <w:r w:rsidRPr="00912A69">
        <w:rPr>
          <w:sz w:val="24"/>
          <w:szCs w:val="24"/>
        </w:rPr>
        <w:t>EQB</w:t>
      </w:r>
      <w:r w:rsidR="009C461D" w:rsidRPr="00912A69">
        <w:rPr>
          <w:sz w:val="24"/>
          <w:szCs w:val="24"/>
        </w:rPr>
        <w:t>”)</w:t>
      </w:r>
      <w:r w:rsidRPr="00912A69">
        <w:rPr>
          <w:sz w:val="24"/>
          <w:szCs w:val="24"/>
        </w:rPr>
        <w:t xml:space="preserve"> rules, an EIS is mandatory for an expansion by 25 percent or more of previous capacity of a mixed municipal solid waste land disposal facility that accepts 100,000 cubic yards of waste per year, as the Pine Bend Landfill does.  See Minn. R. 4410. </w:t>
      </w:r>
      <w:r w:rsidR="00057EC1" w:rsidRPr="00912A69">
        <w:rPr>
          <w:sz w:val="24"/>
          <w:szCs w:val="24"/>
        </w:rPr>
        <w:t>4400</w:t>
      </w:r>
      <w:r w:rsidRPr="00912A69">
        <w:rPr>
          <w:sz w:val="24"/>
          <w:szCs w:val="24"/>
        </w:rPr>
        <w:t xml:space="preserve">, </w:t>
      </w:r>
      <w:proofErr w:type="spellStart"/>
      <w:r w:rsidRPr="00912A69">
        <w:rPr>
          <w:sz w:val="24"/>
          <w:szCs w:val="24"/>
        </w:rPr>
        <w:t>subp</w:t>
      </w:r>
      <w:proofErr w:type="spellEnd"/>
      <w:r w:rsidRPr="00912A69">
        <w:rPr>
          <w:sz w:val="24"/>
          <w:szCs w:val="24"/>
        </w:rPr>
        <w:t>. 13</w:t>
      </w:r>
      <w:r w:rsidR="00057EC1" w:rsidRPr="00912A69">
        <w:rPr>
          <w:sz w:val="24"/>
          <w:szCs w:val="24"/>
        </w:rPr>
        <w:t>E</w:t>
      </w:r>
      <w:r w:rsidRPr="00912A69">
        <w:rPr>
          <w:sz w:val="24"/>
          <w:szCs w:val="24"/>
        </w:rPr>
        <w:t xml:space="preserve">. According to the EAW, the project will expand the current permitted design capacity of 33,937,400 by 8,185,500 cubic yards, or slightly more than 24%, which is slightly below the mandatory category criteria.  However, </w:t>
      </w:r>
      <w:r w:rsidR="004E73B2" w:rsidRPr="00912A69">
        <w:rPr>
          <w:sz w:val="24"/>
          <w:szCs w:val="24"/>
        </w:rPr>
        <w:t xml:space="preserve">in </w:t>
      </w:r>
      <w:r w:rsidR="00912A69">
        <w:rPr>
          <w:sz w:val="24"/>
          <w:szCs w:val="24"/>
        </w:rPr>
        <w:t xml:space="preserve">June </w:t>
      </w:r>
      <w:r w:rsidR="004E73B2" w:rsidRPr="00912A69">
        <w:rPr>
          <w:sz w:val="24"/>
          <w:szCs w:val="24"/>
        </w:rPr>
        <w:t xml:space="preserve">2019 MPCA approved an </w:t>
      </w:r>
      <w:r w:rsidRPr="00912A69">
        <w:rPr>
          <w:sz w:val="24"/>
          <w:szCs w:val="24"/>
        </w:rPr>
        <w:t>expansion of 4,137,400 cubic yards</w:t>
      </w:r>
      <w:r w:rsidR="004E73B2" w:rsidRPr="00912A69">
        <w:rPr>
          <w:sz w:val="24"/>
          <w:szCs w:val="24"/>
        </w:rPr>
        <w:t xml:space="preserve">.  This expansion </w:t>
      </w:r>
      <w:r w:rsidR="008E298B" w:rsidRPr="00912A69">
        <w:rPr>
          <w:sz w:val="24"/>
          <w:szCs w:val="24"/>
        </w:rPr>
        <w:t>should be counted as part of the present project for two reasons.  First, the present expansion would not be occurring “but for” the plans approved by the MPCA in 2019</w:t>
      </w:r>
      <w:r w:rsidR="00BD029B" w:rsidRPr="00912A69">
        <w:rPr>
          <w:sz w:val="24"/>
          <w:szCs w:val="24"/>
        </w:rPr>
        <w:t xml:space="preserve">, i.e., the </w:t>
      </w:r>
      <w:r w:rsidR="00F02386" w:rsidRPr="00912A69">
        <w:rPr>
          <w:sz w:val="24"/>
          <w:szCs w:val="24"/>
        </w:rPr>
        <w:t>projects are</w:t>
      </w:r>
      <w:r w:rsidR="00620C4F" w:rsidRPr="00912A69">
        <w:rPr>
          <w:sz w:val="24"/>
          <w:szCs w:val="24"/>
        </w:rPr>
        <w:t xml:space="preserve"> “</w:t>
      </w:r>
      <w:r w:rsidR="00F02386" w:rsidRPr="00912A69">
        <w:rPr>
          <w:sz w:val="24"/>
          <w:szCs w:val="24"/>
        </w:rPr>
        <w:t xml:space="preserve">connected actions” as defined in Minn. R. </w:t>
      </w:r>
      <w:r w:rsidR="003B06D7" w:rsidRPr="00912A69">
        <w:rPr>
          <w:sz w:val="24"/>
          <w:szCs w:val="24"/>
        </w:rPr>
        <w:t xml:space="preserve">4410.0200, </w:t>
      </w:r>
      <w:proofErr w:type="spellStart"/>
      <w:r w:rsidR="003B06D7" w:rsidRPr="00912A69">
        <w:rPr>
          <w:sz w:val="24"/>
          <w:szCs w:val="24"/>
        </w:rPr>
        <w:t>subp</w:t>
      </w:r>
      <w:proofErr w:type="spellEnd"/>
      <w:r w:rsidR="003B06D7" w:rsidRPr="00912A69">
        <w:rPr>
          <w:sz w:val="24"/>
          <w:szCs w:val="24"/>
        </w:rPr>
        <w:t>. 9c.</w:t>
      </w:r>
      <w:r w:rsidR="003025F2" w:rsidRPr="00912A69">
        <w:rPr>
          <w:sz w:val="24"/>
          <w:szCs w:val="24"/>
        </w:rPr>
        <w:t xml:space="preserve"> Under Minn. R. 4410.100</w:t>
      </w:r>
      <w:r w:rsidR="00A7405A" w:rsidRPr="00912A69">
        <w:rPr>
          <w:sz w:val="24"/>
          <w:szCs w:val="24"/>
        </w:rPr>
        <w:t xml:space="preserve">0, </w:t>
      </w:r>
      <w:proofErr w:type="spellStart"/>
      <w:r w:rsidR="00A7405A" w:rsidRPr="00912A69">
        <w:rPr>
          <w:sz w:val="24"/>
          <w:szCs w:val="24"/>
        </w:rPr>
        <w:t>subp</w:t>
      </w:r>
      <w:proofErr w:type="spellEnd"/>
      <w:r w:rsidR="00A7405A" w:rsidRPr="00912A69">
        <w:rPr>
          <w:sz w:val="24"/>
          <w:szCs w:val="24"/>
        </w:rPr>
        <w:t>. 4, connected actions must be considered together in determining whether a mandatory EIS should be prepared.</w:t>
      </w:r>
      <w:r w:rsidR="00FD4626" w:rsidRPr="00912A69">
        <w:rPr>
          <w:sz w:val="24"/>
          <w:szCs w:val="24"/>
        </w:rPr>
        <w:t xml:space="preserve"> </w:t>
      </w:r>
      <w:r w:rsidR="008E298B" w:rsidRPr="00912A69">
        <w:rPr>
          <w:sz w:val="24"/>
          <w:szCs w:val="24"/>
        </w:rPr>
        <w:t xml:space="preserve">  The</w:t>
      </w:r>
      <w:r w:rsidR="00691BB7" w:rsidRPr="00912A69">
        <w:rPr>
          <w:sz w:val="24"/>
          <w:szCs w:val="24"/>
        </w:rPr>
        <w:t xml:space="preserve"> 2019</w:t>
      </w:r>
      <w:r w:rsidR="008E298B" w:rsidRPr="00912A69">
        <w:rPr>
          <w:sz w:val="24"/>
          <w:szCs w:val="24"/>
        </w:rPr>
        <w:t xml:space="preserve"> plans anticipated the present expansion and </w:t>
      </w:r>
      <w:r w:rsidR="00C25A77" w:rsidRPr="00912A69">
        <w:rPr>
          <w:sz w:val="24"/>
          <w:szCs w:val="24"/>
        </w:rPr>
        <w:t>resulted in the engineering</w:t>
      </w:r>
      <w:r w:rsidR="001C70C2">
        <w:rPr>
          <w:sz w:val="24"/>
          <w:szCs w:val="24"/>
        </w:rPr>
        <w:t xml:space="preserve"> </w:t>
      </w:r>
      <w:r w:rsidR="005B00BC">
        <w:rPr>
          <w:sz w:val="24"/>
          <w:szCs w:val="24"/>
        </w:rPr>
        <w:t xml:space="preserve">features </w:t>
      </w:r>
      <w:r w:rsidR="005B00BC" w:rsidRPr="00912A69">
        <w:rPr>
          <w:sz w:val="24"/>
          <w:szCs w:val="24"/>
        </w:rPr>
        <w:t>that</w:t>
      </w:r>
      <w:r w:rsidR="00691BB7" w:rsidRPr="00912A69">
        <w:rPr>
          <w:sz w:val="24"/>
          <w:szCs w:val="24"/>
        </w:rPr>
        <w:t xml:space="preserve"> compel</w:t>
      </w:r>
      <w:r w:rsidR="00D43B65" w:rsidRPr="00912A69">
        <w:rPr>
          <w:sz w:val="24"/>
          <w:szCs w:val="24"/>
        </w:rPr>
        <w:t>s</w:t>
      </w:r>
      <w:r w:rsidR="00C25A77" w:rsidRPr="00912A69">
        <w:rPr>
          <w:sz w:val="24"/>
          <w:szCs w:val="24"/>
        </w:rPr>
        <w:t xml:space="preserve"> </w:t>
      </w:r>
      <w:r w:rsidR="00D60FCB">
        <w:rPr>
          <w:sz w:val="24"/>
          <w:szCs w:val="24"/>
        </w:rPr>
        <w:t xml:space="preserve">and dove tails with </w:t>
      </w:r>
      <w:r w:rsidR="00C25A77" w:rsidRPr="00912A69">
        <w:rPr>
          <w:sz w:val="24"/>
          <w:szCs w:val="24"/>
        </w:rPr>
        <w:t>the present expansion</w:t>
      </w:r>
      <w:r w:rsidR="00D43B65" w:rsidRPr="00912A69">
        <w:rPr>
          <w:sz w:val="24"/>
          <w:szCs w:val="24"/>
        </w:rPr>
        <w:t xml:space="preserve"> in that it</w:t>
      </w:r>
      <w:r w:rsidR="00691BB7" w:rsidRPr="00912A69">
        <w:rPr>
          <w:sz w:val="24"/>
          <w:szCs w:val="24"/>
        </w:rPr>
        <w:t xml:space="preserve"> </w:t>
      </w:r>
      <w:r w:rsidR="00DD24A9" w:rsidRPr="00912A69">
        <w:rPr>
          <w:sz w:val="24"/>
          <w:szCs w:val="24"/>
        </w:rPr>
        <w:t xml:space="preserve">that </w:t>
      </w:r>
      <w:r w:rsidR="00D60FCB">
        <w:rPr>
          <w:sz w:val="24"/>
          <w:szCs w:val="24"/>
        </w:rPr>
        <w:t xml:space="preserve">the </w:t>
      </w:r>
      <w:r w:rsidR="00342AE8">
        <w:rPr>
          <w:sz w:val="24"/>
          <w:szCs w:val="24"/>
        </w:rPr>
        <w:t xml:space="preserve">2019 expansion </w:t>
      </w:r>
      <w:r w:rsidR="00DD24A9" w:rsidRPr="00912A69">
        <w:rPr>
          <w:sz w:val="24"/>
          <w:szCs w:val="24"/>
        </w:rPr>
        <w:t xml:space="preserve">essentially fills the </w:t>
      </w:r>
      <w:r w:rsidR="00912A69">
        <w:rPr>
          <w:sz w:val="24"/>
          <w:szCs w:val="24"/>
        </w:rPr>
        <w:t xml:space="preserve">saddle, </w:t>
      </w:r>
      <w:r w:rsidR="00342AE8">
        <w:rPr>
          <w:sz w:val="24"/>
          <w:szCs w:val="24"/>
        </w:rPr>
        <w:t>changes the side slopes from 5 to 1 t</w:t>
      </w:r>
      <w:r w:rsidR="00B35D87">
        <w:rPr>
          <w:sz w:val="24"/>
          <w:szCs w:val="24"/>
        </w:rPr>
        <w:t xml:space="preserve">o 3 to 1 thereby </w:t>
      </w:r>
      <w:r w:rsidR="00912A69">
        <w:rPr>
          <w:sz w:val="24"/>
          <w:szCs w:val="24"/>
        </w:rPr>
        <w:t>expand</w:t>
      </w:r>
      <w:r w:rsidR="00B35D87">
        <w:rPr>
          <w:sz w:val="24"/>
          <w:szCs w:val="24"/>
        </w:rPr>
        <w:t>ing</w:t>
      </w:r>
      <w:r w:rsidR="00912A69">
        <w:rPr>
          <w:sz w:val="24"/>
          <w:szCs w:val="24"/>
        </w:rPr>
        <w:t xml:space="preserve"> the area functioning as the base for </w:t>
      </w:r>
      <w:r w:rsidR="00AC759B">
        <w:rPr>
          <w:sz w:val="24"/>
          <w:szCs w:val="24"/>
        </w:rPr>
        <w:t xml:space="preserve">proposed </w:t>
      </w:r>
      <w:r w:rsidR="00912A69">
        <w:rPr>
          <w:sz w:val="24"/>
          <w:szCs w:val="24"/>
        </w:rPr>
        <w:t xml:space="preserve">expansion, and </w:t>
      </w:r>
      <w:r w:rsidR="00486542">
        <w:rPr>
          <w:sz w:val="24"/>
          <w:szCs w:val="24"/>
        </w:rPr>
        <w:t>installed</w:t>
      </w:r>
      <w:r w:rsidR="00912A69">
        <w:rPr>
          <w:sz w:val="24"/>
          <w:szCs w:val="24"/>
        </w:rPr>
        <w:t xml:space="preserve"> a liner on top of the landfill </w:t>
      </w:r>
      <w:r w:rsidR="00AC759B">
        <w:rPr>
          <w:sz w:val="24"/>
          <w:szCs w:val="24"/>
        </w:rPr>
        <w:t>to support</w:t>
      </w:r>
      <w:r w:rsidR="00912A69">
        <w:rPr>
          <w:sz w:val="24"/>
          <w:szCs w:val="24"/>
        </w:rPr>
        <w:t xml:space="preserve"> vertical expansion</w:t>
      </w:r>
      <w:r w:rsidR="00C25A77" w:rsidRPr="00912A69">
        <w:rPr>
          <w:sz w:val="24"/>
          <w:szCs w:val="24"/>
        </w:rPr>
        <w:t xml:space="preserve">.  Second, </w:t>
      </w:r>
      <w:r w:rsidR="00B02807" w:rsidRPr="00912A69">
        <w:rPr>
          <w:sz w:val="24"/>
          <w:szCs w:val="24"/>
        </w:rPr>
        <w:t>construction of the 2019 expansion did not occu</w:t>
      </w:r>
      <w:r w:rsidR="00912A69">
        <w:rPr>
          <w:sz w:val="24"/>
          <w:szCs w:val="24"/>
        </w:rPr>
        <w:t>r until after MPCA and local approvals were secured</w:t>
      </w:r>
      <w:r w:rsidR="00B02807" w:rsidRPr="00912A69">
        <w:rPr>
          <w:sz w:val="24"/>
          <w:szCs w:val="24"/>
        </w:rPr>
        <w:t xml:space="preserve">.  </w:t>
      </w:r>
      <w:r w:rsidR="0046705A" w:rsidRPr="00912A69">
        <w:rPr>
          <w:sz w:val="24"/>
          <w:szCs w:val="24"/>
        </w:rPr>
        <w:t xml:space="preserve">The application for the present </w:t>
      </w:r>
      <w:r w:rsidR="00D63E05">
        <w:rPr>
          <w:sz w:val="24"/>
          <w:szCs w:val="24"/>
        </w:rPr>
        <w:t xml:space="preserve">proposed new </w:t>
      </w:r>
      <w:r w:rsidR="0046705A" w:rsidRPr="00912A69">
        <w:rPr>
          <w:sz w:val="24"/>
          <w:szCs w:val="24"/>
        </w:rPr>
        <w:t xml:space="preserve">expansion was submitted </w:t>
      </w:r>
      <w:r w:rsidR="00D63E05">
        <w:rPr>
          <w:sz w:val="24"/>
          <w:szCs w:val="24"/>
        </w:rPr>
        <w:t xml:space="preserve">to MPCA </w:t>
      </w:r>
      <w:r w:rsidR="0046705A" w:rsidRPr="00912A69">
        <w:rPr>
          <w:sz w:val="24"/>
          <w:szCs w:val="24"/>
        </w:rPr>
        <w:t>in June 2022</w:t>
      </w:r>
      <w:r w:rsidR="00D6779A" w:rsidRPr="00912A69">
        <w:rPr>
          <w:sz w:val="24"/>
          <w:szCs w:val="24"/>
        </w:rPr>
        <w:t>.</w:t>
      </w:r>
      <w:r w:rsidR="0046705A" w:rsidRPr="00912A69">
        <w:rPr>
          <w:sz w:val="24"/>
          <w:szCs w:val="24"/>
        </w:rPr>
        <w:t xml:space="preserve">  </w:t>
      </w:r>
      <w:r w:rsidR="00BF5A48" w:rsidRPr="00912A69">
        <w:rPr>
          <w:sz w:val="24"/>
          <w:szCs w:val="24"/>
        </w:rPr>
        <w:t xml:space="preserve">Based on these dates, the application for the expansion was filed less than three years following </w:t>
      </w:r>
      <w:r w:rsidR="00D85311" w:rsidRPr="00912A69">
        <w:rPr>
          <w:sz w:val="24"/>
          <w:szCs w:val="24"/>
        </w:rPr>
        <w:t xml:space="preserve">beginning of </w:t>
      </w:r>
      <w:r w:rsidR="00BF5A48" w:rsidRPr="00912A69">
        <w:rPr>
          <w:sz w:val="24"/>
          <w:szCs w:val="24"/>
        </w:rPr>
        <w:t xml:space="preserve">construction of the 2019 project.  </w:t>
      </w:r>
      <w:r w:rsidR="0046705A" w:rsidRPr="00912A69">
        <w:rPr>
          <w:sz w:val="24"/>
          <w:szCs w:val="24"/>
        </w:rPr>
        <w:t xml:space="preserve">Minn. R. </w:t>
      </w:r>
      <w:r w:rsidR="00783AF6" w:rsidRPr="00912A69">
        <w:rPr>
          <w:sz w:val="24"/>
          <w:szCs w:val="24"/>
        </w:rPr>
        <w:t>4410</w:t>
      </w:r>
      <w:r w:rsidR="00D742FE" w:rsidRPr="00912A69">
        <w:rPr>
          <w:sz w:val="24"/>
          <w:szCs w:val="24"/>
        </w:rPr>
        <w:t xml:space="preserve">.3400, </w:t>
      </w:r>
      <w:proofErr w:type="spellStart"/>
      <w:r w:rsidR="00D742FE" w:rsidRPr="00912A69">
        <w:rPr>
          <w:sz w:val="24"/>
          <w:szCs w:val="24"/>
        </w:rPr>
        <w:t>subp</w:t>
      </w:r>
      <w:proofErr w:type="spellEnd"/>
      <w:r w:rsidR="00D742FE" w:rsidRPr="00912A69">
        <w:rPr>
          <w:sz w:val="24"/>
          <w:szCs w:val="24"/>
        </w:rPr>
        <w:t xml:space="preserve">. 1 provides </w:t>
      </w:r>
      <w:r w:rsidR="0013763B" w:rsidRPr="00912A69">
        <w:rPr>
          <w:sz w:val="24"/>
          <w:szCs w:val="24"/>
        </w:rPr>
        <w:t>i</w:t>
      </w:r>
      <w:r w:rsidR="00D742FE" w:rsidRPr="00912A69">
        <w:rPr>
          <w:sz w:val="24"/>
          <w:szCs w:val="24"/>
        </w:rPr>
        <w:t xml:space="preserve">f the proposed project is an expansion or additional stage of an existing project, the cumulative total of the proposed project and any existing stages or components of the existing project must be included when determining if a threshold is met or exceeded </w:t>
      </w:r>
      <w:r w:rsidR="00C65A2D" w:rsidRPr="00912A69">
        <w:rPr>
          <w:sz w:val="24"/>
          <w:szCs w:val="24"/>
        </w:rPr>
        <w:t>“</w:t>
      </w:r>
      <w:r w:rsidR="00D742FE" w:rsidRPr="00912A69">
        <w:rPr>
          <w:sz w:val="24"/>
          <w:szCs w:val="24"/>
        </w:rPr>
        <w:t>if construction was begun within three years before the date of application for a permit or approval from a governmental unit for the expansion or additional stage</w:t>
      </w:r>
      <w:r w:rsidR="00D55E7B" w:rsidRPr="00912A69">
        <w:rPr>
          <w:sz w:val="24"/>
          <w:szCs w:val="24"/>
        </w:rPr>
        <w:t xml:space="preserve">…” </w:t>
      </w:r>
      <w:r w:rsidR="007B7EE4" w:rsidRPr="00912A69">
        <w:rPr>
          <w:sz w:val="24"/>
          <w:szCs w:val="24"/>
        </w:rPr>
        <w:t xml:space="preserve"> </w:t>
      </w:r>
      <w:r w:rsidR="000070B7" w:rsidRPr="00912A69">
        <w:rPr>
          <w:sz w:val="24"/>
          <w:szCs w:val="24"/>
        </w:rPr>
        <w:t xml:space="preserve">If the </w:t>
      </w:r>
      <w:r w:rsidR="00DC46E8" w:rsidRPr="00912A69">
        <w:rPr>
          <w:sz w:val="24"/>
          <w:szCs w:val="24"/>
        </w:rPr>
        <w:t xml:space="preserve">4,137,400 cubic yards is added to the present application, the 25% figure </w:t>
      </w:r>
      <w:r w:rsidR="00477DFB" w:rsidRPr="00912A69">
        <w:rPr>
          <w:sz w:val="24"/>
          <w:szCs w:val="24"/>
        </w:rPr>
        <w:t xml:space="preserve">for a mandatory EIS </w:t>
      </w:r>
      <w:r w:rsidR="00DC46E8" w:rsidRPr="00912A69">
        <w:rPr>
          <w:sz w:val="24"/>
          <w:szCs w:val="24"/>
        </w:rPr>
        <w:t xml:space="preserve">is easily exceeded.  Finally, </w:t>
      </w:r>
      <w:r w:rsidR="002F5226" w:rsidRPr="00912A69">
        <w:rPr>
          <w:sz w:val="24"/>
          <w:szCs w:val="24"/>
        </w:rPr>
        <w:t>g</w:t>
      </w:r>
      <w:r w:rsidRPr="00912A69">
        <w:rPr>
          <w:sz w:val="24"/>
          <w:szCs w:val="24"/>
        </w:rPr>
        <w:t xml:space="preserve">iven that the alternatives to this facility have not been examined since the 1980s, the MPCA should </w:t>
      </w:r>
      <w:r w:rsidR="002F5226" w:rsidRPr="00912A69">
        <w:rPr>
          <w:sz w:val="24"/>
          <w:szCs w:val="24"/>
        </w:rPr>
        <w:t>resolve any doubt in favor of a mandated EIS.</w:t>
      </w:r>
    </w:p>
    <w:p w14:paraId="15C00D27" w14:textId="77777777" w:rsidR="00143683" w:rsidRPr="00912A69" w:rsidRDefault="00143683" w:rsidP="00143683">
      <w:pPr>
        <w:pStyle w:val="ListParagraph"/>
        <w:rPr>
          <w:sz w:val="24"/>
          <w:szCs w:val="24"/>
        </w:rPr>
      </w:pPr>
    </w:p>
    <w:p w14:paraId="73E57515" w14:textId="23E8EC69" w:rsidR="00143683" w:rsidRDefault="00912A69" w:rsidP="00143683">
      <w:pPr>
        <w:pStyle w:val="ListParagraph"/>
        <w:numPr>
          <w:ilvl w:val="0"/>
          <w:numId w:val="4"/>
        </w:numPr>
        <w:rPr>
          <w:sz w:val="24"/>
          <w:szCs w:val="24"/>
        </w:rPr>
      </w:pPr>
      <w:r w:rsidRPr="00912A69">
        <w:rPr>
          <w:sz w:val="24"/>
          <w:szCs w:val="24"/>
        </w:rPr>
        <w:lastRenderedPageBreak/>
        <w:t>T</w:t>
      </w:r>
      <w:r w:rsidR="00DA6742" w:rsidRPr="00912A69">
        <w:rPr>
          <w:sz w:val="24"/>
          <w:szCs w:val="24"/>
        </w:rPr>
        <w:t xml:space="preserve">he EAW </w:t>
      </w:r>
      <w:r w:rsidR="00D718DF" w:rsidRPr="00912A69">
        <w:rPr>
          <w:sz w:val="24"/>
          <w:szCs w:val="24"/>
        </w:rPr>
        <w:t>is</w:t>
      </w:r>
      <w:r w:rsidR="00DA6742" w:rsidRPr="00912A69">
        <w:rPr>
          <w:sz w:val="24"/>
          <w:szCs w:val="24"/>
        </w:rPr>
        <w:t xml:space="preserve"> incomplete </w:t>
      </w:r>
      <w:r w:rsidR="00D718DF" w:rsidRPr="00912A69">
        <w:rPr>
          <w:sz w:val="24"/>
          <w:szCs w:val="24"/>
        </w:rPr>
        <w:t>because it fails to include information</w:t>
      </w:r>
      <w:r w:rsidR="00DA6742" w:rsidRPr="00912A69">
        <w:rPr>
          <w:sz w:val="24"/>
          <w:szCs w:val="24"/>
        </w:rPr>
        <w:t xml:space="preserve"> </w:t>
      </w:r>
      <w:r w:rsidR="00D718DF" w:rsidRPr="00912A69">
        <w:rPr>
          <w:sz w:val="24"/>
          <w:szCs w:val="24"/>
        </w:rPr>
        <w:t xml:space="preserve">on </w:t>
      </w:r>
      <w:r w:rsidR="00344C4B" w:rsidRPr="00912A69">
        <w:rPr>
          <w:sz w:val="24"/>
          <w:szCs w:val="24"/>
        </w:rPr>
        <w:t xml:space="preserve">the </w:t>
      </w:r>
      <w:r w:rsidR="00DA6742" w:rsidRPr="00912A69">
        <w:rPr>
          <w:sz w:val="24"/>
          <w:szCs w:val="24"/>
        </w:rPr>
        <w:t>significant environmental impacts of the proposed project.</w:t>
      </w:r>
      <w:r w:rsidR="00D718DF" w:rsidRPr="00912A69">
        <w:rPr>
          <w:sz w:val="24"/>
          <w:szCs w:val="24"/>
        </w:rPr>
        <w:t xml:space="preserve">  In particular, the EAW lacks adequate information on the greenhouse gas </w:t>
      </w:r>
      <w:r w:rsidR="006867FB">
        <w:rPr>
          <w:sz w:val="24"/>
          <w:szCs w:val="24"/>
        </w:rPr>
        <w:t xml:space="preserve">and landfill gas </w:t>
      </w:r>
      <w:r w:rsidR="00D718DF" w:rsidRPr="00912A69">
        <w:rPr>
          <w:sz w:val="24"/>
          <w:szCs w:val="24"/>
        </w:rPr>
        <w:t xml:space="preserve">impacts of the expansion </w:t>
      </w:r>
      <w:r w:rsidR="003C6570">
        <w:rPr>
          <w:sz w:val="24"/>
          <w:szCs w:val="24"/>
        </w:rPr>
        <w:t>(</w:t>
      </w:r>
      <w:r w:rsidR="00D718DF" w:rsidRPr="00912A69">
        <w:rPr>
          <w:sz w:val="24"/>
          <w:szCs w:val="24"/>
        </w:rPr>
        <w:t>and the impacts of the leachate generated by the expansion</w:t>
      </w:r>
      <w:r w:rsidR="003C6570">
        <w:rPr>
          <w:sz w:val="24"/>
          <w:szCs w:val="24"/>
        </w:rPr>
        <w:t>)</w:t>
      </w:r>
      <w:r w:rsidR="00D718DF" w:rsidRPr="00912A69">
        <w:rPr>
          <w:sz w:val="24"/>
          <w:szCs w:val="24"/>
        </w:rPr>
        <w:t>.</w:t>
      </w:r>
      <w:r w:rsidR="007F0BF2" w:rsidRPr="00912A69">
        <w:rPr>
          <w:sz w:val="24"/>
          <w:szCs w:val="24"/>
        </w:rPr>
        <w:t xml:space="preserve">  Under </w:t>
      </w:r>
      <w:r w:rsidR="00CD0913" w:rsidRPr="00912A69">
        <w:rPr>
          <w:sz w:val="24"/>
          <w:szCs w:val="24"/>
        </w:rPr>
        <w:t xml:space="preserve">Minn. R. 4410.1700, </w:t>
      </w:r>
      <w:proofErr w:type="spellStart"/>
      <w:r w:rsidR="00CD0913" w:rsidRPr="00912A69">
        <w:rPr>
          <w:sz w:val="24"/>
          <w:szCs w:val="24"/>
        </w:rPr>
        <w:t>subp</w:t>
      </w:r>
      <w:proofErr w:type="spellEnd"/>
      <w:r w:rsidR="00CD0913" w:rsidRPr="00912A69">
        <w:rPr>
          <w:sz w:val="24"/>
          <w:szCs w:val="24"/>
        </w:rPr>
        <w:t xml:space="preserve">. 2a, </w:t>
      </w:r>
      <w:r w:rsidR="00575BC3" w:rsidRPr="00912A69">
        <w:rPr>
          <w:sz w:val="24"/>
          <w:szCs w:val="24"/>
        </w:rPr>
        <w:t>“</w:t>
      </w:r>
      <w:r w:rsidR="00CD0913" w:rsidRPr="00912A69">
        <w:rPr>
          <w:sz w:val="24"/>
          <w:szCs w:val="24"/>
        </w:rPr>
        <w:t xml:space="preserve">if the RGU determines that information necessary to a reasoned decision about the potential for, or significance of, one or more possible environmental impacts is lacking, but could be reasonably obtained, the RGU shall either: A. make a positive declaration and include within the scope of the EIS appropriate studies to obtain the lacking information; or B. postpone the decision on the need for an EIS…”  As noted below, additional information relative to the </w:t>
      </w:r>
      <w:r w:rsidR="00BE1D2B">
        <w:rPr>
          <w:sz w:val="24"/>
          <w:szCs w:val="24"/>
        </w:rPr>
        <w:t>quantity and impact of la</w:t>
      </w:r>
      <w:r w:rsidR="00922800">
        <w:rPr>
          <w:sz w:val="24"/>
          <w:szCs w:val="24"/>
        </w:rPr>
        <w:t>ndfill</w:t>
      </w:r>
      <w:r w:rsidR="00CD0913" w:rsidRPr="00912A69">
        <w:rPr>
          <w:sz w:val="24"/>
          <w:szCs w:val="24"/>
        </w:rPr>
        <w:t xml:space="preserve"> gases and leachate is likely available.  The adequacy decision should not be made without this information</w:t>
      </w:r>
      <w:r w:rsidR="00FA6E94" w:rsidRPr="00912A69">
        <w:rPr>
          <w:sz w:val="24"/>
          <w:szCs w:val="24"/>
        </w:rPr>
        <w:t xml:space="preserve"> because of its potential significance</w:t>
      </w:r>
      <w:r w:rsidR="00CD0913" w:rsidRPr="00912A69">
        <w:rPr>
          <w:sz w:val="24"/>
          <w:szCs w:val="24"/>
        </w:rPr>
        <w:t>.</w:t>
      </w:r>
      <w:r w:rsidR="00FA6E94" w:rsidRPr="00912A69">
        <w:rPr>
          <w:sz w:val="24"/>
          <w:szCs w:val="24"/>
        </w:rPr>
        <w:t xml:space="preserve"> </w:t>
      </w:r>
      <w:r w:rsidR="006620D1" w:rsidRPr="00912A69">
        <w:rPr>
          <w:sz w:val="24"/>
          <w:szCs w:val="24"/>
        </w:rPr>
        <w:t xml:space="preserve">The </w:t>
      </w:r>
      <w:r w:rsidR="00CD0913" w:rsidRPr="00912A69">
        <w:rPr>
          <w:sz w:val="24"/>
          <w:szCs w:val="24"/>
        </w:rPr>
        <w:t xml:space="preserve">information that is missing in the EAW will </w:t>
      </w:r>
      <w:r w:rsidR="00922800">
        <w:rPr>
          <w:sz w:val="24"/>
          <w:szCs w:val="24"/>
        </w:rPr>
        <w:t xml:space="preserve">necessitate revising the </w:t>
      </w:r>
      <w:r w:rsidR="00094EFF">
        <w:rPr>
          <w:sz w:val="24"/>
          <w:szCs w:val="24"/>
        </w:rPr>
        <w:t xml:space="preserve">present forecast of air emissions, </w:t>
      </w:r>
      <w:r w:rsidR="00CD0913" w:rsidRPr="00912A69">
        <w:rPr>
          <w:sz w:val="24"/>
          <w:szCs w:val="24"/>
        </w:rPr>
        <w:t xml:space="preserve">inform the proposed air and solid waste permits and allow MPCA to consider </w:t>
      </w:r>
      <w:r>
        <w:rPr>
          <w:sz w:val="24"/>
          <w:szCs w:val="24"/>
        </w:rPr>
        <w:t xml:space="preserve">mitigative measures </w:t>
      </w:r>
      <w:r w:rsidR="008032F2">
        <w:rPr>
          <w:sz w:val="24"/>
          <w:szCs w:val="24"/>
        </w:rPr>
        <w:t xml:space="preserve">to reduce emissions </w:t>
      </w:r>
      <w:r w:rsidR="00BD44B7">
        <w:rPr>
          <w:sz w:val="24"/>
          <w:szCs w:val="24"/>
        </w:rPr>
        <w:t>and</w:t>
      </w:r>
      <w:r w:rsidR="00CD0913" w:rsidRPr="00912A69">
        <w:rPr>
          <w:sz w:val="24"/>
          <w:szCs w:val="24"/>
        </w:rPr>
        <w:t xml:space="preserve"> </w:t>
      </w:r>
      <w:r w:rsidR="00DA6742" w:rsidRPr="00912A69">
        <w:rPr>
          <w:sz w:val="24"/>
          <w:szCs w:val="24"/>
        </w:rPr>
        <w:t xml:space="preserve">protect </w:t>
      </w:r>
      <w:r w:rsidR="00CD0913" w:rsidRPr="00912A69">
        <w:rPr>
          <w:sz w:val="24"/>
          <w:szCs w:val="24"/>
        </w:rPr>
        <w:t xml:space="preserve">the </w:t>
      </w:r>
      <w:r w:rsidR="00DA6742" w:rsidRPr="00912A69">
        <w:rPr>
          <w:sz w:val="24"/>
          <w:szCs w:val="24"/>
        </w:rPr>
        <w:t>public and the environment.</w:t>
      </w:r>
    </w:p>
    <w:p w14:paraId="06170E5F" w14:textId="77777777" w:rsidR="00932984" w:rsidRDefault="00932984" w:rsidP="00932984">
      <w:pPr>
        <w:pStyle w:val="ListParagraph"/>
        <w:rPr>
          <w:sz w:val="24"/>
          <w:szCs w:val="24"/>
        </w:rPr>
      </w:pPr>
    </w:p>
    <w:p w14:paraId="368D3EC9" w14:textId="77777777" w:rsidR="00CB0947" w:rsidRPr="00CB0947" w:rsidRDefault="00CB0947" w:rsidP="00CB0947">
      <w:pPr>
        <w:pStyle w:val="ListParagraph"/>
        <w:rPr>
          <w:sz w:val="24"/>
          <w:szCs w:val="24"/>
        </w:rPr>
      </w:pPr>
      <w:r w:rsidRPr="00CB0947">
        <w:rPr>
          <w:sz w:val="24"/>
          <w:szCs w:val="24"/>
        </w:rPr>
        <w:t>A summary of the Potential to Emit (PTE) in tons per year is as follows:</w:t>
      </w:r>
    </w:p>
    <w:tbl>
      <w:tblPr>
        <w:tblStyle w:val="TableGrid"/>
        <w:tblW w:w="0" w:type="auto"/>
        <w:tblInd w:w="720" w:type="dxa"/>
        <w:tblLook w:val="04A0" w:firstRow="1" w:lastRow="0" w:firstColumn="1" w:lastColumn="0" w:noHBand="0" w:noVBand="1"/>
      </w:tblPr>
      <w:tblGrid>
        <w:gridCol w:w="1570"/>
        <w:gridCol w:w="632"/>
        <w:gridCol w:w="799"/>
        <w:gridCol w:w="850"/>
        <w:gridCol w:w="858"/>
        <w:gridCol w:w="860"/>
        <w:gridCol w:w="881"/>
        <w:gridCol w:w="861"/>
        <w:gridCol w:w="1006"/>
        <w:gridCol w:w="881"/>
        <w:gridCol w:w="872"/>
      </w:tblGrid>
      <w:tr w:rsidR="00C8449C" w14:paraId="56BADA91" w14:textId="15C73BFD" w:rsidTr="00E652E3">
        <w:tc>
          <w:tcPr>
            <w:tcW w:w="1605" w:type="dxa"/>
          </w:tcPr>
          <w:p w14:paraId="4A385868" w14:textId="38A0C059" w:rsidR="00C8449C" w:rsidRDefault="00C8449C" w:rsidP="00CB0947">
            <w:pPr>
              <w:pStyle w:val="ListParagraph"/>
              <w:ind w:left="0"/>
              <w:rPr>
                <w:sz w:val="24"/>
                <w:szCs w:val="24"/>
              </w:rPr>
            </w:pPr>
            <w:r>
              <w:rPr>
                <w:sz w:val="24"/>
                <w:szCs w:val="24"/>
              </w:rPr>
              <w:t>Pollutant</w:t>
            </w:r>
          </w:p>
        </w:tc>
        <w:tc>
          <w:tcPr>
            <w:tcW w:w="640" w:type="dxa"/>
          </w:tcPr>
          <w:p w14:paraId="6EA4696B" w14:textId="23BC9145" w:rsidR="00C8449C" w:rsidRDefault="00E652E3" w:rsidP="00CB0947">
            <w:pPr>
              <w:pStyle w:val="ListParagraph"/>
              <w:ind w:left="0"/>
              <w:rPr>
                <w:sz w:val="24"/>
                <w:szCs w:val="24"/>
              </w:rPr>
            </w:pPr>
            <w:r>
              <w:rPr>
                <w:sz w:val="24"/>
                <w:szCs w:val="24"/>
              </w:rPr>
              <w:t>PM</w:t>
            </w:r>
          </w:p>
        </w:tc>
        <w:tc>
          <w:tcPr>
            <w:tcW w:w="800" w:type="dxa"/>
          </w:tcPr>
          <w:p w14:paraId="346D0D55" w14:textId="4F4EFBB0" w:rsidR="00C8449C" w:rsidRDefault="00E652E3" w:rsidP="00CB0947">
            <w:pPr>
              <w:pStyle w:val="ListParagraph"/>
              <w:ind w:left="0"/>
              <w:rPr>
                <w:sz w:val="24"/>
                <w:szCs w:val="24"/>
              </w:rPr>
            </w:pPr>
            <w:r>
              <w:rPr>
                <w:sz w:val="24"/>
                <w:szCs w:val="24"/>
              </w:rPr>
              <w:t>PM10</w:t>
            </w:r>
          </w:p>
        </w:tc>
        <w:tc>
          <w:tcPr>
            <w:tcW w:w="850" w:type="dxa"/>
          </w:tcPr>
          <w:p w14:paraId="56A5393D" w14:textId="4DCE6837" w:rsidR="00C8449C" w:rsidRDefault="00E652E3" w:rsidP="00CB0947">
            <w:pPr>
              <w:pStyle w:val="ListParagraph"/>
              <w:ind w:left="0"/>
              <w:rPr>
                <w:sz w:val="24"/>
                <w:szCs w:val="24"/>
              </w:rPr>
            </w:pPr>
            <w:r>
              <w:rPr>
                <w:sz w:val="24"/>
                <w:szCs w:val="24"/>
              </w:rPr>
              <w:t>PM2.5</w:t>
            </w:r>
          </w:p>
        </w:tc>
        <w:tc>
          <w:tcPr>
            <w:tcW w:w="877" w:type="dxa"/>
          </w:tcPr>
          <w:p w14:paraId="1B91BE51" w14:textId="6BBA2DDE" w:rsidR="00C8449C" w:rsidRDefault="00E652E3" w:rsidP="00CB0947">
            <w:pPr>
              <w:pStyle w:val="ListParagraph"/>
              <w:ind w:left="0"/>
              <w:rPr>
                <w:sz w:val="24"/>
                <w:szCs w:val="24"/>
              </w:rPr>
            </w:pPr>
            <w:r>
              <w:rPr>
                <w:sz w:val="24"/>
                <w:szCs w:val="24"/>
              </w:rPr>
              <w:t>SO2</w:t>
            </w:r>
          </w:p>
        </w:tc>
        <w:tc>
          <w:tcPr>
            <w:tcW w:w="879" w:type="dxa"/>
          </w:tcPr>
          <w:p w14:paraId="413EE525" w14:textId="3D5CCC08" w:rsidR="00C8449C" w:rsidRDefault="00077588" w:rsidP="00CB0947">
            <w:pPr>
              <w:pStyle w:val="ListParagraph"/>
              <w:ind w:left="0"/>
              <w:rPr>
                <w:sz w:val="24"/>
                <w:szCs w:val="24"/>
              </w:rPr>
            </w:pPr>
            <w:r>
              <w:rPr>
                <w:sz w:val="24"/>
                <w:szCs w:val="24"/>
              </w:rPr>
              <w:t>NOx</w:t>
            </w:r>
          </w:p>
        </w:tc>
        <w:tc>
          <w:tcPr>
            <w:tcW w:w="889" w:type="dxa"/>
          </w:tcPr>
          <w:p w14:paraId="24E98D5E" w14:textId="204ADBCF" w:rsidR="00C8449C" w:rsidRDefault="00B10EA8" w:rsidP="00CB0947">
            <w:pPr>
              <w:pStyle w:val="ListParagraph"/>
              <w:ind w:left="0"/>
              <w:rPr>
                <w:sz w:val="24"/>
                <w:szCs w:val="24"/>
              </w:rPr>
            </w:pPr>
            <w:r>
              <w:rPr>
                <w:sz w:val="24"/>
                <w:szCs w:val="24"/>
              </w:rPr>
              <w:t>VOC’s</w:t>
            </w:r>
          </w:p>
        </w:tc>
        <w:tc>
          <w:tcPr>
            <w:tcW w:w="870" w:type="dxa"/>
          </w:tcPr>
          <w:p w14:paraId="2EE10938" w14:textId="3595586C" w:rsidR="00C8449C" w:rsidRDefault="00B10EA8" w:rsidP="00CB0947">
            <w:pPr>
              <w:pStyle w:val="ListParagraph"/>
              <w:ind w:left="0"/>
              <w:rPr>
                <w:sz w:val="24"/>
                <w:szCs w:val="24"/>
              </w:rPr>
            </w:pPr>
            <w:r>
              <w:rPr>
                <w:sz w:val="24"/>
                <w:szCs w:val="24"/>
              </w:rPr>
              <w:t>CO</w:t>
            </w:r>
          </w:p>
        </w:tc>
        <w:tc>
          <w:tcPr>
            <w:tcW w:w="886" w:type="dxa"/>
          </w:tcPr>
          <w:p w14:paraId="0A2B7A6B" w14:textId="3567F4A7" w:rsidR="00C8449C" w:rsidRDefault="00C8449C" w:rsidP="00CB0947">
            <w:pPr>
              <w:pStyle w:val="ListParagraph"/>
              <w:ind w:left="0"/>
              <w:rPr>
                <w:sz w:val="24"/>
                <w:szCs w:val="24"/>
              </w:rPr>
            </w:pPr>
            <w:r>
              <w:rPr>
                <w:sz w:val="24"/>
                <w:szCs w:val="24"/>
              </w:rPr>
              <w:t>CO</w:t>
            </w:r>
            <w:r w:rsidR="001A00E3">
              <w:rPr>
                <w:sz w:val="24"/>
                <w:szCs w:val="24"/>
              </w:rPr>
              <w:t>2e</w:t>
            </w:r>
          </w:p>
        </w:tc>
        <w:tc>
          <w:tcPr>
            <w:tcW w:w="889" w:type="dxa"/>
          </w:tcPr>
          <w:p w14:paraId="410422E1" w14:textId="19B888B3" w:rsidR="00C8449C" w:rsidRDefault="001A00E3" w:rsidP="00CB0947">
            <w:pPr>
              <w:pStyle w:val="ListParagraph"/>
              <w:ind w:left="0"/>
              <w:rPr>
                <w:sz w:val="24"/>
                <w:szCs w:val="24"/>
              </w:rPr>
            </w:pPr>
            <w:r>
              <w:rPr>
                <w:sz w:val="24"/>
                <w:szCs w:val="24"/>
              </w:rPr>
              <w:t>Single HAP</w:t>
            </w:r>
            <w:r w:rsidR="00BA43E3">
              <w:rPr>
                <w:sz w:val="24"/>
                <w:szCs w:val="24"/>
              </w:rPr>
              <w:t>*</w:t>
            </w:r>
          </w:p>
        </w:tc>
        <w:tc>
          <w:tcPr>
            <w:tcW w:w="885" w:type="dxa"/>
          </w:tcPr>
          <w:p w14:paraId="17551D53" w14:textId="5BC9EC61" w:rsidR="00C8449C" w:rsidRDefault="00BA43E3" w:rsidP="00CB0947">
            <w:pPr>
              <w:pStyle w:val="ListParagraph"/>
              <w:ind w:left="0"/>
              <w:rPr>
                <w:sz w:val="24"/>
                <w:szCs w:val="24"/>
              </w:rPr>
            </w:pPr>
            <w:r>
              <w:rPr>
                <w:sz w:val="24"/>
                <w:szCs w:val="24"/>
              </w:rPr>
              <w:t>All HAPs</w:t>
            </w:r>
          </w:p>
        </w:tc>
      </w:tr>
      <w:tr w:rsidR="00C8449C" w14:paraId="32F36F76" w14:textId="7F7B9F5B" w:rsidTr="00E652E3">
        <w:tc>
          <w:tcPr>
            <w:tcW w:w="1605" w:type="dxa"/>
          </w:tcPr>
          <w:p w14:paraId="3D900C53" w14:textId="77777777" w:rsidR="00C8449C" w:rsidRDefault="00C8449C" w:rsidP="00CB0947">
            <w:pPr>
              <w:pStyle w:val="ListParagraph"/>
              <w:ind w:left="0"/>
              <w:rPr>
                <w:sz w:val="24"/>
                <w:szCs w:val="24"/>
              </w:rPr>
            </w:pPr>
            <w:r>
              <w:rPr>
                <w:sz w:val="24"/>
                <w:szCs w:val="24"/>
              </w:rPr>
              <w:t>Total Facility</w:t>
            </w:r>
          </w:p>
          <w:p w14:paraId="595FDBCB" w14:textId="56C5D968" w:rsidR="00C8449C" w:rsidRDefault="00C8449C" w:rsidP="00CB0947">
            <w:pPr>
              <w:pStyle w:val="ListParagraph"/>
              <w:ind w:left="0"/>
              <w:rPr>
                <w:sz w:val="24"/>
                <w:szCs w:val="24"/>
              </w:rPr>
            </w:pPr>
            <w:r>
              <w:rPr>
                <w:sz w:val="24"/>
                <w:szCs w:val="24"/>
              </w:rPr>
              <w:t>PTE Emissions</w:t>
            </w:r>
          </w:p>
        </w:tc>
        <w:tc>
          <w:tcPr>
            <w:tcW w:w="640" w:type="dxa"/>
          </w:tcPr>
          <w:p w14:paraId="4D7FE2E5" w14:textId="1D139219" w:rsidR="00C8449C" w:rsidRDefault="00A427AB" w:rsidP="00CB0947">
            <w:pPr>
              <w:pStyle w:val="ListParagraph"/>
              <w:ind w:left="0"/>
              <w:rPr>
                <w:sz w:val="24"/>
                <w:szCs w:val="24"/>
              </w:rPr>
            </w:pPr>
            <w:r>
              <w:rPr>
                <w:sz w:val="24"/>
                <w:szCs w:val="24"/>
              </w:rPr>
              <w:t>97</w:t>
            </w:r>
          </w:p>
        </w:tc>
        <w:tc>
          <w:tcPr>
            <w:tcW w:w="800" w:type="dxa"/>
          </w:tcPr>
          <w:p w14:paraId="3E305777" w14:textId="18ECAC11" w:rsidR="00C8449C" w:rsidRDefault="00A427AB" w:rsidP="00CB0947">
            <w:pPr>
              <w:pStyle w:val="ListParagraph"/>
              <w:ind w:left="0"/>
              <w:rPr>
                <w:sz w:val="24"/>
                <w:szCs w:val="24"/>
              </w:rPr>
            </w:pPr>
            <w:r>
              <w:rPr>
                <w:sz w:val="24"/>
                <w:szCs w:val="24"/>
              </w:rPr>
              <w:t>32</w:t>
            </w:r>
          </w:p>
        </w:tc>
        <w:tc>
          <w:tcPr>
            <w:tcW w:w="850" w:type="dxa"/>
          </w:tcPr>
          <w:p w14:paraId="5F9835C3" w14:textId="44EA0E90" w:rsidR="00C8449C" w:rsidRDefault="00A427AB" w:rsidP="00CB0947">
            <w:pPr>
              <w:pStyle w:val="ListParagraph"/>
              <w:ind w:left="0"/>
              <w:rPr>
                <w:sz w:val="24"/>
                <w:szCs w:val="24"/>
              </w:rPr>
            </w:pPr>
            <w:r>
              <w:rPr>
                <w:sz w:val="24"/>
                <w:szCs w:val="24"/>
              </w:rPr>
              <w:t>13.5</w:t>
            </w:r>
          </w:p>
        </w:tc>
        <w:tc>
          <w:tcPr>
            <w:tcW w:w="877" w:type="dxa"/>
          </w:tcPr>
          <w:p w14:paraId="6D536941" w14:textId="43ACCFF7" w:rsidR="00C8449C" w:rsidRDefault="006D4042" w:rsidP="00CB0947">
            <w:pPr>
              <w:pStyle w:val="ListParagraph"/>
              <w:ind w:left="0"/>
              <w:rPr>
                <w:sz w:val="24"/>
                <w:szCs w:val="24"/>
              </w:rPr>
            </w:pPr>
            <w:r>
              <w:rPr>
                <w:sz w:val="24"/>
                <w:szCs w:val="24"/>
              </w:rPr>
              <w:t>90.6</w:t>
            </w:r>
          </w:p>
        </w:tc>
        <w:tc>
          <w:tcPr>
            <w:tcW w:w="879" w:type="dxa"/>
          </w:tcPr>
          <w:p w14:paraId="33F9E6A3" w14:textId="5F9665B6" w:rsidR="00C8449C" w:rsidRDefault="006D4042" w:rsidP="00CB0947">
            <w:pPr>
              <w:pStyle w:val="ListParagraph"/>
              <w:ind w:left="0"/>
              <w:rPr>
                <w:sz w:val="24"/>
                <w:szCs w:val="24"/>
              </w:rPr>
            </w:pPr>
            <w:r>
              <w:rPr>
                <w:sz w:val="24"/>
                <w:szCs w:val="24"/>
              </w:rPr>
              <w:t>40.8</w:t>
            </w:r>
          </w:p>
        </w:tc>
        <w:tc>
          <w:tcPr>
            <w:tcW w:w="889" w:type="dxa"/>
          </w:tcPr>
          <w:p w14:paraId="1511D728" w14:textId="001FDCEA" w:rsidR="00C8449C" w:rsidRDefault="006D4042" w:rsidP="00CB0947">
            <w:pPr>
              <w:pStyle w:val="ListParagraph"/>
              <w:ind w:left="0"/>
              <w:rPr>
                <w:sz w:val="24"/>
                <w:szCs w:val="24"/>
              </w:rPr>
            </w:pPr>
            <w:r>
              <w:rPr>
                <w:sz w:val="24"/>
                <w:szCs w:val="24"/>
              </w:rPr>
              <w:t>10.52</w:t>
            </w:r>
          </w:p>
        </w:tc>
        <w:tc>
          <w:tcPr>
            <w:tcW w:w="870" w:type="dxa"/>
          </w:tcPr>
          <w:p w14:paraId="6877C822" w14:textId="771681D5" w:rsidR="00C8449C" w:rsidRDefault="006D4042" w:rsidP="00CB0947">
            <w:pPr>
              <w:pStyle w:val="ListParagraph"/>
              <w:ind w:left="0"/>
              <w:rPr>
                <w:sz w:val="24"/>
                <w:szCs w:val="24"/>
              </w:rPr>
            </w:pPr>
            <w:r>
              <w:rPr>
                <w:sz w:val="24"/>
                <w:szCs w:val="24"/>
              </w:rPr>
              <w:t>163.2</w:t>
            </w:r>
          </w:p>
        </w:tc>
        <w:tc>
          <w:tcPr>
            <w:tcW w:w="886" w:type="dxa"/>
          </w:tcPr>
          <w:p w14:paraId="5645BFCE" w14:textId="4BE8BC8F" w:rsidR="00C8449C" w:rsidRDefault="001D5814" w:rsidP="00CB0947">
            <w:pPr>
              <w:pStyle w:val="ListParagraph"/>
              <w:ind w:left="0"/>
              <w:rPr>
                <w:sz w:val="24"/>
                <w:szCs w:val="24"/>
              </w:rPr>
            </w:pPr>
            <w:r>
              <w:rPr>
                <w:sz w:val="24"/>
                <w:szCs w:val="24"/>
              </w:rPr>
              <w:t>250,790</w:t>
            </w:r>
          </w:p>
        </w:tc>
        <w:tc>
          <w:tcPr>
            <w:tcW w:w="889" w:type="dxa"/>
          </w:tcPr>
          <w:p w14:paraId="4CDC1A8D" w14:textId="0E1AB03A" w:rsidR="00C8449C" w:rsidRDefault="001D5814" w:rsidP="00CB0947">
            <w:pPr>
              <w:pStyle w:val="ListParagraph"/>
              <w:ind w:left="0"/>
              <w:rPr>
                <w:sz w:val="24"/>
                <w:szCs w:val="24"/>
              </w:rPr>
            </w:pPr>
            <w:r>
              <w:rPr>
                <w:sz w:val="24"/>
                <w:szCs w:val="24"/>
              </w:rPr>
              <w:t>3.55</w:t>
            </w:r>
          </w:p>
        </w:tc>
        <w:tc>
          <w:tcPr>
            <w:tcW w:w="885" w:type="dxa"/>
          </w:tcPr>
          <w:p w14:paraId="449D6211" w14:textId="7F792608" w:rsidR="00C8449C" w:rsidRDefault="00377171" w:rsidP="00CB0947">
            <w:pPr>
              <w:pStyle w:val="ListParagraph"/>
              <w:ind w:left="0"/>
              <w:rPr>
                <w:sz w:val="24"/>
                <w:szCs w:val="24"/>
              </w:rPr>
            </w:pPr>
            <w:r>
              <w:rPr>
                <w:sz w:val="24"/>
                <w:szCs w:val="24"/>
              </w:rPr>
              <w:t>8.95</w:t>
            </w:r>
          </w:p>
        </w:tc>
      </w:tr>
    </w:tbl>
    <w:p w14:paraId="4D111BED" w14:textId="77777777" w:rsidR="00073EC7" w:rsidRDefault="00073EC7" w:rsidP="00CB0947">
      <w:pPr>
        <w:pStyle w:val="ListParagraph"/>
        <w:rPr>
          <w:sz w:val="24"/>
          <w:szCs w:val="24"/>
        </w:rPr>
      </w:pPr>
    </w:p>
    <w:p w14:paraId="513EDD2F" w14:textId="77777777" w:rsidR="00CB0947" w:rsidRPr="00CB0947" w:rsidRDefault="00CB0947" w:rsidP="00CB0947">
      <w:pPr>
        <w:pStyle w:val="ListParagraph"/>
        <w:rPr>
          <w:sz w:val="24"/>
          <w:szCs w:val="24"/>
        </w:rPr>
      </w:pPr>
      <w:r w:rsidRPr="00CB0947">
        <w:rPr>
          <w:sz w:val="24"/>
          <w:szCs w:val="24"/>
        </w:rPr>
        <w:t>PM = Particulate Matter PM10 = PM, 10 microns and smaller</w:t>
      </w:r>
    </w:p>
    <w:p w14:paraId="73B8401E" w14:textId="77777777" w:rsidR="00CB0947" w:rsidRPr="00CB0947" w:rsidRDefault="00CB0947" w:rsidP="00CB0947">
      <w:pPr>
        <w:pStyle w:val="ListParagraph"/>
        <w:rPr>
          <w:sz w:val="24"/>
          <w:szCs w:val="24"/>
        </w:rPr>
      </w:pPr>
      <w:r w:rsidRPr="00CB0947">
        <w:rPr>
          <w:sz w:val="24"/>
          <w:szCs w:val="24"/>
        </w:rPr>
        <w:t>PM2.5 = PM, 2.5 microns and smaller SO2 = Sulfur Dioxide</w:t>
      </w:r>
    </w:p>
    <w:p w14:paraId="7E80BC40" w14:textId="77777777" w:rsidR="00CB0947" w:rsidRPr="00CB0947" w:rsidRDefault="00CB0947" w:rsidP="00CB0947">
      <w:pPr>
        <w:pStyle w:val="ListParagraph"/>
        <w:rPr>
          <w:sz w:val="24"/>
          <w:szCs w:val="24"/>
        </w:rPr>
      </w:pPr>
      <w:r w:rsidRPr="00CB0947">
        <w:rPr>
          <w:sz w:val="24"/>
          <w:szCs w:val="24"/>
        </w:rPr>
        <w:t>NOx = Nitrogen Oxides VOCs = Volatile Organic Compounds</w:t>
      </w:r>
    </w:p>
    <w:p w14:paraId="2BC2DF1C" w14:textId="77777777" w:rsidR="00CB0947" w:rsidRPr="00CB0947" w:rsidRDefault="00CB0947" w:rsidP="00CB0947">
      <w:pPr>
        <w:pStyle w:val="ListParagraph"/>
        <w:rPr>
          <w:sz w:val="24"/>
          <w:szCs w:val="24"/>
        </w:rPr>
      </w:pPr>
      <w:r w:rsidRPr="00CB0947">
        <w:rPr>
          <w:sz w:val="24"/>
          <w:szCs w:val="24"/>
        </w:rPr>
        <w:t>CO = Carbon Monoxide CO2e = Carbon Dioxide Equivalents as defined in Minn. R. 7007.0100</w:t>
      </w:r>
    </w:p>
    <w:p w14:paraId="3432FD95" w14:textId="6DF5F263" w:rsidR="00932984" w:rsidRDefault="00CB0947" w:rsidP="00CB0947">
      <w:pPr>
        <w:pStyle w:val="ListParagraph"/>
        <w:rPr>
          <w:sz w:val="24"/>
          <w:szCs w:val="24"/>
        </w:rPr>
      </w:pPr>
      <w:r w:rsidRPr="00CB0947">
        <w:rPr>
          <w:sz w:val="24"/>
          <w:szCs w:val="24"/>
        </w:rPr>
        <w:t>HAP = Hazardous Air Pollutant * Single HAP = Metallic HAPs</w:t>
      </w:r>
    </w:p>
    <w:p w14:paraId="67A6D177" w14:textId="77777777" w:rsidR="00143683" w:rsidRDefault="00143683" w:rsidP="00143683">
      <w:pPr>
        <w:pStyle w:val="ListParagraph"/>
        <w:rPr>
          <w:sz w:val="24"/>
          <w:szCs w:val="24"/>
        </w:rPr>
      </w:pPr>
    </w:p>
    <w:p w14:paraId="56E06BD4" w14:textId="168EE19C" w:rsidR="00A47F0B" w:rsidRDefault="003748B6" w:rsidP="00580E19">
      <w:pPr>
        <w:pStyle w:val="ListParagraph"/>
        <w:rPr>
          <w:sz w:val="24"/>
          <w:szCs w:val="24"/>
        </w:rPr>
      </w:pPr>
      <w:r>
        <w:rPr>
          <w:sz w:val="24"/>
          <w:szCs w:val="24"/>
        </w:rPr>
        <w:t xml:space="preserve">The table above illustrates the magnitude </w:t>
      </w:r>
      <w:r w:rsidR="00FF2999">
        <w:rPr>
          <w:sz w:val="24"/>
          <w:szCs w:val="24"/>
        </w:rPr>
        <w:t>Pine Bend’s</w:t>
      </w:r>
      <w:r>
        <w:rPr>
          <w:sz w:val="24"/>
          <w:szCs w:val="24"/>
        </w:rPr>
        <w:t xml:space="preserve"> air emissions</w:t>
      </w:r>
      <w:r w:rsidR="00A47F0B">
        <w:rPr>
          <w:sz w:val="24"/>
          <w:szCs w:val="24"/>
        </w:rPr>
        <w:t xml:space="preserve"> based on incomplete data. Additional </w:t>
      </w:r>
      <w:r w:rsidR="00CC12D7" w:rsidRPr="00143683">
        <w:rPr>
          <w:sz w:val="24"/>
          <w:szCs w:val="24"/>
        </w:rPr>
        <w:t xml:space="preserve">information </w:t>
      </w:r>
      <w:r w:rsidR="00FF2999">
        <w:rPr>
          <w:sz w:val="24"/>
          <w:szCs w:val="24"/>
        </w:rPr>
        <w:t xml:space="preserve">is </w:t>
      </w:r>
      <w:r w:rsidR="003C6570">
        <w:rPr>
          <w:sz w:val="24"/>
          <w:szCs w:val="24"/>
        </w:rPr>
        <w:t xml:space="preserve">necessary to calculate </w:t>
      </w:r>
      <w:r w:rsidR="00BE6C3C">
        <w:rPr>
          <w:sz w:val="24"/>
          <w:szCs w:val="24"/>
        </w:rPr>
        <w:t>additional anticipated</w:t>
      </w:r>
      <w:r w:rsidR="00AD0F16">
        <w:rPr>
          <w:sz w:val="24"/>
          <w:szCs w:val="24"/>
        </w:rPr>
        <w:t xml:space="preserve"> </w:t>
      </w:r>
      <w:r w:rsidR="003C6570">
        <w:rPr>
          <w:sz w:val="24"/>
          <w:szCs w:val="24"/>
        </w:rPr>
        <w:t>air emissions</w:t>
      </w:r>
      <w:r w:rsidR="00E36E3D">
        <w:rPr>
          <w:sz w:val="24"/>
          <w:szCs w:val="24"/>
        </w:rPr>
        <w:t>.</w:t>
      </w:r>
      <w:r w:rsidR="00143683" w:rsidRPr="00143683">
        <w:rPr>
          <w:sz w:val="24"/>
          <w:szCs w:val="24"/>
        </w:rPr>
        <w:t xml:space="preserve"> </w:t>
      </w:r>
    </w:p>
    <w:p w14:paraId="52C25AF9" w14:textId="77777777" w:rsidR="00A47F0B" w:rsidRDefault="00A47F0B" w:rsidP="00580E19">
      <w:pPr>
        <w:pStyle w:val="ListParagraph"/>
        <w:rPr>
          <w:sz w:val="24"/>
          <w:szCs w:val="24"/>
        </w:rPr>
      </w:pPr>
    </w:p>
    <w:p w14:paraId="21AA1961" w14:textId="0D9E6F6F" w:rsidR="00580E19" w:rsidRDefault="00E4051B" w:rsidP="000B2076">
      <w:pPr>
        <w:pStyle w:val="ListParagraph"/>
        <w:rPr>
          <w:sz w:val="24"/>
          <w:szCs w:val="24"/>
        </w:rPr>
      </w:pPr>
      <w:r w:rsidRPr="00143683">
        <w:rPr>
          <w:sz w:val="24"/>
          <w:szCs w:val="24"/>
        </w:rPr>
        <w:t xml:space="preserve">In </w:t>
      </w:r>
      <w:r w:rsidR="000B2076">
        <w:rPr>
          <w:sz w:val="24"/>
          <w:szCs w:val="24"/>
        </w:rPr>
        <w:t xml:space="preserve">recent years fires at MMSW facilities, including landfills, have increased significantly. </w:t>
      </w:r>
      <w:r w:rsidR="00BE6C3C">
        <w:rPr>
          <w:sz w:val="24"/>
          <w:szCs w:val="24"/>
        </w:rPr>
        <w:t xml:space="preserve">A fire at the Rice County Landfill (SW-123) recently raged for almost a week. </w:t>
      </w:r>
      <w:r w:rsidR="000B2076">
        <w:rPr>
          <w:sz w:val="24"/>
          <w:szCs w:val="24"/>
        </w:rPr>
        <w:t xml:space="preserve">The draft air permit and EAW are silent </w:t>
      </w:r>
      <w:r w:rsidR="00BE6C3C">
        <w:rPr>
          <w:sz w:val="24"/>
          <w:szCs w:val="24"/>
        </w:rPr>
        <w:t>regarding</w:t>
      </w:r>
      <w:r w:rsidR="000B2076">
        <w:rPr>
          <w:sz w:val="24"/>
          <w:szCs w:val="24"/>
        </w:rPr>
        <w:t xml:space="preserve"> air emissions due to </w:t>
      </w:r>
      <w:r w:rsidR="00BE6C3C">
        <w:rPr>
          <w:sz w:val="24"/>
          <w:szCs w:val="24"/>
        </w:rPr>
        <w:t xml:space="preserve">waste </w:t>
      </w:r>
      <w:r w:rsidR="000B2076">
        <w:rPr>
          <w:sz w:val="24"/>
          <w:szCs w:val="24"/>
        </w:rPr>
        <w:t xml:space="preserve">fires at the Pine Bend Landfill. </w:t>
      </w:r>
      <w:r w:rsidR="00BE6C3C">
        <w:rPr>
          <w:sz w:val="24"/>
          <w:szCs w:val="24"/>
        </w:rPr>
        <w:t xml:space="preserve">A review of publicly available data indicates alternative methods to estimate air emissions from landfill fires. Therefore, this data is available. </w:t>
      </w:r>
      <w:r w:rsidR="000B2076">
        <w:rPr>
          <w:sz w:val="24"/>
          <w:szCs w:val="24"/>
        </w:rPr>
        <w:t xml:space="preserve">If the facility has had fires, then that needs to be stated and the estimated </w:t>
      </w:r>
      <w:r w:rsidR="00BE6C3C">
        <w:rPr>
          <w:sz w:val="24"/>
          <w:szCs w:val="24"/>
        </w:rPr>
        <w:t xml:space="preserve">air emission </w:t>
      </w:r>
      <w:r w:rsidR="000B2076">
        <w:rPr>
          <w:sz w:val="24"/>
          <w:szCs w:val="24"/>
        </w:rPr>
        <w:t xml:space="preserve">impacts outlined. If the facility has not had a fire, which is unlikely, then the </w:t>
      </w:r>
      <w:r w:rsidR="002C0311">
        <w:rPr>
          <w:sz w:val="24"/>
          <w:szCs w:val="24"/>
        </w:rPr>
        <w:t>measures to mitigate fires in the future need to be outlined. Given the increased risks of fires caused be electronics, information about fires appears to be necessary.</w:t>
      </w:r>
    </w:p>
    <w:p w14:paraId="292888F5" w14:textId="77777777" w:rsidR="00580E19" w:rsidRDefault="00580E19" w:rsidP="00580E19">
      <w:pPr>
        <w:pStyle w:val="ListParagraph"/>
        <w:rPr>
          <w:sz w:val="24"/>
          <w:szCs w:val="24"/>
        </w:rPr>
      </w:pPr>
    </w:p>
    <w:p w14:paraId="3719B18E" w14:textId="1633B74F" w:rsidR="00986CAC" w:rsidRDefault="00DA6742" w:rsidP="00986CAC">
      <w:pPr>
        <w:pStyle w:val="ListParagraph"/>
        <w:rPr>
          <w:sz w:val="24"/>
          <w:szCs w:val="24"/>
        </w:rPr>
      </w:pPr>
      <w:r w:rsidRPr="00580E19">
        <w:rPr>
          <w:sz w:val="24"/>
          <w:szCs w:val="24"/>
        </w:rPr>
        <w:t>A</w:t>
      </w:r>
      <w:r w:rsidR="002C0311">
        <w:rPr>
          <w:sz w:val="24"/>
          <w:szCs w:val="24"/>
        </w:rPr>
        <w:t>gain, a</w:t>
      </w:r>
      <w:r w:rsidRPr="00580E19">
        <w:rPr>
          <w:sz w:val="24"/>
          <w:szCs w:val="24"/>
        </w:rPr>
        <w:t xml:space="preserve">ctual or more accurate </w:t>
      </w:r>
      <w:r w:rsidR="002C0311">
        <w:rPr>
          <w:sz w:val="24"/>
          <w:szCs w:val="24"/>
        </w:rPr>
        <w:t>air</w:t>
      </w:r>
      <w:r w:rsidRPr="00580E19">
        <w:rPr>
          <w:sz w:val="24"/>
          <w:szCs w:val="24"/>
        </w:rPr>
        <w:t xml:space="preserve"> </w:t>
      </w:r>
      <w:r w:rsidR="001D1CBB" w:rsidRPr="00580E19">
        <w:rPr>
          <w:sz w:val="24"/>
          <w:szCs w:val="24"/>
        </w:rPr>
        <w:t xml:space="preserve">emission </w:t>
      </w:r>
      <w:r w:rsidRPr="00580E19">
        <w:rPr>
          <w:sz w:val="24"/>
          <w:szCs w:val="24"/>
        </w:rPr>
        <w:t xml:space="preserve">data </w:t>
      </w:r>
      <w:r w:rsidR="002C0311">
        <w:rPr>
          <w:sz w:val="24"/>
          <w:szCs w:val="24"/>
        </w:rPr>
        <w:t xml:space="preserve">from fires </w:t>
      </w:r>
      <w:r w:rsidRPr="00580E19">
        <w:rPr>
          <w:sz w:val="24"/>
          <w:szCs w:val="24"/>
        </w:rPr>
        <w:t xml:space="preserve">will allow for accurate calculations of </w:t>
      </w:r>
      <w:r w:rsidR="002C0311">
        <w:rPr>
          <w:sz w:val="24"/>
          <w:szCs w:val="24"/>
        </w:rPr>
        <w:t xml:space="preserve">GHG, </w:t>
      </w:r>
      <w:r w:rsidRPr="00580E19">
        <w:rPr>
          <w:sz w:val="24"/>
          <w:szCs w:val="24"/>
        </w:rPr>
        <w:t>VOC and air toxic emissions</w:t>
      </w:r>
      <w:r w:rsidR="002C0311">
        <w:rPr>
          <w:sz w:val="24"/>
          <w:szCs w:val="24"/>
        </w:rPr>
        <w:t>.</w:t>
      </w:r>
      <w:r w:rsidRPr="00580E19">
        <w:rPr>
          <w:sz w:val="24"/>
          <w:szCs w:val="24"/>
        </w:rPr>
        <w:t xml:space="preserve"> </w:t>
      </w:r>
      <w:r w:rsidR="00020061" w:rsidRPr="00580E19">
        <w:rPr>
          <w:sz w:val="24"/>
          <w:szCs w:val="24"/>
        </w:rPr>
        <w:t xml:space="preserve">Only </w:t>
      </w:r>
      <w:r w:rsidR="00F35AB1">
        <w:rPr>
          <w:sz w:val="24"/>
          <w:szCs w:val="24"/>
        </w:rPr>
        <w:t xml:space="preserve">after </w:t>
      </w:r>
      <w:r w:rsidR="006A6E2A">
        <w:rPr>
          <w:sz w:val="24"/>
          <w:szCs w:val="24"/>
        </w:rPr>
        <w:t xml:space="preserve">gathering </w:t>
      </w:r>
      <w:r w:rsidR="00F35AB1">
        <w:rPr>
          <w:sz w:val="24"/>
          <w:szCs w:val="24"/>
        </w:rPr>
        <w:t xml:space="preserve">accurate </w:t>
      </w:r>
      <w:r w:rsidR="00063D67">
        <w:rPr>
          <w:sz w:val="24"/>
          <w:szCs w:val="24"/>
        </w:rPr>
        <w:t>data</w:t>
      </w:r>
      <w:r w:rsidR="00F35AB1">
        <w:rPr>
          <w:sz w:val="24"/>
          <w:szCs w:val="24"/>
        </w:rPr>
        <w:t xml:space="preserve"> </w:t>
      </w:r>
      <w:r w:rsidR="00020061" w:rsidRPr="00580E19">
        <w:rPr>
          <w:sz w:val="24"/>
          <w:szCs w:val="24"/>
        </w:rPr>
        <w:t xml:space="preserve">can MPCA apply this information to </w:t>
      </w:r>
      <w:r w:rsidR="00063D67">
        <w:rPr>
          <w:sz w:val="24"/>
          <w:szCs w:val="24"/>
        </w:rPr>
        <w:t xml:space="preserve">health risk calculations, </w:t>
      </w:r>
      <w:r w:rsidR="00020061" w:rsidRPr="00580E19">
        <w:rPr>
          <w:sz w:val="24"/>
          <w:szCs w:val="24"/>
        </w:rPr>
        <w:t xml:space="preserve">anticipated </w:t>
      </w:r>
      <w:r w:rsidR="00285E8B">
        <w:rPr>
          <w:sz w:val="24"/>
          <w:szCs w:val="24"/>
        </w:rPr>
        <w:t xml:space="preserve">overall GHG impacts, </w:t>
      </w:r>
      <w:r w:rsidR="00020061" w:rsidRPr="00580E19">
        <w:rPr>
          <w:sz w:val="24"/>
          <w:szCs w:val="24"/>
        </w:rPr>
        <w:t xml:space="preserve">and as well as offering </w:t>
      </w:r>
      <w:r w:rsidR="00285E8B">
        <w:rPr>
          <w:sz w:val="24"/>
          <w:szCs w:val="24"/>
        </w:rPr>
        <w:t>insight</w:t>
      </w:r>
      <w:r w:rsidR="00664BED">
        <w:rPr>
          <w:sz w:val="24"/>
          <w:szCs w:val="24"/>
        </w:rPr>
        <w:t xml:space="preserve"> into potential </w:t>
      </w:r>
      <w:r w:rsidR="00020061" w:rsidRPr="00580E19">
        <w:rPr>
          <w:sz w:val="24"/>
          <w:szCs w:val="24"/>
        </w:rPr>
        <w:t>mitigative measures. Permit approval without a clear</w:t>
      </w:r>
      <w:r w:rsidR="00664BED">
        <w:rPr>
          <w:sz w:val="24"/>
          <w:szCs w:val="24"/>
        </w:rPr>
        <w:t xml:space="preserve"> data set</w:t>
      </w:r>
      <w:r w:rsidR="00020061" w:rsidRPr="00580E19">
        <w:rPr>
          <w:sz w:val="24"/>
          <w:szCs w:val="24"/>
        </w:rPr>
        <w:t xml:space="preserve"> is unacceptable. </w:t>
      </w:r>
      <w:r w:rsidRPr="00580E19">
        <w:rPr>
          <w:sz w:val="24"/>
          <w:szCs w:val="24"/>
        </w:rPr>
        <w:t>Accurate data will inform both the draft EAW (or EIS)</w:t>
      </w:r>
      <w:r w:rsidR="000E2B10">
        <w:rPr>
          <w:sz w:val="24"/>
          <w:szCs w:val="24"/>
        </w:rPr>
        <w:t>, the draft solid waste,</w:t>
      </w:r>
      <w:r w:rsidRPr="00580E19">
        <w:rPr>
          <w:sz w:val="24"/>
          <w:szCs w:val="24"/>
        </w:rPr>
        <w:t xml:space="preserve"> and the draft Air Emissions permit.</w:t>
      </w:r>
    </w:p>
    <w:p w14:paraId="590C0639" w14:textId="3D579F36" w:rsidR="00FC091F" w:rsidRDefault="00FC091F" w:rsidP="00986CAC">
      <w:pPr>
        <w:pStyle w:val="ListParagraph"/>
        <w:rPr>
          <w:sz w:val="24"/>
          <w:szCs w:val="24"/>
        </w:rPr>
      </w:pPr>
    </w:p>
    <w:p w14:paraId="6583A0AC" w14:textId="3CB2615A" w:rsidR="00FC091F" w:rsidRDefault="00FC091F" w:rsidP="00986CAC">
      <w:pPr>
        <w:pStyle w:val="ListParagraph"/>
        <w:rPr>
          <w:sz w:val="24"/>
          <w:szCs w:val="24"/>
        </w:rPr>
      </w:pPr>
      <w:r>
        <w:rPr>
          <w:sz w:val="24"/>
          <w:szCs w:val="24"/>
        </w:rPr>
        <w:t xml:space="preserve">If the facility or firefighters that access the site </w:t>
      </w:r>
      <w:r w:rsidR="00BE6C3C">
        <w:rPr>
          <w:sz w:val="24"/>
          <w:szCs w:val="24"/>
        </w:rPr>
        <w:t xml:space="preserve">to fight the fire </w:t>
      </w:r>
      <w:r>
        <w:rPr>
          <w:sz w:val="24"/>
          <w:szCs w:val="24"/>
        </w:rPr>
        <w:t xml:space="preserve">uses PFAS </w:t>
      </w:r>
      <w:r w:rsidR="00BE6C3C">
        <w:rPr>
          <w:sz w:val="24"/>
          <w:szCs w:val="24"/>
        </w:rPr>
        <w:t>containing firefighting</w:t>
      </w:r>
      <w:r>
        <w:rPr>
          <w:sz w:val="24"/>
          <w:szCs w:val="24"/>
        </w:rPr>
        <w:t xml:space="preserve"> foams, then this aspect of fire related impacts need to be outlined.</w:t>
      </w:r>
      <w:r w:rsidR="00BE6C3C">
        <w:rPr>
          <w:sz w:val="24"/>
          <w:szCs w:val="24"/>
        </w:rPr>
        <w:t xml:space="preserve"> Or if the facility uses leachate to fight fires, then this fire related impact needs to be outlined in the draft air permit and EAW.</w:t>
      </w:r>
    </w:p>
    <w:p w14:paraId="52C06C11" w14:textId="77777777" w:rsidR="00986CAC" w:rsidRDefault="00986CAC" w:rsidP="00986CAC">
      <w:pPr>
        <w:pStyle w:val="ListParagraph"/>
        <w:rPr>
          <w:sz w:val="24"/>
          <w:szCs w:val="24"/>
        </w:rPr>
      </w:pPr>
    </w:p>
    <w:p w14:paraId="3F7AD380" w14:textId="7FC08B8D" w:rsidR="00986CAC" w:rsidRDefault="000447A3" w:rsidP="00986CAC">
      <w:pPr>
        <w:pStyle w:val="ListParagraph"/>
        <w:numPr>
          <w:ilvl w:val="0"/>
          <w:numId w:val="4"/>
        </w:numPr>
        <w:rPr>
          <w:sz w:val="24"/>
          <w:szCs w:val="24"/>
        </w:rPr>
      </w:pPr>
      <w:r w:rsidRPr="00986CAC">
        <w:rPr>
          <w:sz w:val="24"/>
          <w:szCs w:val="24"/>
        </w:rPr>
        <w:t xml:space="preserve">Leachate is the facility’s primary </w:t>
      </w:r>
      <w:r w:rsidR="00020061" w:rsidRPr="00986CAC">
        <w:rPr>
          <w:sz w:val="24"/>
          <w:szCs w:val="24"/>
        </w:rPr>
        <w:t xml:space="preserve">water and land </w:t>
      </w:r>
      <w:r w:rsidRPr="00986CAC">
        <w:rPr>
          <w:sz w:val="24"/>
          <w:szCs w:val="24"/>
        </w:rPr>
        <w:t xml:space="preserve">pollutant. </w:t>
      </w:r>
      <w:r w:rsidR="00020061" w:rsidRPr="00986CAC">
        <w:rPr>
          <w:sz w:val="24"/>
          <w:szCs w:val="24"/>
        </w:rPr>
        <w:t>The a</w:t>
      </w:r>
      <w:r w:rsidR="00D07DFE" w:rsidRPr="00986CAC">
        <w:rPr>
          <w:sz w:val="24"/>
          <w:szCs w:val="24"/>
        </w:rPr>
        <w:t xml:space="preserve">nalysis of </w:t>
      </w:r>
      <w:r w:rsidR="00DA6742" w:rsidRPr="00986CAC">
        <w:rPr>
          <w:sz w:val="24"/>
          <w:szCs w:val="24"/>
        </w:rPr>
        <w:t xml:space="preserve">leachate impacts </w:t>
      </w:r>
      <w:r w:rsidR="00020061" w:rsidRPr="00986CAC">
        <w:rPr>
          <w:sz w:val="24"/>
          <w:szCs w:val="24"/>
        </w:rPr>
        <w:t xml:space="preserve">in the EAW </w:t>
      </w:r>
      <w:r w:rsidR="00DA6742" w:rsidRPr="00986CAC">
        <w:rPr>
          <w:sz w:val="24"/>
          <w:szCs w:val="24"/>
        </w:rPr>
        <w:t>is wholly inadequate and incomplete</w:t>
      </w:r>
      <w:r w:rsidR="00545153">
        <w:rPr>
          <w:sz w:val="24"/>
          <w:szCs w:val="24"/>
        </w:rPr>
        <w:t xml:space="preserve">. </w:t>
      </w:r>
      <w:r w:rsidR="002C0311">
        <w:rPr>
          <w:sz w:val="24"/>
          <w:szCs w:val="24"/>
        </w:rPr>
        <w:t xml:space="preserve">If the facility uses leachate as part of </w:t>
      </w:r>
      <w:r w:rsidR="00E50F77">
        <w:rPr>
          <w:sz w:val="24"/>
          <w:szCs w:val="24"/>
        </w:rPr>
        <w:t xml:space="preserve">an </w:t>
      </w:r>
      <w:r w:rsidR="002C0311">
        <w:rPr>
          <w:sz w:val="24"/>
          <w:szCs w:val="24"/>
        </w:rPr>
        <w:t>alternative method of cover at the working face</w:t>
      </w:r>
      <w:r w:rsidR="00E50F77">
        <w:rPr>
          <w:sz w:val="24"/>
          <w:szCs w:val="24"/>
        </w:rPr>
        <w:t xml:space="preserve"> (such as making a foam covering)</w:t>
      </w:r>
      <w:r w:rsidR="002C0311">
        <w:rPr>
          <w:sz w:val="24"/>
          <w:szCs w:val="24"/>
        </w:rPr>
        <w:t>, then volatile chemicals may be released to the environment</w:t>
      </w:r>
      <w:r w:rsidR="00E50F77">
        <w:rPr>
          <w:sz w:val="24"/>
          <w:szCs w:val="24"/>
        </w:rPr>
        <w:t xml:space="preserve"> be the leachate</w:t>
      </w:r>
      <w:r w:rsidR="00020061" w:rsidRPr="00986CAC">
        <w:rPr>
          <w:sz w:val="24"/>
          <w:szCs w:val="24"/>
        </w:rPr>
        <w:t>.</w:t>
      </w:r>
      <w:r w:rsidR="00DA6742" w:rsidRPr="00986CAC">
        <w:rPr>
          <w:sz w:val="24"/>
          <w:szCs w:val="24"/>
        </w:rPr>
        <w:t xml:space="preserve"> </w:t>
      </w:r>
      <w:r w:rsidR="002C0311">
        <w:rPr>
          <w:sz w:val="24"/>
          <w:szCs w:val="24"/>
        </w:rPr>
        <w:t>This pathway for the release of pollution to the air is not described in the draft EAW or Air permit.</w:t>
      </w:r>
      <w:r w:rsidR="00BE6C3C">
        <w:rPr>
          <w:sz w:val="24"/>
          <w:szCs w:val="24"/>
        </w:rPr>
        <w:t xml:space="preserve"> </w:t>
      </w:r>
    </w:p>
    <w:p w14:paraId="289C545B" w14:textId="77777777" w:rsidR="00986CAC" w:rsidRDefault="00986CAC" w:rsidP="00986CAC">
      <w:pPr>
        <w:pStyle w:val="ListParagraph"/>
        <w:rPr>
          <w:sz w:val="24"/>
          <w:szCs w:val="24"/>
        </w:rPr>
      </w:pPr>
    </w:p>
    <w:p w14:paraId="781434C6" w14:textId="7AB2FC76" w:rsidR="00986CAC" w:rsidRDefault="001D1CBB" w:rsidP="00986CAC">
      <w:pPr>
        <w:pStyle w:val="ListParagraph"/>
        <w:rPr>
          <w:sz w:val="24"/>
          <w:szCs w:val="24"/>
        </w:rPr>
      </w:pPr>
      <w:r w:rsidRPr="00986CAC">
        <w:rPr>
          <w:sz w:val="24"/>
          <w:szCs w:val="24"/>
        </w:rPr>
        <w:t>Allied reported</w:t>
      </w:r>
      <w:r w:rsidR="002152EB" w:rsidRPr="00986CAC">
        <w:rPr>
          <w:sz w:val="24"/>
          <w:szCs w:val="24"/>
        </w:rPr>
        <w:t xml:space="preserve"> that</w:t>
      </w:r>
      <w:r w:rsidRPr="00986CAC">
        <w:rPr>
          <w:sz w:val="24"/>
          <w:szCs w:val="24"/>
        </w:rPr>
        <w:t xml:space="preserve"> over nine million (9,188,290 gl.) gallons of leachate were shipped by truck to the Metro Plant in 2021. </w:t>
      </w:r>
      <w:r w:rsidR="00481201" w:rsidRPr="00986CAC">
        <w:rPr>
          <w:sz w:val="24"/>
          <w:szCs w:val="24"/>
        </w:rPr>
        <w:t xml:space="preserve">This volume </w:t>
      </w:r>
      <w:r w:rsidR="002C0311">
        <w:rPr>
          <w:sz w:val="24"/>
          <w:szCs w:val="24"/>
        </w:rPr>
        <w:t xml:space="preserve">may not account for leachate used at the facility for various </w:t>
      </w:r>
      <w:r w:rsidR="00E50F77">
        <w:rPr>
          <w:sz w:val="24"/>
          <w:szCs w:val="24"/>
        </w:rPr>
        <w:t xml:space="preserve">other </w:t>
      </w:r>
      <w:r w:rsidR="002C0311">
        <w:rPr>
          <w:sz w:val="24"/>
          <w:szCs w:val="24"/>
        </w:rPr>
        <w:t>purposes including alternative cover foams.</w:t>
      </w:r>
      <w:r w:rsidRPr="00986CAC">
        <w:rPr>
          <w:sz w:val="24"/>
          <w:szCs w:val="24"/>
        </w:rPr>
        <w:t xml:space="preserve"> </w:t>
      </w:r>
      <w:r w:rsidR="002C0311">
        <w:rPr>
          <w:sz w:val="24"/>
          <w:szCs w:val="24"/>
        </w:rPr>
        <w:t xml:space="preserve">If </w:t>
      </w:r>
      <w:r w:rsidR="00FC091F">
        <w:rPr>
          <w:sz w:val="24"/>
          <w:szCs w:val="24"/>
        </w:rPr>
        <w:t>leachate is used, then the EAW should evaluate alternative that may release less pollution. This may necessitate recalculating leachate generation</w:t>
      </w:r>
      <w:r w:rsidR="00E50F77">
        <w:rPr>
          <w:sz w:val="24"/>
          <w:szCs w:val="24"/>
        </w:rPr>
        <w:t>, discharge to the Mississippi River, evaporation, recirculation,</w:t>
      </w:r>
      <w:r w:rsidR="00FC091F">
        <w:rPr>
          <w:sz w:val="24"/>
          <w:szCs w:val="24"/>
        </w:rPr>
        <w:t xml:space="preserve"> and air emissions.</w:t>
      </w:r>
    </w:p>
    <w:p w14:paraId="4E8BEC64" w14:textId="77777777" w:rsidR="00986CAC" w:rsidRDefault="00986CAC" w:rsidP="00986CAC">
      <w:pPr>
        <w:pStyle w:val="ListParagraph"/>
        <w:rPr>
          <w:sz w:val="24"/>
          <w:szCs w:val="24"/>
        </w:rPr>
      </w:pPr>
    </w:p>
    <w:p w14:paraId="4E630F98" w14:textId="2C090963" w:rsidR="008F28F5" w:rsidRPr="00986CAC" w:rsidRDefault="00FA154E" w:rsidP="00986CAC">
      <w:pPr>
        <w:pStyle w:val="ListParagraph"/>
        <w:rPr>
          <w:sz w:val="24"/>
          <w:szCs w:val="24"/>
        </w:rPr>
      </w:pPr>
      <w:r w:rsidRPr="00986CAC">
        <w:rPr>
          <w:sz w:val="24"/>
          <w:szCs w:val="24"/>
        </w:rPr>
        <w:t xml:space="preserve">The </w:t>
      </w:r>
      <w:r w:rsidR="001D1CBB" w:rsidRPr="00986CAC">
        <w:rPr>
          <w:sz w:val="24"/>
          <w:szCs w:val="24"/>
        </w:rPr>
        <w:t>U</w:t>
      </w:r>
      <w:r w:rsidRPr="00986CAC">
        <w:rPr>
          <w:sz w:val="24"/>
          <w:szCs w:val="24"/>
        </w:rPr>
        <w:t>.</w:t>
      </w:r>
      <w:r w:rsidR="001D1CBB" w:rsidRPr="00986CAC">
        <w:rPr>
          <w:sz w:val="24"/>
          <w:szCs w:val="24"/>
        </w:rPr>
        <w:t>S</w:t>
      </w:r>
      <w:r w:rsidRPr="00986CAC">
        <w:rPr>
          <w:sz w:val="24"/>
          <w:szCs w:val="24"/>
        </w:rPr>
        <w:t>.</w:t>
      </w:r>
      <w:r w:rsidR="001D1CBB" w:rsidRPr="00986CAC">
        <w:rPr>
          <w:sz w:val="24"/>
          <w:szCs w:val="24"/>
        </w:rPr>
        <w:t xml:space="preserve"> </w:t>
      </w:r>
      <w:r w:rsidR="00DA6742" w:rsidRPr="00986CAC">
        <w:rPr>
          <w:sz w:val="24"/>
          <w:szCs w:val="24"/>
        </w:rPr>
        <w:t xml:space="preserve">EPA </w:t>
      </w:r>
      <w:r w:rsidR="00814FC0" w:rsidRPr="00986CAC">
        <w:rPr>
          <w:sz w:val="24"/>
          <w:szCs w:val="24"/>
        </w:rPr>
        <w:t xml:space="preserve">is examining whether </w:t>
      </w:r>
      <w:r w:rsidR="009978B1">
        <w:rPr>
          <w:sz w:val="24"/>
          <w:szCs w:val="24"/>
        </w:rPr>
        <w:t xml:space="preserve">federal rules should require </w:t>
      </w:r>
      <w:r w:rsidR="00DA6742" w:rsidRPr="00986CAC">
        <w:rPr>
          <w:sz w:val="24"/>
          <w:szCs w:val="24"/>
        </w:rPr>
        <w:t>landfill leachate</w:t>
      </w:r>
      <w:r w:rsidR="00814FC0" w:rsidRPr="00986CAC">
        <w:rPr>
          <w:sz w:val="24"/>
          <w:szCs w:val="24"/>
        </w:rPr>
        <w:t xml:space="preserve"> </w:t>
      </w:r>
      <w:r w:rsidR="00DA6742" w:rsidRPr="00986CAC">
        <w:rPr>
          <w:sz w:val="24"/>
          <w:szCs w:val="24"/>
        </w:rPr>
        <w:t xml:space="preserve">be pre-treated to remove </w:t>
      </w:r>
      <w:r w:rsidR="00481201" w:rsidRPr="00986CAC">
        <w:rPr>
          <w:sz w:val="24"/>
          <w:szCs w:val="24"/>
        </w:rPr>
        <w:t xml:space="preserve">known and emerging </w:t>
      </w:r>
      <w:r w:rsidR="00DA6742" w:rsidRPr="00986CAC">
        <w:rPr>
          <w:sz w:val="24"/>
          <w:szCs w:val="24"/>
        </w:rPr>
        <w:t xml:space="preserve">toxic </w:t>
      </w:r>
      <w:r w:rsidR="001D1CBB" w:rsidRPr="00986CAC">
        <w:rPr>
          <w:sz w:val="24"/>
          <w:szCs w:val="24"/>
        </w:rPr>
        <w:t>chemicals</w:t>
      </w:r>
      <w:r w:rsidR="00DA6742" w:rsidRPr="00986CAC">
        <w:rPr>
          <w:sz w:val="24"/>
          <w:szCs w:val="24"/>
        </w:rPr>
        <w:t>. In 202</w:t>
      </w:r>
      <w:r w:rsidR="00855E0B">
        <w:rPr>
          <w:sz w:val="24"/>
          <w:szCs w:val="24"/>
        </w:rPr>
        <w:t>3</w:t>
      </w:r>
      <w:r w:rsidR="008D2616" w:rsidRPr="00986CAC">
        <w:rPr>
          <w:sz w:val="24"/>
          <w:szCs w:val="24"/>
        </w:rPr>
        <w:t>,</w:t>
      </w:r>
      <w:r w:rsidR="00DA6742" w:rsidRPr="00986CAC">
        <w:rPr>
          <w:sz w:val="24"/>
          <w:szCs w:val="24"/>
        </w:rPr>
        <w:t xml:space="preserve"> EPA began a new rulemaking process to </w:t>
      </w:r>
      <w:r w:rsidR="008D2616" w:rsidRPr="00986CAC">
        <w:rPr>
          <w:sz w:val="24"/>
          <w:szCs w:val="24"/>
        </w:rPr>
        <w:t xml:space="preserve">determine whether </w:t>
      </w:r>
      <w:r w:rsidR="00A8612D" w:rsidRPr="00986CAC">
        <w:rPr>
          <w:sz w:val="24"/>
          <w:szCs w:val="24"/>
        </w:rPr>
        <w:t xml:space="preserve">MSW landfill </w:t>
      </w:r>
      <w:r w:rsidR="00481201" w:rsidRPr="00986CAC">
        <w:rPr>
          <w:sz w:val="24"/>
          <w:szCs w:val="24"/>
        </w:rPr>
        <w:t xml:space="preserve">leachate </w:t>
      </w:r>
      <w:r w:rsidR="008D2616" w:rsidRPr="00986CAC">
        <w:rPr>
          <w:sz w:val="24"/>
          <w:szCs w:val="24"/>
        </w:rPr>
        <w:t xml:space="preserve">should be </w:t>
      </w:r>
      <w:r w:rsidR="00481201" w:rsidRPr="00986CAC">
        <w:rPr>
          <w:sz w:val="24"/>
          <w:szCs w:val="24"/>
        </w:rPr>
        <w:t>accept</w:t>
      </w:r>
      <w:r w:rsidR="008D2616" w:rsidRPr="00986CAC">
        <w:rPr>
          <w:sz w:val="24"/>
          <w:szCs w:val="24"/>
        </w:rPr>
        <w:t>ed</w:t>
      </w:r>
      <w:r w:rsidR="00481201" w:rsidRPr="00986CAC">
        <w:rPr>
          <w:sz w:val="24"/>
          <w:szCs w:val="24"/>
        </w:rPr>
        <w:t xml:space="preserve"> at </w:t>
      </w:r>
      <w:r w:rsidR="001D1CBB" w:rsidRPr="00986CAC">
        <w:rPr>
          <w:sz w:val="24"/>
          <w:szCs w:val="24"/>
        </w:rPr>
        <w:t>POTW</w:t>
      </w:r>
      <w:r w:rsidR="008D2616" w:rsidRPr="00986CAC">
        <w:rPr>
          <w:sz w:val="24"/>
          <w:szCs w:val="24"/>
        </w:rPr>
        <w:t xml:space="preserve">s given the </w:t>
      </w:r>
      <w:r w:rsidR="001D1CBB" w:rsidRPr="00986CAC">
        <w:rPr>
          <w:sz w:val="24"/>
          <w:szCs w:val="24"/>
        </w:rPr>
        <w:t>problems</w:t>
      </w:r>
      <w:r w:rsidR="008D2616" w:rsidRPr="00986CAC">
        <w:rPr>
          <w:sz w:val="24"/>
          <w:szCs w:val="24"/>
        </w:rPr>
        <w:t xml:space="preserve"> experienced with treating </w:t>
      </w:r>
      <w:r w:rsidR="00A8612D" w:rsidRPr="00986CAC">
        <w:rPr>
          <w:sz w:val="24"/>
          <w:szCs w:val="24"/>
        </w:rPr>
        <w:t xml:space="preserve">concentrated </w:t>
      </w:r>
      <w:r w:rsidR="001D1CBB" w:rsidRPr="00986CAC">
        <w:rPr>
          <w:sz w:val="24"/>
          <w:szCs w:val="24"/>
        </w:rPr>
        <w:t xml:space="preserve">toxic chemicals including high levels of PFOS in leachate.  </w:t>
      </w:r>
      <w:r w:rsidR="00904A1C" w:rsidRPr="00986CAC">
        <w:rPr>
          <w:sz w:val="24"/>
          <w:szCs w:val="24"/>
        </w:rPr>
        <w:t xml:space="preserve">The EAW should have discussed whether </w:t>
      </w:r>
      <w:r w:rsidR="001D1CBB" w:rsidRPr="00986CAC">
        <w:rPr>
          <w:sz w:val="24"/>
          <w:szCs w:val="24"/>
        </w:rPr>
        <w:t>large landfills like Pine Bend</w:t>
      </w:r>
      <w:r w:rsidR="00904A1C" w:rsidRPr="00986CAC">
        <w:rPr>
          <w:sz w:val="24"/>
          <w:szCs w:val="24"/>
        </w:rPr>
        <w:t xml:space="preserve"> will be able to comply with the likely new requirements</w:t>
      </w:r>
      <w:r w:rsidR="008F28F5" w:rsidRPr="00986CAC">
        <w:rPr>
          <w:sz w:val="24"/>
          <w:szCs w:val="24"/>
        </w:rPr>
        <w:t xml:space="preserve"> for treatment (most likely at the site) prior to disposal</w:t>
      </w:r>
      <w:r w:rsidR="00986CAC" w:rsidRPr="00986CAC">
        <w:rPr>
          <w:sz w:val="24"/>
          <w:szCs w:val="24"/>
        </w:rPr>
        <w:t xml:space="preserve">.  </w:t>
      </w:r>
      <w:r w:rsidR="001D1CBB" w:rsidRPr="00986CAC">
        <w:rPr>
          <w:sz w:val="24"/>
          <w:szCs w:val="24"/>
        </w:rPr>
        <w:t>Moreover, several other landfills also dispose of large quantities of leachate at the Metro Facility. The cumulative impact of tens of millions of gallons of leachate from just the three largest landfills in Dakota County, Waste Connections, Burnsville and Pine Bend needs to be examined in the EAW</w:t>
      </w:r>
      <w:r w:rsidR="00A8612D" w:rsidRPr="00986CAC">
        <w:rPr>
          <w:sz w:val="24"/>
          <w:szCs w:val="24"/>
        </w:rPr>
        <w:t xml:space="preserve"> </w:t>
      </w:r>
      <w:r w:rsidR="009978B1">
        <w:rPr>
          <w:sz w:val="24"/>
          <w:szCs w:val="24"/>
        </w:rPr>
        <w:t xml:space="preserve">in terms of their </w:t>
      </w:r>
      <w:r w:rsidR="00A8612D" w:rsidRPr="00986CAC">
        <w:rPr>
          <w:sz w:val="24"/>
          <w:szCs w:val="24"/>
        </w:rPr>
        <w:t>cumulative effect</w:t>
      </w:r>
      <w:r w:rsidR="009978B1">
        <w:rPr>
          <w:sz w:val="24"/>
          <w:szCs w:val="24"/>
        </w:rPr>
        <w:t>s</w:t>
      </w:r>
      <w:r w:rsidR="001D1CBB" w:rsidRPr="00986CAC">
        <w:rPr>
          <w:sz w:val="24"/>
          <w:szCs w:val="24"/>
        </w:rPr>
        <w:t>.</w:t>
      </w:r>
    </w:p>
    <w:p w14:paraId="7E540C17" w14:textId="716F1AC6" w:rsidR="00010CB8" w:rsidRPr="00552997" w:rsidRDefault="001D1CBB" w:rsidP="00912A69">
      <w:pPr>
        <w:pStyle w:val="ListParagraph"/>
        <w:ind w:left="1080"/>
        <w:rPr>
          <w:sz w:val="24"/>
          <w:szCs w:val="24"/>
        </w:rPr>
      </w:pPr>
      <w:r w:rsidRPr="00552997">
        <w:rPr>
          <w:sz w:val="24"/>
          <w:szCs w:val="24"/>
        </w:rPr>
        <w:t xml:space="preserve"> </w:t>
      </w:r>
    </w:p>
    <w:p w14:paraId="1FA4A357" w14:textId="30B76174" w:rsidR="000A7138" w:rsidRPr="00552997" w:rsidRDefault="00427339" w:rsidP="000A7138">
      <w:pPr>
        <w:rPr>
          <w:sz w:val="24"/>
          <w:szCs w:val="24"/>
        </w:rPr>
      </w:pPr>
      <w:r>
        <w:rPr>
          <w:sz w:val="24"/>
          <w:szCs w:val="24"/>
        </w:rPr>
        <w:t xml:space="preserve">In closing, I note </w:t>
      </w:r>
      <w:r w:rsidR="000B2076">
        <w:rPr>
          <w:sz w:val="24"/>
          <w:szCs w:val="24"/>
        </w:rPr>
        <w:t xml:space="preserve">again </w:t>
      </w:r>
      <w:r>
        <w:rPr>
          <w:sz w:val="24"/>
          <w:szCs w:val="24"/>
        </w:rPr>
        <w:t>that t</w:t>
      </w:r>
      <w:r w:rsidR="000A7138" w:rsidRPr="00552997">
        <w:rPr>
          <w:sz w:val="24"/>
          <w:szCs w:val="24"/>
        </w:rPr>
        <w:t xml:space="preserve">he EAW </w:t>
      </w:r>
      <w:r w:rsidR="00986CAC">
        <w:rPr>
          <w:sz w:val="24"/>
          <w:szCs w:val="24"/>
        </w:rPr>
        <w:t>i</w:t>
      </w:r>
      <w:r w:rsidR="000A7138" w:rsidRPr="00552997">
        <w:rPr>
          <w:sz w:val="24"/>
          <w:szCs w:val="24"/>
        </w:rPr>
        <w:t xml:space="preserve">ndicated an EIS was completed for the Pine Bend Landfill in 1980. That is </w:t>
      </w:r>
      <w:r w:rsidR="0051332B" w:rsidRPr="00552997">
        <w:rPr>
          <w:sz w:val="24"/>
          <w:szCs w:val="24"/>
        </w:rPr>
        <w:t xml:space="preserve">the same </w:t>
      </w:r>
      <w:r w:rsidR="000A7138" w:rsidRPr="00552997">
        <w:rPr>
          <w:sz w:val="24"/>
          <w:szCs w:val="24"/>
        </w:rPr>
        <w:t>year the Waste Management Act (Chapter 115A) was passed into law and the Metropolitan Landfill Abatement Act was first implemented. In 1980</w:t>
      </w:r>
      <w:r>
        <w:rPr>
          <w:sz w:val="24"/>
          <w:szCs w:val="24"/>
        </w:rPr>
        <w:t>,</w:t>
      </w:r>
      <w:r w:rsidR="000A7138" w:rsidRPr="00552997">
        <w:rPr>
          <w:sz w:val="24"/>
          <w:szCs w:val="24"/>
        </w:rPr>
        <w:t xml:space="preserve"> landfills were not lined </w:t>
      </w:r>
      <w:r w:rsidR="00316182">
        <w:rPr>
          <w:sz w:val="24"/>
          <w:szCs w:val="24"/>
        </w:rPr>
        <w:t xml:space="preserve">in 1980 </w:t>
      </w:r>
      <w:r w:rsidR="000A7138" w:rsidRPr="00552997">
        <w:rPr>
          <w:sz w:val="24"/>
          <w:szCs w:val="24"/>
        </w:rPr>
        <w:t xml:space="preserve">and MPCA did not adopt </w:t>
      </w:r>
      <w:r w:rsidR="00316182">
        <w:rPr>
          <w:sz w:val="24"/>
          <w:szCs w:val="24"/>
        </w:rPr>
        <w:t xml:space="preserve">landfill </w:t>
      </w:r>
      <w:r w:rsidR="000A7138" w:rsidRPr="00552997">
        <w:rPr>
          <w:sz w:val="24"/>
          <w:szCs w:val="24"/>
        </w:rPr>
        <w:t xml:space="preserve">rules until 1987. </w:t>
      </w:r>
      <w:r>
        <w:rPr>
          <w:sz w:val="24"/>
          <w:szCs w:val="24"/>
        </w:rPr>
        <w:t xml:space="preserve"> Since the</w:t>
      </w:r>
      <w:r w:rsidR="00316182">
        <w:rPr>
          <w:sz w:val="24"/>
          <w:szCs w:val="24"/>
        </w:rPr>
        <w:t>n</w:t>
      </w:r>
      <w:r>
        <w:rPr>
          <w:sz w:val="24"/>
          <w:szCs w:val="24"/>
        </w:rPr>
        <w:t>, the state has</w:t>
      </w:r>
      <w:r w:rsidR="00D17F09">
        <w:rPr>
          <w:sz w:val="24"/>
          <w:szCs w:val="24"/>
        </w:rPr>
        <w:t xml:space="preserve"> largely</w:t>
      </w:r>
      <w:r>
        <w:rPr>
          <w:sz w:val="24"/>
          <w:szCs w:val="24"/>
        </w:rPr>
        <w:t xml:space="preserve"> failed </w:t>
      </w:r>
      <w:r w:rsidR="000A7138" w:rsidRPr="00552997">
        <w:rPr>
          <w:sz w:val="24"/>
          <w:szCs w:val="24"/>
        </w:rPr>
        <w:t xml:space="preserve">to come to terms with </w:t>
      </w:r>
      <w:r w:rsidR="00F26996">
        <w:rPr>
          <w:sz w:val="24"/>
          <w:szCs w:val="24"/>
        </w:rPr>
        <w:t xml:space="preserve">implementing </w:t>
      </w:r>
      <w:r w:rsidR="00D17F09">
        <w:rPr>
          <w:sz w:val="24"/>
          <w:szCs w:val="24"/>
        </w:rPr>
        <w:t>the Waste Management Act</w:t>
      </w:r>
      <w:r w:rsidR="00986CAC">
        <w:rPr>
          <w:sz w:val="24"/>
          <w:szCs w:val="24"/>
        </w:rPr>
        <w:t xml:space="preserve">, and </w:t>
      </w:r>
      <w:r>
        <w:rPr>
          <w:sz w:val="24"/>
          <w:szCs w:val="24"/>
        </w:rPr>
        <w:t>the result has been</w:t>
      </w:r>
      <w:r w:rsidR="000A7138" w:rsidRPr="00552997">
        <w:rPr>
          <w:sz w:val="24"/>
          <w:szCs w:val="24"/>
        </w:rPr>
        <w:t xml:space="preserve"> new multi-media pollution problems</w:t>
      </w:r>
      <w:r w:rsidR="00E50F77">
        <w:rPr>
          <w:sz w:val="24"/>
          <w:szCs w:val="24"/>
        </w:rPr>
        <w:t xml:space="preserve"> from landfills</w:t>
      </w:r>
      <w:r w:rsidR="000A7138" w:rsidRPr="00552997">
        <w:rPr>
          <w:sz w:val="24"/>
          <w:szCs w:val="24"/>
        </w:rPr>
        <w:t xml:space="preserve">, and the </w:t>
      </w:r>
      <w:r w:rsidR="00E50F77">
        <w:rPr>
          <w:sz w:val="24"/>
          <w:szCs w:val="24"/>
        </w:rPr>
        <w:t xml:space="preserve">overall </w:t>
      </w:r>
      <w:r w:rsidR="000A7138" w:rsidRPr="00552997">
        <w:rPr>
          <w:sz w:val="24"/>
          <w:szCs w:val="24"/>
        </w:rPr>
        <w:t xml:space="preserve">resistance to </w:t>
      </w:r>
      <w:r w:rsidR="00873D2A">
        <w:rPr>
          <w:sz w:val="24"/>
          <w:szCs w:val="24"/>
        </w:rPr>
        <w:t xml:space="preserve">real </w:t>
      </w:r>
      <w:r w:rsidR="000A7138" w:rsidRPr="00552997">
        <w:rPr>
          <w:sz w:val="24"/>
          <w:szCs w:val="24"/>
        </w:rPr>
        <w:t xml:space="preserve">change. </w:t>
      </w:r>
      <w:r w:rsidR="00E50F77">
        <w:rPr>
          <w:sz w:val="24"/>
          <w:szCs w:val="24"/>
        </w:rPr>
        <w:t xml:space="preserve"> </w:t>
      </w:r>
      <w:r w:rsidR="00D17F09">
        <w:rPr>
          <w:sz w:val="24"/>
          <w:szCs w:val="24"/>
        </w:rPr>
        <w:t>An EIS--</w:t>
      </w:r>
      <w:r w:rsidR="000A7138" w:rsidRPr="00552997">
        <w:rPr>
          <w:sz w:val="24"/>
          <w:szCs w:val="24"/>
        </w:rPr>
        <w:t xml:space="preserve"> 44 years after Pine Bend’s only EIS</w:t>
      </w:r>
      <w:r w:rsidR="0051332B" w:rsidRPr="00552997">
        <w:rPr>
          <w:sz w:val="24"/>
          <w:szCs w:val="24"/>
        </w:rPr>
        <w:t xml:space="preserve"> </w:t>
      </w:r>
      <w:r w:rsidR="00D17F09">
        <w:rPr>
          <w:sz w:val="24"/>
          <w:szCs w:val="24"/>
        </w:rPr>
        <w:t xml:space="preserve">was prepared—provides an opportunity to take a hard look at </w:t>
      </w:r>
      <w:r w:rsidR="00E5387D">
        <w:rPr>
          <w:sz w:val="24"/>
          <w:szCs w:val="24"/>
        </w:rPr>
        <w:t xml:space="preserve">emissions </w:t>
      </w:r>
      <w:r w:rsidR="006642DE">
        <w:rPr>
          <w:sz w:val="24"/>
          <w:szCs w:val="24"/>
        </w:rPr>
        <w:t>from</w:t>
      </w:r>
      <w:r w:rsidR="00D17F09">
        <w:rPr>
          <w:sz w:val="24"/>
          <w:szCs w:val="24"/>
        </w:rPr>
        <w:t xml:space="preserve"> this facility</w:t>
      </w:r>
      <w:r w:rsidR="006642DE">
        <w:rPr>
          <w:sz w:val="24"/>
          <w:szCs w:val="24"/>
        </w:rPr>
        <w:t>, available mitigative m</w:t>
      </w:r>
      <w:r w:rsidR="003747C1">
        <w:rPr>
          <w:sz w:val="24"/>
          <w:szCs w:val="24"/>
        </w:rPr>
        <w:t xml:space="preserve">easures, </w:t>
      </w:r>
      <w:r w:rsidR="000A062D">
        <w:rPr>
          <w:sz w:val="24"/>
          <w:szCs w:val="24"/>
        </w:rPr>
        <w:t xml:space="preserve">cumulative impacts from Pine Bend and neighboring landfills </w:t>
      </w:r>
      <w:r w:rsidR="00D17F09">
        <w:rPr>
          <w:sz w:val="24"/>
          <w:szCs w:val="24"/>
        </w:rPr>
        <w:t xml:space="preserve">and the </w:t>
      </w:r>
      <w:r w:rsidR="003747C1">
        <w:rPr>
          <w:sz w:val="24"/>
          <w:szCs w:val="24"/>
        </w:rPr>
        <w:t xml:space="preserve">proposed project’s impacts on </w:t>
      </w:r>
      <w:r w:rsidR="00F26996">
        <w:rPr>
          <w:sz w:val="24"/>
          <w:szCs w:val="24"/>
        </w:rPr>
        <w:t xml:space="preserve">the </w:t>
      </w:r>
      <w:r w:rsidR="00D17F09">
        <w:rPr>
          <w:sz w:val="24"/>
          <w:szCs w:val="24"/>
        </w:rPr>
        <w:t xml:space="preserve">solid waste management system that it is part of. </w:t>
      </w:r>
    </w:p>
    <w:p w14:paraId="6BA9DD56" w14:textId="257CC761" w:rsidR="000A7138" w:rsidRPr="00552997" w:rsidRDefault="00F466CB" w:rsidP="000A7138">
      <w:pPr>
        <w:rPr>
          <w:sz w:val="24"/>
          <w:szCs w:val="24"/>
        </w:rPr>
      </w:pPr>
      <w:r>
        <w:rPr>
          <w:sz w:val="24"/>
          <w:szCs w:val="24"/>
        </w:rPr>
        <w:t>Again, I t</w:t>
      </w:r>
      <w:r w:rsidRPr="00552997">
        <w:rPr>
          <w:sz w:val="24"/>
          <w:szCs w:val="24"/>
        </w:rPr>
        <w:t xml:space="preserve">hank </w:t>
      </w:r>
      <w:r w:rsidR="000A7138" w:rsidRPr="00552997">
        <w:rPr>
          <w:sz w:val="24"/>
          <w:szCs w:val="24"/>
        </w:rPr>
        <w:t xml:space="preserve">you for </w:t>
      </w:r>
      <w:r>
        <w:rPr>
          <w:sz w:val="24"/>
          <w:szCs w:val="24"/>
        </w:rPr>
        <w:t xml:space="preserve">your attention to these </w:t>
      </w:r>
      <w:r w:rsidR="00FC091F">
        <w:rPr>
          <w:sz w:val="24"/>
          <w:szCs w:val="24"/>
        </w:rPr>
        <w:t xml:space="preserve">added </w:t>
      </w:r>
      <w:r>
        <w:rPr>
          <w:sz w:val="24"/>
          <w:szCs w:val="24"/>
        </w:rPr>
        <w:t xml:space="preserve">comments. </w:t>
      </w:r>
      <w:r w:rsidR="000A7138" w:rsidRPr="00552997">
        <w:rPr>
          <w:sz w:val="24"/>
          <w:szCs w:val="24"/>
        </w:rPr>
        <w:t xml:space="preserve">I hope MPCA will take </w:t>
      </w:r>
      <w:r w:rsidR="00986CAC">
        <w:rPr>
          <w:sz w:val="24"/>
          <w:szCs w:val="24"/>
        </w:rPr>
        <w:t xml:space="preserve">whatever </w:t>
      </w:r>
      <w:r w:rsidR="000A7138" w:rsidRPr="00552997">
        <w:rPr>
          <w:sz w:val="24"/>
          <w:szCs w:val="24"/>
        </w:rPr>
        <w:t>additional time and expend the resources to perform a complete and up</w:t>
      </w:r>
      <w:r>
        <w:rPr>
          <w:sz w:val="24"/>
          <w:szCs w:val="24"/>
        </w:rPr>
        <w:t>-</w:t>
      </w:r>
      <w:r w:rsidR="000A7138" w:rsidRPr="00552997">
        <w:rPr>
          <w:sz w:val="24"/>
          <w:szCs w:val="24"/>
        </w:rPr>
        <w:t>to</w:t>
      </w:r>
      <w:r>
        <w:rPr>
          <w:sz w:val="24"/>
          <w:szCs w:val="24"/>
        </w:rPr>
        <w:t>-</w:t>
      </w:r>
      <w:r w:rsidR="000A7138" w:rsidRPr="00552997">
        <w:rPr>
          <w:sz w:val="24"/>
          <w:szCs w:val="24"/>
        </w:rPr>
        <w:t xml:space="preserve">date environmental review of the proposed project. If the work is done, </w:t>
      </w:r>
      <w:r w:rsidR="0051332B" w:rsidRPr="00552997">
        <w:rPr>
          <w:sz w:val="24"/>
          <w:szCs w:val="24"/>
        </w:rPr>
        <w:t xml:space="preserve">these </w:t>
      </w:r>
      <w:r w:rsidR="000A7138" w:rsidRPr="00552997">
        <w:rPr>
          <w:sz w:val="24"/>
          <w:szCs w:val="24"/>
        </w:rPr>
        <w:t>effort</w:t>
      </w:r>
      <w:r w:rsidR="0051332B" w:rsidRPr="00552997">
        <w:rPr>
          <w:sz w:val="24"/>
          <w:szCs w:val="24"/>
        </w:rPr>
        <w:t>s</w:t>
      </w:r>
      <w:r w:rsidR="000A7138" w:rsidRPr="00552997">
        <w:rPr>
          <w:sz w:val="24"/>
          <w:szCs w:val="24"/>
        </w:rPr>
        <w:t xml:space="preserve"> will have a profound positive affect on public health and the environment.</w:t>
      </w:r>
      <w:r w:rsidR="00986CAC">
        <w:rPr>
          <w:sz w:val="24"/>
          <w:szCs w:val="24"/>
        </w:rPr>
        <w:t xml:space="preserve"> This review may </w:t>
      </w:r>
      <w:r w:rsidR="000A062D">
        <w:rPr>
          <w:sz w:val="24"/>
          <w:szCs w:val="24"/>
        </w:rPr>
        <w:t>have</w:t>
      </w:r>
      <w:r w:rsidR="00D63E05">
        <w:rPr>
          <w:sz w:val="24"/>
          <w:szCs w:val="24"/>
        </w:rPr>
        <w:t xml:space="preserve"> results MPCA can be proud of.</w:t>
      </w:r>
    </w:p>
    <w:p w14:paraId="4CE763C1" w14:textId="77777777" w:rsidR="000A7138" w:rsidRPr="00552997" w:rsidRDefault="000A7138">
      <w:pPr>
        <w:rPr>
          <w:sz w:val="24"/>
          <w:szCs w:val="24"/>
        </w:rPr>
      </w:pPr>
    </w:p>
    <w:sectPr w:rsidR="000A7138" w:rsidRPr="00552997" w:rsidSect="006620D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361B1" w14:textId="77777777" w:rsidR="00C8246E" w:rsidRDefault="00C8246E" w:rsidP="00F019F1">
      <w:pPr>
        <w:spacing w:after="0" w:line="240" w:lineRule="auto"/>
      </w:pPr>
      <w:r>
        <w:separator/>
      </w:r>
    </w:p>
  </w:endnote>
  <w:endnote w:type="continuationSeparator" w:id="0">
    <w:p w14:paraId="2AA2E592" w14:textId="77777777" w:rsidR="00C8246E" w:rsidRDefault="00C8246E" w:rsidP="00F01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026252"/>
      <w:docPartObj>
        <w:docPartGallery w:val="Page Numbers (Bottom of Page)"/>
        <w:docPartUnique/>
      </w:docPartObj>
    </w:sdtPr>
    <w:sdtEndPr>
      <w:rPr>
        <w:noProof/>
      </w:rPr>
    </w:sdtEndPr>
    <w:sdtContent>
      <w:p w14:paraId="0118F3A1" w14:textId="51A4CA0D" w:rsidR="00F019F1" w:rsidRDefault="00F019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571456" w14:textId="77777777" w:rsidR="00F019F1" w:rsidRDefault="00F01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5E8D1" w14:textId="77777777" w:rsidR="00C8246E" w:rsidRDefault="00C8246E" w:rsidP="00F019F1">
      <w:pPr>
        <w:spacing w:after="0" w:line="240" w:lineRule="auto"/>
      </w:pPr>
      <w:r>
        <w:separator/>
      </w:r>
    </w:p>
  </w:footnote>
  <w:footnote w:type="continuationSeparator" w:id="0">
    <w:p w14:paraId="51940B97" w14:textId="77777777" w:rsidR="00C8246E" w:rsidRDefault="00C8246E" w:rsidP="00F019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E66BC"/>
    <w:multiLevelType w:val="hybridMultilevel"/>
    <w:tmpl w:val="55BEC326"/>
    <w:lvl w:ilvl="0" w:tplc="D0B8AA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1B603D"/>
    <w:multiLevelType w:val="hybridMultilevel"/>
    <w:tmpl w:val="1B6EB07A"/>
    <w:lvl w:ilvl="0" w:tplc="916EA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D45615"/>
    <w:multiLevelType w:val="hybridMultilevel"/>
    <w:tmpl w:val="64C20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CF7071"/>
    <w:multiLevelType w:val="hybridMultilevel"/>
    <w:tmpl w:val="D5362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5239621">
    <w:abstractNumId w:val="3"/>
  </w:num>
  <w:num w:numId="2" w16cid:durableId="1718698647">
    <w:abstractNumId w:val="0"/>
  </w:num>
  <w:num w:numId="3" w16cid:durableId="1209298469">
    <w:abstractNumId w:val="1"/>
  </w:num>
  <w:num w:numId="4" w16cid:durableId="1270312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034D4A"/>
    <w:rsid w:val="000054C6"/>
    <w:rsid w:val="000070B7"/>
    <w:rsid w:val="00010CB8"/>
    <w:rsid w:val="00020061"/>
    <w:rsid w:val="000206AB"/>
    <w:rsid w:val="00037A8B"/>
    <w:rsid w:val="00041313"/>
    <w:rsid w:val="000447A3"/>
    <w:rsid w:val="00057EC1"/>
    <w:rsid w:val="00063D67"/>
    <w:rsid w:val="00065D37"/>
    <w:rsid w:val="00073EC7"/>
    <w:rsid w:val="00077588"/>
    <w:rsid w:val="00094EFF"/>
    <w:rsid w:val="000A062D"/>
    <w:rsid w:val="000A7138"/>
    <w:rsid w:val="000B2076"/>
    <w:rsid w:val="000B4DBD"/>
    <w:rsid w:val="000D36DC"/>
    <w:rsid w:val="000D6544"/>
    <w:rsid w:val="000E2B10"/>
    <w:rsid w:val="000F72CE"/>
    <w:rsid w:val="0010118E"/>
    <w:rsid w:val="00120DE1"/>
    <w:rsid w:val="0013763B"/>
    <w:rsid w:val="00143683"/>
    <w:rsid w:val="00155FF7"/>
    <w:rsid w:val="001A00E3"/>
    <w:rsid w:val="001C70C2"/>
    <w:rsid w:val="001D1CBB"/>
    <w:rsid w:val="001D5814"/>
    <w:rsid w:val="001E0F82"/>
    <w:rsid w:val="001E6D0D"/>
    <w:rsid w:val="001F5735"/>
    <w:rsid w:val="002152EB"/>
    <w:rsid w:val="00225015"/>
    <w:rsid w:val="00227730"/>
    <w:rsid w:val="00253C2F"/>
    <w:rsid w:val="00285E8B"/>
    <w:rsid w:val="002C0311"/>
    <w:rsid w:val="002F5226"/>
    <w:rsid w:val="003025F2"/>
    <w:rsid w:val="00316182"/>
    <w:rsid w:val="00316BCD"/>
    <w:rsid w:val="003346AE"/>
    <w:rsid w:val="00342AE8"/>
    <w:rsid w:val="0034390D"/>
    <w:rsid w:val="00344C4B"/>
    <w:rsid w:val="00363424"/>
    <w:rsid w:val="003636FC"/>
    <w:rsid w:val="0036622B"/>
    <w:rsid w:val="00367CBB"/>
    <w:rsid w:val="003747C1"/>
    <w:rsid w:val="003748B6"/>
    <w:rsid w:val="00377171"/>
    <w:rsid w:val="00393A7D"/>
    <w:rsid w:val="00393E14"/>
    <w:rsid w:val="003B06D7"/>
    <w:rsid w:val="003C6570"/>
    <w:rsid w:val="003D5B40"/>
    <w:rsid w:val="003E0048"/>
    <w:rsid w:val="003E5EBE"/>
    <w:rsid w:val="003E6CEA"/>
    <w:rsid w:val="00407ACA"/>
    <w:rsid w:val="00427339"/>
    <w:rsid w:val="00442A04"/>
    <w:rsid w:val="00447467"/>
    <w:rsid w:val="0046705A"/>
    <w:rsid w:val="0047584D"/>
    <w:rsid w:val="00477DFB"/>
    <w:rsid w:val="00481201"/>
    <w:rsid w:val="00486542"/>
    <w:rsid w:val="00496528"/>
    <w:rsid w:val="004C7CFF"/>
    <w:rsid w:val="004D23BC"/>
    <w:rsid w:val="004E3C09"/>
    <w:rsid w:val="004E73B2"/>
    <w:rsid w:val="004F5365"/>
    <w:rsid w:val="005011F8"/>
    <w:rsid w:val="0051332B"/>
    <w:rsid w:val="00534649"/>
    <w:rsid w:val="00545153"/>
    <w:rsid w:val="00552997"/>
    <w:rsid w:val="00575BC3"/>
    <w:rsid w:val="00580E19"/>
    <w:rsid w:val="005B00BC"/>
    <w:rsid w:val="00620C4F"/>
    <w:rsid w:val="00633FA7"/>
    <w:rsid w:val="006620D1"/>
    <w:rsid w:val="006642DE"/>
    <w:rsid w:val="00664BED"/>
    <w:rsid w:val="00670123"/>
    <w:rsid w:val="006867FB"/>
    <w:rsid w:val="00691BB7"/>
    <w:rsid w:val="006A4C65"/>
    <w:rsid w:val="006A6E2A"/>
    <w:rsid w:val="006A757E"/>
    <w:rsid w:val="006B5CBB"/>
    <w:rsid w:val="006C2ABF"/>
    <w:rsid w:val="006D4042"/>
    <w:rsid w:val="006E4E78"/>
    <w:rsid w:val="00715522"/>
    <w:rsid w:val="00722AA9"/>
    <w:rsid w:val="00783AF6"/>
    <w:rsid w:val="00796538"/>
    <w:rsid w:val="0079784F"/>
    <w:rsid w:val="007B7EE4"/>
    <w:rsid w:val="007D12DD"/>
    <w:rsid w:val="007D3F9E"/>
    <w:rsid w:val="007F0BF2"/>
    <w:rsid w:val="008032F2"/>
    <w:rsid w:val="00814FC0"/>
    <w:rsid w:val="00831E3A"/>
    <w:rsid w:val="00855E0B"/>
    <w:rsid w:val="00873D2A"/>
    <w:rsid w:val="008D2616"/>
    <w:rsid w:val="008E298B"/>
    <w:rsid w:val="008F28F5"/>
    <w:rsid w:val="00904A1C"/>
    <w:rsid w:val="00912A69"/>
    <w:rsid w:val="00922800"/>
    <w:rsid w:val="00925612"/>
    <w:rsid w:val="00926090"/>
    <w:rsid w:val="00932984"/>
    <w:rsid w:val="00952881"/>
    <w:rsid w:val="00954548"/>
    <w:rsid w:val="009719A0"/>
    <w:rsid w:val="00977952"/>
    <w:rsid w:val="0098561F"/>
    <w:rsid w:val="00986CAC"/>
    <w:rsid w:val="009978B1"/>
    <w:rsid w:val="009B237C"/>
    <w:rsid w:val="009C461D"/>
    <w:rsid w:val="00A27FAA"/>
    <w:rsid w:val="00A30DCD"/>
    <w:rsid w:val="00A427AB"/>
    <w:rsid w:val="00A47F0B"/>
    <w:rsid w:val="00A525D4"/>
    <w:rsid w:val="00A56B9E"/>
    <w:rsid w:val="00A7405A"/>
    <w:rsid w:val="00A8004C"/>
    <w:rsid w:val="00A8612D"/>
    <w:rsid w:val="00A930C0"/>
    <w:rsid w:val="00AC7364"/>
    <w:rsid w:val="00AC759B"/>
    <w:rsid w:val="00AD0F16"/>
    <w:rsid w:val="00AD7810"/>
    <w:rsid w:val="00B02807"/>
    <w:rsid w:val="00B10EA8"/>
    <w:rsid w:val="00B35D87"/>
    <w:rsid w:val="00B467BC"/>
    <w:rsid w:val="00B523F2"/>
    <w:rsid w:val="00B658E0"/>
    <w:rsid w:val="00B7507E"/>
    <w:rsid w:val="00B919CB"/>
    <w:rsid w:val="00BA0F83"/>
    <w:rsid w:val="00BA43E3"/>
    <w:rsid w:val="00BD029B"/>
    <w:rsid w:val="00BD44B7"/>
    <w:rsid w:val="00BE1D2B"/>
    <w:rsid w:val="00BE39B2"/>
    <w:rsid w:val="00BE6C3C"/>
    <w:rsid w:val="00BF5A48"/>
    <w:rsid w:val="00C17364"/>
    <w:rsid w:val="00C25A77"/>
    <w:rsid w:val="00C40A30"/>
    <w:rsid w:val="00C57400"/>
    <w:rsid w:val="00C65A2D"/>
    <w:rsid w:val="00C8246E"/>
    <w:rsid w:val="00C82549"/>
    <w:rsid w:val="00C8449C"/>
    <w:rsid w:val="00C850D8"/>
    <w:rsid w:val="00CA0548"/>
    <w:rsid w:val="00CB0947"/>
    <w:rsid w:val="00CB72E8"/>
    <w:rsid w:val="00CC12D7"/>
    <w:rsid w:val="00CD0913"/>
    <w:rsid w:val="00CE27E0"/>
    <w:rsid w:val="00D07DFE"/>
    <w:rsid w:val="00D17F09"/>
    <w:rsid w:val="00D232FA"/>
    <w:rsid w:val="00D43B65"/>
    <w:rsid w:val="00D519D0"/>
    <w:rsid w:val="00D55E7B"/>
    <w:rsid w:val="00D60B82"/>
    <w:rsid w:val="00D60FCB"/>
    <w:rsid w:val="00D63E05"/>
    <w:rsid w:val="00D6779A"/>
    <w:rsid w:val="00D718DF"/>
    <w:rsid w:val="00D742FE"/>
    <w:rsid w:val="00D85311"/>
    <w:rsid w:val="00DA33C0"/>
    <w:rsid w:val="00DA6742"/>
    <w:rsid w:val="00DC46E8"/>
    <w:rsid w:val="00DD24A9"/>
    <w:rsid w:val="00DE33E7"/>
    <w:rsid w:val="00DF1E5F"/>
    <w:rsid w:val="00E03724"/>
    <w:rsid w:val="00E21260"/>
    <w:rsid w:val="00E36E3D"/>
    <w:rsid w:val="00E4051B"/>
    <w:rsid w:val="00E50F77"/>
    <w:rsid w:val="00E5387D"/>
    <w:rsid w:val="00E60D70"/>
    <w:rsid w:val="00E652E3"/>
    <w:rsid w:val="00E65E22"/>
    <w:rsid w:val="00E87657"/>
    <w:rsid w:val="00E96012"/>
    <w:rsid w:val="00E977D7"/>
    <w:rsid w:val="00EA5EB6"/>
    <w:rsid w:val="00F019F1"/>
    <w:rsid w:val="00F02386"/>
    <w:rsid w:val="00F125A1"/>
    <w:rsid w:val="00F14C54"/>
    <w:rsid w:val="00F176AD"/>
    <w:rsid w:val="00F26996"/>
    <w:rsid w:val="00F33A80"/>
    <w:rsid w:val="00F35AB1"/>
    <w:rsid w:val="00F3734F"/>
    <w:rsid w:val="00F4421F"/>
    <w:rsid w:val="00F466CB"/>
    <w:rsid w:val="00F575BF"/>
    <w:rsid w:val="00F80752"/>
    <w:rsid w:val="00F96D50"/>
    <w:rsid w:val="00FA154E"/>
    <w:rsid w:val="00FA6E94"/>
    <w:rsid w:val="00FB7DF3"/>
    <w:rsid w:val="00FC091F"/>
    <w:rsid w:val="00FD08B6"/>
    <w:rsid w:val="00FD0CDA"/>
    <w:rsid w:val="00FD4626"/>
    <w:rsid w:val="00FE7132"/>
    <w:rsid w:val="00FF2999"/>
    <w:rsid w:val="1B034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34D4A"/>
  <w15:chartTrackingRefBased/>
  <w15:docId w15:val="{E3875EC4-2D08-49AF-9C28-6DC90956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20D1"/>
    <w:rPr>
      <w:color w:val="0563C1" w:themeColor="hyperlink"/>
      <w:u w:val="single"/>
    </w:rPr>
  </w:style>
  <w:style w:type="character" w:styleId="UnresolvedMention">
    <w:name w:val="Unresolved Mention"/>
    <w:basedOn w:val="DefaultParagraphFont"/>
    <w:uiPriority w:val="99"/>
    <w:semiHidden/>
    <w:unhideWhenUsed/>
    <w:rsid w:val="006620D1"/>
    <w:rPr>
      <w:color w:val="605E5C"/>
      <w:shd w:val="clear" w:color="auto" w:fill="E1DFDD"/>
    </w:rPr>
  </w:style>
  <w:style w:type="paragraph" w:styleId="ListParagraph">
    <w:name w:val="List Paragraph"/>
    <w:basedOn w:val="Normal"/>
    <w:uiPriority w:val="34"/>
    <w:qFormat/>
    <w:rsid w:val="000F72CE"/>
    <w:pPr>
      <w:ind w:left="720"/>
      <w:contextualSpacing/>
    </w:pPr>
  </w:style>
  <w:style w:type="paragraph" w:styleId="Revision">
    <w:name w:val="Revision"/>
    <w:hidden/>
    <w:uiPriority w:val="99"/>
    <w:semiHidden/>
    <w:rsid w:val="00344C4B"/>
    <w:pPr>
      <w:spacing w:after="0" w:line="240" w:lineRule="auto"/>
    </w:pPr>
  </w:style>
  <w:style w:type="character" w:styleId="CommentReference">
    <w:name w:val="annotation reference"/>
    <w:basedOn w:val="DefaultParagraphFont"/>
    <w:uiPriority w:val="99"/>
    <w:semiHidden/>
    <w:unhideWhenUsed/>
    <w:rsid w:val="00E60D70"/>
    <w:rPr>
      <w:sz w:val="16"/>
      <w:szCs w:val="16"/>
    </w:rPr>
  </w:style>
  <w:style w:type="paragraph" w:styleId="CommentText">
    <w:name w:val="annotation text"/>
    <w:basedOn w:val="Normal"/>
    <w:link w:val="CommentTextChar"/>
    <w:uiPriority w:val="99"/>
    <w:unhideWhenUsed/>
    <w:rsid w:val="00E60D70"/>
    <w:pPr>
      <w:spacing w:line="240" w:lineRule="auto"/>
    </w:pPr>
    <w:rPr>
      <w:sz w:val="20"/>
      <w:szCs w:val="20"/>
    </w:rPr>
  </w:style>
  <w:style w:type="character" w:customStyle="1" w:styleId="CommentTextChar">
    <w:name w:val="Comment Text Char"/>
    <w:basedOn w:val="DefaultParagraphFont"/>
    <w:link w:val="CommentText"/>
    <w:uiPriority w:val="99"/>
    <w:rsid w:val="00E60D70"/>
    <w:rPr>
      <w:sz w:val="20"/>
      <w:szCs w:val="20"/>
    </w:rPr>
  </w:style>
  <w:style w:type="paragraph" w:styleId="CommentSubject">
    <w:name w:val="annotation subject"/>
    <w:basedOn w:val="CommentText"/>
    <w:next w:val="CommentText"/>
    <w:link w:val="CommentSubjectChar"/>
    <w:uiPriority w:val="99"/>
    <w:semiHidden/>
    <w:unhideWhenUsed/>
    <w:rsid w:val="00E60D70"/>
    <w:rPr>
      <w:b/>
      <w:bCs/>
    </w:rPr>
  </w:style>
  <w:style w:type="character" w:customStyle="1" w:styleId="CommentSubjectChar">
    <w:name w:val="Comment Subject Char"/>
    <w:basedOn w:val="CommentTextChar"/>
    <w:link w:val="CommentSubject"/>
    <w:uiPriority w:val="99"/>
    <w:semiHidden/>
    <w:rsid w:val="00E60D70"/>
    <w:rPr>
      <w:b/>
      <w:bCs/>
      <w:sz w:val="20"/>
      <w:szCs w:val="20"/>
    </w:rPr>
  </w:style>
  <w:style w:type="paragraph" w:styleId="Header">
    <w:name w:val="header"/>
    <w:basedOn w:val="Normal"/>
    <w:link w:val="HeaderChar"/>
    <w:uiPriority w:val="99"/>
    <w:unhideWhenUsed/>
    <w:rsid w:val="00F01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9F1"/>
  </w:style>
  <w:style w:type="paragraph" w:styleId="Footer">
    <w:name w:val="footer"/>
    <w:basedOn w:val="Normal"/>
    <w:link w:val="FooterChar"/>
    <w:uiPriority w:val="99"/>
    <w:unhideWhenUsed/>
    <w:rsid w:val="00F01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9F1"/>
  </w:style>
  <w:style w:type="table" w:styleId="TableGrid">
    <w:name w:val="Table Grid"/>
    <w:basedOn w:val="TableNormal"/>
    <w:uiPriority w:val="39"/>
    <w:rsid w:val="00073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377233">
      <w:bodyDiv w:val="1"/>
      <w:marLeft w:val="0"/>
      <w:marRight w:val="0"/>
      <w:marTop w:val="0"/>
      <w:marBottom w:val="0"/>
      <w:divBdr>
        <w:top w:val="none" w:sz="0" w:space="0" w:color="auto"/>
        <w:left w:val="none" w:sz="0" w:space="0" w:color="auto"/>
        <w:bottom w:val="none" w:sz="0" w:space="0" w:color="auto"/>
        <w:right w:val="none" w:sz="0" w:space="0" w:color="auto"/>
      </w:divBdr>
      <w:divsChild>
        <w:div w:id="1636444763">
          <w:marLeft w:val="0"/>
          <w:marRight w:val="0"/>
          <w:marTop w:val="120"/>
          <w:marBottom w:val="0"/>
          <w:divBdr>
            <w:top w:val="none" w:sz="0" w:space="0" w:color="auto"/>
            <w:left w:val="none" w:sz="0" w:space="0" w:color="auto"/>
            <w:bottom w:val="none" w:sz="0" w:space="0" w:color="auto"/>
            <w:right w:val="none" w:sz="0" w:space="0" w:color="auto"/>
          </w:divBdr>
        </w:div>
        <w:div w:id="183075299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idrunn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1470</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 Scheurle</dc:creator>
  <cp:keywords/>
  <dc:description/>
  <cp:lastModifiedBy>Sig Scheurle</cp:lastModifiedBy>
  <cp:revision>2</cp:revision>
  <cp:lastPrinted>2023-12-10T19:00:00Z</cp:lastPrinted>
  <dcterms:created xsi:type="dcterms:W3CDTF">2023-12-13T20:39:00Z</dcterms:created>
  <dcterms:modified xsi:type="dcterms:W3CDTF">2023-12-13T20:39:00Z</dcterms:modified>
</cp:coreProperties>
</file>