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6897" w14:textId="22756BA2" w:rsidR="00BB4FBD" w:rsidRDefault="0018577B" w:rsidP="000C4AE7">
      <w:pPr>
        <w:jc w:val="center"/>
      </w:pPr>
      <w:r>
        <w:t>Dem-con HZI Bioenergy (Shakopee) – Environmental Assessment Worksheet Comments</w:t>
      </w:r>
    </w:p>
    <w:p w14:paraId="6422ED61" w14:textId="009B3EE6" w:rsidR="00F75CAE" w:rsidRDefault="00A34575" w:rsidP="000C4AE7">
      <w:pPr>
        <w:jc w:val="center"/>
      </w:pPr>
      <w:r>
        <w:t>Dale R. Lutz, Ph.D., Maplewood, MN</w:t>
      </w:r>
      <w:r w:rsidR="000C4AE7">
        <w:t xml:space="preserve"> – 7/31/2024</w:t>
      </w:r>
    </w:p>
    <w:p w14:paraId="5CF78E60" w14:textId="7405DB93" w:rsidR="00A13489" w:rsidRDefault="00A13489">
      <w:r>
        <w:t xml:space="preserve">I believe this project </w:t>
      </w:r>
      <w:r w:rsidR="008171BB">
        <w:t>shows</w:t>
      </w:r>
      <w:r w:rsidR="009B3E03">
        <w:t xml:space="preserve"> </w:t>
      </w:r>
      <w:r w:rsidR="00D82570">
        <w:t>that</w:t>
      </w:r>
      <w:r w:rsidR="009B3E03">
        <w:t xml:space="preserve"> </w:t>
      </w:r>
      <w:r w:rsidR="00226D71">
        <w:t xml:space="preserve">the Solid Waste Management policy team should broaden their </w:t>
      </w:r>
      <w:r w:rsidR="006247E1">
        <w:t>thinking and scope to simply “Waste Management.”</w:t>
      </w:r>
      <w:r w:rsidR="00F2396D">
        <w:t xml:space="preserve"> </w:t>
      </w:r>
      <w:r w:rsidR="00F358CB">
        <w:t>I feel t</w:t>
      </w:r>
      <w:r w:rsidR="00456919">
        <w:t>he plan</w:t>
      </w:r>
      <w:r w:rsidR="00297F9E">
        <w:t xml:space="preserve"> presented</w:t>
      </w:r>
      <w:r w:rsidR="00456919">
        <w:t xml:space="preserve"> is not “complete</w:t>
      </w:r>
      <w:r w:rsidR="00297F9E">
        <w:t>,</w:t>
      </w:r>
      <w:r w:rsidR="00456919">
        <w:t>”</w:t>
      </w:r>
      <w:r w:rsidR="00297F9E">
        <w:t xml:space="preserve"> because </w:t>
      </w:r>
      <w:r w:rsidR="00B202F4">
        <w:t>some key opportunities are not discussed.</w:t>
      </w:r>
    </w:p>
    <w:p w14:paraId="0CDF4BCE" w14:textId="59A2A2D8" w:rsidR="006247E1" w:rsidRDefault="006247E1">
      <w:r>
        <w:t xml:space="preserve">Page 36 of the </w:t>
      </w:r>
      <w:r w:rsidR="000569FC">
        <w:t>Environmental Assessment Worksheet (EAW) states</w:t>
      </w:r>
      <w:r w:rsidR="0078731B">
        <w:t xml:space="preserve"> in part</w:t>
      </w:r>
      <w:r w:rsidR="000569FC">
        <w:t>:</w:t>
      </w:r>
    </w:p>
    <w:p w14:paraId="5E6C9BA5" w14:textId="77777777" w:rsidR="00F53FFC" w:rsidRDefault="000569FC" w:rsidP="00560983">
      <w:pPr>
        <w:ind w:left="720"/>
      </w:pPr>
      <w:r>
        <w:t>“</w:t>
      </w:r>
      <w:r w:rsidRPr="00977AE3">
        <w:t>The MPCA’s Metropolitan Solid Waste Management Policy Plan 2022 – 2042 (MPP)</w:t>
      </w:r>
      <w:r w:rsidRPr="0078731B">
        <w:rPr>
          <w:vertAlign w:val="superscript"/>
        </w:rPr>
        <w:t>5</w:t>
      </w:r>
      <w:r w:rsidRPr="00977AE3">
        <w:t xml:space="preserve"> applies to the Project.</w:t>
      </w:r>
      <w:r>
        <w:t xml:space="preserve">” … </w:t>
      </w:r>
    </w:p>
    <w:p w14:paraId="4DD93F59" w14:textId="6A83D418" w:rsidR="000569FC" w:rsidRDefault="000569FC" w:rsidP="00560983">
      <w:pPr>
        <w:ind w:left="720"/>
      </w:pPr>
      <w:r>
        <w:t>“</w:t>
      </w:r>
      <w:r w:rsidRPr="001B4FD9">
        <w:t>The goals of the MPP are to:</w:t>
      </w:r>
    </w:p>
    <w:p w14:paraId="547206A4" w14:textId="2DB73189" w:rsidR="000569FC" w:rsidRDefault="000569FC" w:rsidP="00560983">
      <w:pPr>
        <w:ind w:left="720"/>
      </w:pPr>
      <w:r w:rsidRPr="001B4FD9">
        <w:t xml:space="preserve">• Manage materials in a manner that will protect the environment and public health, </w:t>
      </w:r>
      <w:r w:rsidRPr="00C2529D">
        <w:rPr>
          <w:b/>
          <w:bCs/>
          <w:u w:val="single"/>
        </w:rPr>
        <w:t>reduce GHG emissions</w:t>
      </w:r>
      <w:r w:rsidRPr="001B4FD9">
        <w:t>, conserve energy and natural resources, and reduce toxicity and exposure to toxics</w:t>
      </w:r>
      <w:r>
        <w:t>”</w:t>
      </w:r>
      <w:r w:rsidR="009A1F71">
        <w:t xml:space="preserve"> [Emphasis added.]</w:t>
      </w:r>
    </w:p>
    <w:p w14:paraId="1BE0FD0A" w14:textId="28F18ED9" w:rsidR="009A1F71" w:rsidRDefault="00DC6EEE">
      <w:r>
        <w:t xml:space="preserve">On page 67, Table 13 </w:t>
      </w:r>
      <w:r w:rsidR="009240E4">
        <w:t xml:space="preserve">estimates the project would </w:t>
      </w:r>
      <w:r w:rsidR="002F6EE2">
        <w:t>produce</w:t>
      </w:r>
      <w:r w:rsidR="00293270">
        <w:t xml:space="preserve"> the following </w:t>
      </w:r>
      <w:r w:rsidR="003634DB">
        <w:t>GHG (greenhouse gas)</w:t>
      </w:r>
      <w:r w:rsidR="002F6EE2">
        <w:t xml:space="preserve"> emissions:</w:t>
      </w:r>
    </w:p>
    <w:p w14:paraId="4D5AC221" w14:textId="763CF360" w:rsidR="00B94C45" w:rsidRPr="00D90110" w:rsidRDefault="00B94C45" w:rsidP="003E659E">
      <w:pPr>
        <w:ind w:left="720"/>
      </w:pPr>
      <w:r w:rsidRPr="00D90110">
        <w:t xml:space="preserve">Carbon Dioxide Equivalent (CO2e) (anthropogenic) 5,597 </w:t>
      </w:r>
      <w:proofErr w:type="spellStart"/>
      <w:r w:rsidRPr="00D90110">
        <w:t>tpy</w:t>
      </w:r>
      <w:proofErr w:type="spellEnd"/>
      <w:r w:rsidRPr="00D90110">
        <w:t xml:space="preserve"> [</w:t>
      </w:r>
      <w:r w:rsidR="00B361F2" w:rsidRPr="00D90110">
        <w:t>short tons per year]</w:t>
      </w:r>
      <w:r w:rsidR="003E659E">
        <w:t>, and</w:t>
      </w:r>
    </w:p>
    <w:p w14:paraId="08F4F87A" w14:textId="59A6FCCC" w:rsidR="00B94C45" w:rsidRDefault="00B94C45" w:rsidP="003E659E">
      <w:pPr>
        <w:ind w:left="720"/>
      </w:pPr>
      <w:r w:rsidRPr="00D90110">
        <w:t xml:space="preserve">CO2e (biogenic) 28,361 </w:t>
      </w:r>
      <w:proofErr w:type="spellStart"/>
      <w:r w:rsidRPr="00D90110">
        <w:t>tpy</w:t>
      </w:r>
      <w:proofErr w:type="spellEnd"/>
      <w:r w:rsidRPr="00D90110">
        <w:t>.</w:t>
      </w:r>
    </w:p>
    <w:p w14:paraId="6D4BF2E6" w14:textId="08DCF3EC" w:rsidR="00A30BB9" w:rsidRDefault="00A30BB9">
      <w:r>
        <w:t xml:space="preserve">While </w:t>
      </w:r>
      <w:r w:rsidR="00D53EF6">
        <w:t xml:space="preserve">page 75 states that, </w:t>
      </w:r>
      <w:r w:rsidR="00FC0815">
        <w:t xml:space="preserve">for some reporting purposes, </w:t>
      </w:r>
      <w:r w:rsidR="00D53EF6">
        <w:t>“</w:t>
      </w:r>
      <w:r w:rsidR="00D53EF6" w:rsidRPr="00D53EF6">
        <w:t>Biogenic GHG emissions are allowed to be excluded as per MCPA guidance</w:t>
      </w:r>
      <w:r w:rsidR="00D53EF6">
        <w:t>,”</w:t>
      </w:r>
      <w:r w:rsidR="00FC0815">
        <w:t xml:space="preserve"> </w:t>
      </w:r>
      <w:r w:rsidR="00277235">
        <w:t xml:space="preserve">slowing global warming </w:t>
      </w:r>
      <w:r w:rsidR="003D090C">
        <w:t xml:space="preserve">requires reducing or delaying </w:t>
      </w:r>
      <w:r w:rsidR="003D090C" w:rsidRPr="00F450C3">
        <w:rPr>
          <w:b/>
          <w:bCs/>
          <w:u w:val="single"/>
        </w:rPr>
        <w:t xml:space="preserve">ALL </w:t>
      </w:r>
      <w:r w:rsidR="00D00891">
        <w:t xml:space="preserve">greenhouse gas emissions, regardless of the </w:t>
      </w:r>
      <w:r w:rsidR="003E659E">
        <w:t>source of the “carbon”.</w:t>
      </w:r>
      <w:r w:rsidR="0029279E">
        <w:t xml:space="preserve">  Thus, </w:t>
      </w:r>
      <w:r w:rsidR="00454FF7">
        <w:t>this project is expected to release</w:t>
      </w:r>
      <w:r w:rsidR="00202F26">
        <w:t xml:space="preserve"> a total</w:t>
      </w:r>
      <w:r w:rsidR="00CB6BDE">
        <w:t xml:space="preserve"> of</w:t>
      </w:r>
      <w:r w:rsidR="00454FF7">
        <w:t xml:space="preserve"> about </w:t>
      </w:r>
      <w:r w:rsidR="00454FF7" w:rsidRPr="00224D06">
        <w:rPr>
          <w:b/>
          <w:bCs/>
          <w:u w:val="single"/>
        </w:rPr>
        <w:t>34,000 tons of carbon dioxide GHG per year</w:t>
      </w:r>
      <w:r w:rsidR="00454FF7">
        <w:t>.</w:t>
      </w:r>
    </w:p>
    <w:p w14:paraId="3790D914" w14:textId="4C9AC984" w:rsidR="00454FF7" w:rsidRPr="00986F64" w:rsidRDefault="002C7D93">
      <w:pPr>
        <w:rPr>
          <w:b/>
          <w:bCs/>
          <w:u w:val="single"/>
        </w:rPr>
      </w:pPr>
      <w:r w:rsidRPr="00986F64">
        <w:rPr>
          <w:b/>
          <w:bCs/>
          <w:u w:val="single"/>
        </w:rPr>
        <w:t xml:space="preserve">The best way to “reduce GHG emissions” is to </w:t>
      </w:r>
      <w:r w:rsidR="00986F64" w:rsidRPr="00986F64">
        <w:rPr>
          <w:b/>
          <w:bCs/>
          <w:u w:val="single"/>
        </w:rPr>
        <w:t>STOP EMITTING CO2 GHG!</w:t>
      </w:r>
    </w:p>
    <w:p w14:paraId="2F5A3C9F" w14:textId="4F19C875" w:rsidR="00986F64" w:rsidRDefault="00582DCD">
      <w:r>
        <w:t>I am a retired Ph.D. chemist</w:t>
      </w:r>
      <w:r w:rsidR="001B78D7">
        <w:t xml:space="preserve"> and a Ramsey County resident </w:t>
      </w:r>
      <w:r w:rsidR="006B253A">
        <w:t xml:space="preserve">whose food waste would be sent to the </w:t>
      </w:r>
      <w:r w:rsidR="0054469D">
        <w:t xml:space="preserve">proposed </w:t>
      </w:r>
      <w:r w:rsidR="006B253A">
        <w:t xml:space="preserve">Dem-Con HZI </w:t>
      </w:r>
      <w:r w:rsidR="00C4190C">
        <w:t>anaerobic digester</w:t>
      </w:r>
      <w:r>
        <w:t xml:space="preserve">. </w:t>
      </w:r>
      <w:r w:rsidR="0028459C" w:rsidRPr="00AB40C7">
        <w:t xml:space="preserve">Since 2006 </w:t>
      </w:r>
      <w:r w:rsidR="0028459C">
        <w:t xml:space="preserve">I have been very concerned about global warming and climate change caused by CO2 greenhouse gas emissions.  I dread the thought of my grandsons living in a hellscape in the year 2100, looking back at us and saying, “You saw this coming, and you did nothing to stop it!”  For the past 17 years I have searched for the best ways to reduce the </w:t>
      </w:r>
      <w:r w:rsidR="00A81AEC">
        <w:t>amount</w:t>
      </w:r>
      <w:r w:rsidR="0028459C">
        <w:t xml:space="preserve"> of CO2 in the atmosphere.  I have helped on several Department of Energy R&amp;D contracts addressing this issue.</w:t>
      </w:r>
    </w:p>
    <w:p w14:paraId="40421B21" w14:textId="6E63969E" w:rsidR="00F75CAE" w:rsidRDefault="00DD75D9">
      <w:r>
        <w:t>As</w:t>
      </w:r>
      <w:r w:rsidR="004775D0">
        <w:t xml:space="preserve"> the article</w:t>
      </w:r>
      <w:r w:rsidR="00A56C53">
        <w:t>s</w:t>
      </w:r>
      <w:r w:rsidR="004775D0">
        <w:t xml:space="preserve"> below show, </w:t>
      </w:r>
      <w:r w:rsidR="00F16E70">
        <w:t xml:space="preserve">CO2 can be captured and </w:t>
      </w:r>
      <w:r w:rsidR="001D7428">
        <w:t xml:space="preserve">“utilized” to </w:t>
      </w:r>
      <w:r w:rsidR="001F13EA">
        <w:t xml:space="preserve">produce </w:t>
      </w:r>
      <w:r w:rsidR="00543DBD">
        <w:t xml:space="preserve">multiple </w:t>
      </w:r>
      <w:r w:rsidR="00F13F43">
        <w:t>useful products, including</w:t>
      </w:r>
      <w:r w:rsidR="00D64F38">
        <w:t xml:space="preserve"> construction</w:t>
      </w:r>
      <w:r w:rsidR="00F13F43">
        <w:t xml:space="preserve"> </w:t>
      </w:r>
      <w:r w:rsidR="00176541">
        <w:t xml:space="preserve">aggregate for concrete, </w:t>
      </w:r>
      <w:r w:rsidR="009A471A">
        <w:t>concrete curative, and “</w:t>
      </w:r>
      <w:proofErr w:type="spellStart"/>
      <w:r w:rsidR="009A471A">
        <w:t>electrofuels</w:t>
      </w:r>
      <w:proofErr w:type="spellEnd"/>
      <w:r w:rsidR="009A471A">
        <w:t xml:space="preserve">” like </w:t>
      </w:r>
      <w:r w:rsidR="00A56C53">
        <w:t>methanol, ethanol, and sustainable aviation fuel (SAF).</w:t>
      </w:r>
      <w:r w:rsidR="00A47998">
        <w:t xml:space="preserve"> The </w:t>
      </w:r>
      <w:r w:rsidR="001D1749">
        <w:t xml:space="preserve">anaerobic digester </w:t>
      </w:r>
      <w:r w:rsidR="00053D93">
        <w:t xml:space="preserve">plan could, for example, </w:t>
      </w:r>
      <w:r w:rsidR="00160784">
        <w:t>include capturing and using the CO2 with</w:t>
      </w:r>
      <w:r w:rsidR="00C01F5E">
        <w:t xml:space="preserve"> demolition concrete from the adjacent Dem-Con</w:t>
      </w:r>
      <w:r w:rsidR="00EE5978">
        <w:t xml:space="preserve"> </w:t>
      </w:r>
      <w:r w:rsidR="00C01F5E">
        <w:t>landfill</w:t>
      </w:r>
      <w:r w:rsidR="00160784">
        <w:t xml:space="preserve"> to produce construction aggregate for sale.</w:t>
      </w:r>
    </w:p>
    <w:p w14:paraId="3C7F70E7" w14:textId="13611F63" w:rsidR="00E20824" w:rsidRDefault="006474E5" w:rsidP="004C1981">
      <w:pPr>
        <w:spacing w:after="0"/>
        <w:ind w:left="720"/>
      </w:pPr>
      <w:r w:rsidRPr="006474E5">
        <w:t>Fulfilling the Promise of Carbon Capture and Utilization</w:t>
      </w:r>
    </w:p>
    <w:p w14:paraId="26D1A351" w14:textId="7228A205" w:rsidR="007478E5" w:rsidRDefault="006474E5" w:rsidP="004C1981">
      <w:pPr>
        <w:ind w:left="720"/>
      </w:pPr>
      <w:hyperlink r:id="rId4" w:history="1">
        <w:r w:rsidRPr="003939AC">
          <w:rPr>
            <w:rStyle w:val="Hyperlink"/>
          </w:rPr>
          <w:t>https://www.bcg.com/publications/2024/four-applications-of-carbon-capture-and-utilization</w:t>
        </w:r>
      </w:hyperlink>
    </w:p>
    <w:p w14:paraId="164B4038" w14:textId="06100BDC" w:rsidR="006474E5" w:rsidRDefault="002A1ABF" w:rsidP="004C1981">
      <w:pPr>
        <w:spacing w:after="0"/>
        <w:ind w:left="720"/>
      </w:pPr>
      <w:r w:rsidRPr="002A1ABF">
        <w:lastRenderedPageBreak/>
        <w:t>Carbon dioxide mineralization in recycled concrete aggregates can contribute immediately to carbon-neutrality</w:t>
      </w:r>
      <w:r w:rsidR="00470A30">
        <w:t xml:space="preserve"> (See, e.g., Fig. 1)</w:t>
      </w:r>
    </w:p>
    <w:p w14:paraId="680ED837" w14:textId="566CD2E9" w:rsidR="00C4311D" w:rsidRDefault="002A1ABF" w:rsidP="004C1981">
      <w:pPr>
        <w:ind w:left="720"/>
      </w:pPr>
      <w:hyperlink r:id="rId5" w:history="1">
        <w:r w:rsidRPr="003939AC">
          <w:rPr>
            <w:rStyle w:val="Hyperlink"/>
          </w:rPr>
          <w:t>https://www.sciencedirect.com/science/article/pii/S0921344922002798</w:t>
        </w:r>
      </w:hyperlink>
    </w:p>
    <w:p w14:paraId="11958551" w14:textId="3239C334" w:rsidR="00E3151B" w:rsidRDefault="00C278D3">
      <w:r>
        <w:t xml:space="preserve">This CO2 mineralization would help compensate for </w:t>
      </w:r>
      <w:r w:rsidR="004A4B37">
        <w:t xml:space="preserve">the CO2 emissions from </w:t>
      </w:r>
      <w:r w:rsidR="00062F44">
        <w:t>the limestone</w:t>
      </w:r>
      <w:r w:rsidR="005B3B59">
        <w:t xml:space="preserve"> (CaCO3)</w:t>
      </w:r>
      <w:r w:rsidR="00062F44">
        <w:t xml:space="preserve"> that will be mined at the site by </w:t>
      </w:r>
      <w:r w:rsidR="00062F44" w:rsidRPr="00062F44">
        <w:t>Bryan Rock Products Inc.</w:t>
      </w:r>
      <w:r w:rsidR="00241A50">
        <w:t xml:space="preserve"> The limestone</w:t>
      </w:r>
      <w:r w:rsidR="00EB70F3">
        <w:t xml:space="preserve"> will</w:t>
      </w:r>
      <w:r w:rsidR="00FE53C2">
        <w:t xml:space="preserve"> almost certainly be </w:t>
      </w:r>
      <w:r w:rsidR="0078553A">
        <w:t xml:space="preserve">cooked </w:t>
      </w:r>
      <w:r w:rsidR="00E0645B">
        <w:t xml:space="preserve">in a kiln </w:t>
      </w:r>
      <w:r w:rsidR="0078553A">
        <w:t xml:space="preserve">to </w:t>
      </w:r>
      <w:r w:rsidR="008B4EA8">
        <w:t>produce lime (</w:t>
      </w:r>
      <w:proofErr w:type="spellStart"/>
      <w:r w:rsidR="008B4EA8">
        <w:t>CaO</w:t>
      </w:r>
      <w:proofErr w:type="spellEnd"/>
      <w:r w:rsidR="008B4EA8">
        <w:t>) for cement</w:t>
      </w:r>
      <w:r w:rsidR="007C3F53">
        <w:t xml:space="preserve">, thus </w:t>
      </w:r>
      <w:r w:rsidR="00270F23">
        <w:t xml:space="preserve">releasing the carbon that </w:t>
      </w:r>
      <w:r w:rsidR="009F2315">
        <w:t xml:space="preserve">has been sequestered in the </w:t>
      </w:r>
      <w:r w:rsidR="00CD60EA">
        <w:t>mineral</w:t>
      </w:r>
      <w:r w:rsidR="005B3B59">
        <w:t xml:space="preserve"> </w:t>
      </w:r>
      <w:r w:rsidR="00B50219">
        <w:t xml:space="preserve">(CaCO3 =&gt; </w:t>
      </w:r>
      <w:proofErr w:type="spellStart"/>
      <w:r w:rsidR="00B50219">
        <w:t>CaO</w:t>
      </w:r>
      <w:proofErr w:type="spellEnd"/>
      <w:r w:rsidR="00B50219">
        <w:t xml:space="preserve"> + CO2).</w:t>
      </w:r>
    </w:p>
    <w:p w14:paraId="16B87F91" w14:textId="5EB41C4C" w:rsidR="002A40C8" w:rsidRDefault="00CE1CC2">
      <w:r>
        <w:t xml:space="preserve">The CO2 from </w:t>
      </w:r>
      <w:r w:rsidR="00683B76">
        <w:t>the plant</w:t>
      </w:r>
      <w:r w:rsidR="00A12F5B">
        <w:t xml:space="preserve">’s flare and stacks could be captured, for example, using the </w:t>
      </w:r>
      <w:r w:rsidR="002A40C8">
        <w:t>Chart Industries</w:t>
      </w:r>
      <w:r w:rsidR="00437D9F">
        <w:t>’</w:t>
      </w:r>
      <w:r w:rsidR="004E2DF7">
        <w:t xml:space="preserve"> Cryogenic Carbon Capture technology</w:t>
      </w:r>
      <w:r w:rsidR="00641E74">
        <w:t xml:space="preserve"> described in the article below.</w:t>
      </w:r>
      <w:r w:rsidR="005C0B97">
        <w:t xml:space="preserve">  Chart Industries</w:t>
      </w:r>
      <w:r w:rsidR="00B118BE">
        <w:t xml:space="preserve"> also supplies </w:t>
      </w:r>
      <w:r w:rsidR="00DF270D">
        <w:t xml:space="preserve">cryogenic transport trailers for </w:t>
      </w:r>
      <w:r w:rsidR="000C0769">
        <w:t>hauling the liquid CO2 produced</w:t>
      </w:r>
      <w:r w:rsidR="00F07171">
        <w:t xml:space="preserve"> by </w:t>
      </w:r>
      <w:proofErr w:type="gramStart"/>
      <w:r w:rsidR="00F07171">
        <w:t>truck</w:t>
      </w:r>
      <w:proofErr w:type="gramEnd"/>
      <w:r w:rsidR="00C91C6F">
        <w:t xml:space="preserve"> to </w:t>
      </w:r>
      <w:r w:rsidR="00605B5C">
        <w:t>a point of use.</w:t>
      </w:r>
    </w:p>
    <w:p w14:paraId="2885CC83" w14:textId="6E04DD65" w:rsidR="00242E62" w:rsidRDefault="00242E62" w:rsidP="00B370BA">
      <w:pPr>
        <w:spacing w:after="0"/>
        <w:ind w:left="720"/>
      </w:pPr>
      <w:r w:rsidRPr="00242E62">
        <w:t>Cryogenic Carbon Capture</w:t>
      </w:r>
    </w:p>
    <w:p w14:paraId="574CD0E5" w14:textId="7E38195C" w:rsidR="00641E74" w:rsidRDefault="00C15C48" w:rsidP="00B370BA">
      <w:pPr>
        <w:ind w:left="720"/>
      </w:pPr>
      <w:hyperlink r:id="rId6" w:history="1">
        <w:r w:rsidRPr="003939AC">
          <w:rPr>
            <w:rStyle w:val="Hyperlink"/>
          </w:rPr>
          <w:t>https://www.chartindustries.com/Products/Carbon-Capture</w:t>
        </w:r>
      </w:hyperlink>
    </w:p>
    <w:p w14:paraId="0ED8A1F1" w14:textId="36DCE04C" w:rsidR="000C07AC" w:rsidRDefault="00C942E5">
      <w:r>
        <w:t xml:space="preserve">As part of the cryogenic capture process, the </w:t>
      </w:r>
      <w:r w:rsidR="004C34A7">
        <w:t xml:space="preserve">gas </w:t>
      </w:r>
      <w:r>
        <w:t xml:space="preserve">cooling also condenses the water vapor </w:t>
      </w:r>
      <w:r w:rsidR="000C07AC">
        <w:t>that was released in the combustion or gasification process.</w:t>
      </w:r>
      <w:r w:rsidR="004B63B0">
        <w:t xml:space="preserve">  This water could be used </w:t>
      </w:r>
      <w:r w:rsidR="00CC0908">
        <w:t xml:space="preserve">in place of </w:t>
      </w:r>
      <w:r w:rsidR="00EE106B">
        <w:t xml:space="preserve">much of </w:t>
      </w:r>
      <w:r w:rsidR="00CC0908">
        <w:t xml:space="preserve">the well water </w:t>
      </w:r>
      <w:r w:rsidR="005D1968">
        <w:t>currently required by the plan.</w:t>
      </w:r>
      <w:r w:rsidR="006A3F85">
        <w:t xml:space="preserve"> If we assume</w:t>
      </w:r>
      <w:r w:rsidR="006E5E75">
        <w:t xml:space="preserve">, for example, that </w:t>
      </w:r>
      <w:r w:rsidR="00D30201">
        <w:t>each carbon atom in</w:t>
      </w:r>
      <w:r w:rsidR="006E5E75">
        <w:t xml:space="preserve"> the biomass in the anaerobic digester</w:t>
      </w:r>
      <w:r w:rsidR="00D719E5">
        <w:t xml:space="preserve"> is </w:t>
      </w:r>
      <w:r w:rsidR="00D30201">
        <w:t xml:space="preserve">accompanied by </w:t>
      </w:r>
      <w:r w:rsidR="00D043F6">
        <w:t xml:space="preserve">at least 2 hydrogen atoms, </w:t>
      </w:r>
      <w:r w:rsidR="00A75B0C">
        <w:t>34,000 tons</w:t>
      </w:r>
      <w:r w:rsidR="00262FBA">
        <w:t xml:space="preserve"> per year</w:t>
      </w:r>
      <w:r w:rsidR="00A75B0C">
        <w:t xml:space="preserve"> of CO2 would be accompanied by the release of </w:t>
      </w:r>
      <w:r w:rsidR="006628E0">
        <w:t>about 3.3 million</w:t>
      </w:r>
      <w:r w:rsidR="00A75B0C">
        <w:t xml:space="preserve"> gallons of water</w:t>
      </w:r>
      <w:r w:rsidR="00F16ADF">
        <w:t xml:space="preserve"> per year.</w:t>
      </w:r>
      <w:r w:rsidR="00D719E5">
        <w:t xml:space="preserve"> </w:t>
      </w:r>
      <w:r w:rsidR="00226E26">
        <w:t>Page 52 says, “</w:t>
      </w:r>
      <w:r w:rsidR="00226E26" w:rsidRPr="00226E26">
        <w:t>The expected water consumption for the Project will be about 3.8 million gallons per year, with the potential for 8.8 million gallons per year in the worst-case scenario.</w:t>
      </w:r>
      <w:r w:rsidR="00226E26">
        <w:t>”</w:t>
      </w:r>
      <w:r w:rsidR="001057AB">
        <w:t xml:space="preserve"> </w:t>
      </w:r>
      <w:r w:rsidR="00E15A31">
        <w:t xml:space="preserve">Substituting </w:t>
      </w:r>
      <w:r w:rsidR="007559CA">
        <w:t xml:space="preserve">pure </w:t>
      </w:r>
      <w:r w:rsidR="00E15A31">
        <w:t>condensed water vapor for</w:t>
      </w:r>
      <w:r w:rsidR="009058F3">
        <w:t xml:space="preserve"> precious</w:t>
      </w:r>
      <w:r w:rsidR="00E15A31">
        <w:t xml:space="preserve"> </w:t>
      </w:r>
      <w:r w:rsidR="00EC7EBD">
        <w:t>aquifer</w:t>
      </w:r>
      <w:r w:rsidR="00E15A31">
        <w:t xml:space="preserve"> water</w:t>
      </w:r>
      <w:r w:rsidR="009058F3">
        <w:t xml:space="preserve"> would support the MPP goal </w:t>
      </w:r>
      <w:r w:rsidR="00326452">
        <w:t xml:space="preserve">of </w:t>
      </w:r>
      <w:r w:rsidR="009058F3">
        <w:t>conserv</w:t>
      </w:r>
      <w:r w:rsidR="00326452">
        <w:t>ing</w:t>
      </w:r>
      <w:r w:rsidR="009058F3">
        <w:t xml:space="preserve"> natural resources.</w:t>
      </w:r>
    </w:p>
    <w:p w14:paraId="4CAB88BA" w14:textId="42A18893" w:rsidR="008E3650" w:rsidRDefault="00230931">
      <w:r>
        <w:t xml:space="preserve">I am working with my state representative </w:t>
      </w:r>
      <w:r w:rsidR="00F0486A">
        <w:t>on</w:t>
      </w:r>
      <w:r>
        <w:t xml:space="preserve"> a bill </w:t>
      </w:r>
      <w:r w:rsidR="004F7DDC">
        <w:t xml:space="preserve">to have the legislature </w:t>
      </w:r>
      <w:r w:rsidR="005E2610">
        <w:t xml:space="preserve">fund a design study for building a state-owned facility that would </w:t>
      </w:r>
      <w:r w:rsidR="00C5113E">
        <w:t>combine captured CO2 with “green hydrogen”</w:t>
      </w:r>
      <w:r w:rsidR="001B423F">
        <w:t xml:space="preserve"> </w:t>
      </w:r>
      <w:r w:rsidR="001B423F">
        <w:t xml:space="preserve">to produce sustainable aviation fuel (SAF) for the MSP airport.  </w:t>
      </w:r>
      <w:r w:rsidR="003C0DD8">
        <w:t>T</w:t>
      </w:r>
      <w:r w:rsidR="003B0A40">
        <w:t xml:space="preserve">his SAF would displace fossil fuels. </w:t>
      </w:r>
      <w:r w:rsidR="001B423F">
        <w:t xml:space="preserve">The “green hydrogen” would be </w:t>
      </w:r>
      <w:r w:rsidR="00382036">
        <w:t xml:space="preserve">produced from water </w:t>
      </w:r>
      <w:proofErr w:type="spellStart"/>
      <w:r w:rsidR="00382036">
        <w:t>electrolyzers</w:t>
      </w:r>
      <w:proofErr w:type="spellEnd"/>
      <w:r w:rsidR="00382036">
        <w:t xml:space="preserve"> using</w:t>
      </w:r>
      <w:r w:rsidR="00382036">
        <w:t xml:space="preserve"> </w:t>
      </w:r>
      <w:r w:rsidR="00382036">
        <w:t>dedicated low-carbon renewable energy</w:t>
      </w:r>
      <w:r w:rsidR="002D6F23">
        <w:t>, like wind and solar (plus storage)</w:t>
      </w:r>
      <w:r w:rsidR="00382036">
        <w:t>.</w:t>
      </w:r>
      <w:r w:rsidR="00383952">
        <w:t xml:space="preserve"> </w:t>
      </w:r>
      <w:r w:rsidR="00CF6DA4">
        <w:t>An example of</w:t>
      </w:r>
      <w:r w:rsidR="006900A6">
        <w:t xml:space="preserve"> a commercial system is shown in the article below.</w:t>
      </w:r>
    </w:p>
    <w:p w14:paraId="42BCA483" w14:textId="619282A9" w:rsidR="002A1ABF" w:rsidRDefault="009751D0" w:rsidP="00B370BA">
      <w:pPr>
        <w:spacing w:after="0"/>
        <w:ind w:left="720"/>
      </w:pPr>
      <w:r w:rsidRPr="009751D0">
        <w:t xml:space="preserve">Infinium’s Project Pathfinder is World’s First Fully Operational </w:t>
      </w:r>
      <w:proofErr w:type="spellStart"/>
      <w:r w:rsidRPr="009751D0">
        <w:t>eFuels</w:t>
      </w:r>
      <w:proofErr w:type="spellEnd"/>
      <w:r w:rsidRPr="009751D0">
        <w:t xml:space="preserve"> Facility</w:t>
      </w:r>
    </w:p>
    <w:p w14:paraId="55D2CB2E" w14:textId="4C0FEC39" w:rsidR="009751D0" w:rsidRDefault="00F64419" w:rsidP="00B370BA">
      <w:pPr>
        <w:ind w:left="720"/>
      </w:pPr>
      <w:hyperlink r:id="rId7" w:history="1">
        <w:r w:rsidRPr="003939AC">
          <w:rPr>
            <w:rStyle w:val="Hyperlink"/>
          </w:rPr>
          <w:t>https://www.infiniumco.com/news/infiniums-project-pathfinder-is-worlds-first-fully-operational-efuels-facility</w:t>
        </w:r>
      </w:hyperlink>
    </w:p>
    <w:p w14:paraId="5516189F" w14:textId="16385772" w:rsidR="006152B3" w:rsidRDefault="004D19C5">
      <w:r>
        <w:t xml:space="preserve">Including </w:t>
      </w:r>
      <w:r w:rsidR="00440746">
        <w:t xml:space="preserve">technologies </w:t>
      </w:r>
      <w:r w:rsidR="00265A70">
        <w:t xml:space="preserve">like those </w:t>
      </w:r>
      <w:r w:rsidR="00440746">
        <w:t xml:space="preserve">described </w:t>
      </w:r>
      <w:r w:rsidR="00A270F7">
        <w:t>above</w:t>
      </w:r>
      <w:r w:rsidR="00440746">
        <w:t xml:space="preserve"> in the </w:t>
      </w:r>
      <w:r w:rsidR="002B2CF1">
        <w:t>Dem-Con HZI Bioenergy plan c</w:t>
      </w:r>
      <w:r w:rsidR="008448A5">
        <w:t>an move Minnesota closer to</w:t>
      </w:r>
      <w:r w:rsidR="00A270F7">
        <w:t xml:space="preserve"> being</w:t>
      </w:r>
      <w:r w:rsidR="008448A5">
        <w:t xml:space="preserve"> a “circular economy.”</w:t>
      </w:r>
    </w:p>
    <w:sectPr w:rsidR="0061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B"/>
    <w:rsid w:val="00053D93"/>
    <w:rsid w:val="000569FC"/>
    <w:rsid w:val="00062F44"/>
    <w:rsid w:val="000C0769"/>
    <w:rsid w:val="000C07AC"/>
    <w:rsid w:val="000C4AE7"/>
    <w:rsid w:val="000D67C8"/>
    <w:rsid w:val="001054E1"/>
    <w:rsid w:val="001057AB"/>
    <w:rsid w:val="001228F6"/>
    <w:rsid w:val="00124687"/>
    <w:rsid w:val="00124DC9"/>
    <w:rsid w:val="001311E0"/>
    <w:rsid w:val="00134C67"/>
    <w:rsid w:val="00151F42"/>
    <w:rsid w:val="00160784"/>
    <w:rsid w:val="00176541"/>
    <w:rsid w:val="0018577B"/>
    <w:rsid w:val="00197FAE"/>
    <w:rsid w:val="001B423F"/>
    <w:rsid w:val="001B4FD9"/>
    <w:rsid w:val="001B78D7"/>
    <w:rsid w:val="001C657E"/>
    <w:rsid w:val="001C6D73"/>
    <w:rsid w:val="001D1749"/>
    <w:rsid w:val="001D5074"/>
    <w:rsid w:val="001D7428"/>
    <w:rsid w:val="001F13EA"/>
    <w:rsid w:val="00202F26"/>
    <w:rsid w:val="00205934"/>
    <w:rsid w:val="00221C7E"/>
    <w:rsid w:val="00223FC9"/>
    <w:rsid w:val="00224D06"/>
    <w:rsid w:val="00226D71"/>
    <w:rsid w:val="00226E26"/>
    <w:rsid w:val="00230931"/>
    <w:rsid w:val="0023180C"/>
    <w:rsid w:val="0023296C"/>
    <w:rsid w:val="00241A50"/>
    <w:rsid w:val="00242E62"/>
    <w:rsid w:val="002626CD"/>
    <w:rsid w:val="00262FBA"/>
    <w:rsid w:val="00265A70"/>
    <w:rsid w:val="00270F23"/>
    <w:rsid w:val="00272827"/>
    <w:rsid w:val="00277235"/>
    <w:rsid w:val="0028459C"/>
    <w:rsid w:val="0029279E"/>
    <w:rsid w:val="00293270"/>
    <w:rsid w:val="00297F9E"/>
    <w:rsid w:val="002A1ABF"/>
    <w:rsid w:val="002A40C8"/>
    <w:rsid w:val="002B2136"/>
    <w:rsid w:val="002B2CF1"/>
    <w:rsid w:val="002B6A9A"/>
    <w:rsid w:val="002C7D93"/>
    <w:rsid w:val="002D6F23"/>
    <w:rsid w:val="002E19A9"/>
    <w:rsid w:val="002E269A"/>
    <w:rsid w:val="002F6EE2"/>
    <w:rsid w:val="00326452"/>
    <w:rsid w:val="00353DF2"/>
    <w:rsid w:val="00354CE6"/>
    <w:rsid w:val="003634DB"/>
    <w:rsid w:val="00374A73"/>
    <w:rsid w:val="00376E02"/>
    <w:rsid w:val="00382036"/>
    <w:rsid w:val="00383952"/>
    <w:rsid w:val="00390EF4"/>
    <w:rsid w:val="003B0A40"/>
    <w:rsid w:val="003B4071"/>
    <w:rsid w:val="003C0DD8"/>
    <w:rsid w:val="003C5F3C"/>
    <w:rsid w:val="003D090C"/>
    <w:rsid w:val="003E659E"/>
    <w:rsid w:val="004012D0"/>
    <w:rsid w:val="00437D9F"/>
    <w:rsid w:val="00440746"/>
    <w:rsid w:val="00454FF7"/>
    <w:rsid w:val="00456919"/>
    <w:rsid w:val="00470221"/>
    <w:rsid w:val="00470A30"/>
    <w:rsid w:val="004775D0"/>
    <w:rsid w:val="004A4B37"/>
    <w:rsid w:val="004B010C"/>
    <w:rsid w:val="004B63B0"/>
    <w:rsid w:val="004C1981"/>
    <w:rsid w:val="004C34A7"/>
    <w:rsid w:val="004D19C5"/>
    <w:rsid w:val="004D75A6"/>
    <w:rsid w:val="004E2DF7"/>
    <w:rsid w:val="004F53EC"/>
    <w:rsid w:val="004F57CF"/>
    <w:rsid w:val="004F7DDC"/>
    <w:rsid w:val="00543DBD"/>
    <w:rsid w:val="0054469D"/>
    <w:rsid w:val="00560983"/>
    <w:rsid w:val="005700F6"/>
    <w:rsid w:val="00582DCD"/>
    <w:rsid w:val="00596F4E"/>
    <w:rsid w:val="005A1326"/>
    <w:rsid w:val="005B3B59"/>
    <w:rsid w:val="005B4EF2"/>
    <w:rsid w:val="005C0B97"/>
    <w:rsid w:val="005D1968"/>
    <w:rsid w:val="005D6302"/>
    <w:rsid w:val="005E2610"/>
    <w:rsid w:val="005E5B36"/>
    <w:rsid w:val="00605B5C"/>
    <w:rsid w:val="00613C00"/>
    <w:rsid w:val="006152B3"/>
    <w:rsid w:val="00615F06"/>
    <w:rsid w:val="006247E1"/>
    <w:rsid w:val="006348ED"/>
    <w:rsid w:val="00641E74"/>
    <w:rsid w:val="006474E5"/>
    <w:rsid w:val="00647C29"/>
    <w:rsid w:val="00652A63"/>
    <w:rsid w:val="006628E0"/>
    <w:rsid w:val="00683B76"/>
    <w:rsid w:val="006900A6"/>
    <w:rsid w:val="00692502"/>
    <w:rsid w:val="00694488"/>
    <w:rsid w:val="006A3F85"/>
    <w:rsid w:val="006A4F92"/>
    <w:rsid w:val="006B253A"/>
    <w:rsid w:val="006B73B8"/>
    <w:rsid w:val="006E5E75"/>
    <w:rsid w:val="007041A3"/>
    <w:rsid w:val="00710DC6"/>
    <w:rsid w:val="007333C3"/>
    <w:rsid w:val="00743BD3"/>
    <w:rsid w:val="007478E5"/>
    <w:rsid w:val="00750613"/>
    <w:rsid w:val="007547EF"/>
    <w:rsid w:val="007559CA"/>
    <w:rsid w:val="0078553A"/>
    <w:rsid w:val="0078731B"/>
    <w:rsid w:val="007A6F9E"/>
    <w:rsid w:val="007C3F53"/>
    <w:rsid w:val="00812A71"/>
    <w:rsid w:val="008171BB"/>
    <w:rsid w:val="00817B48"/>
    <w:rsid w:val="00842185"/>
    <w:rsid w:val="00842A22"/>
    <w:rsid w:val="008448A5"/>
    <w:rsid w:val="00863D09"/>
    <w:rsid w:val="008B1552"/>
    <w:rsid w:val="008B4EA8"/>
    <w:rsid w:val="008E3650"/>
    <w:rsid w:val="009058F3"/>
    <w:rsid w:val="00923531"/>
    <w:rsid w:val="009240E4"/>
    <w:rsid w:val="00953410"/>
    <w:rsid w:val="00956132"/>
    <w:rsid w:val="00971C92"/>
    <w:rsid w:val="009751D0"/>
    <w:rsid w:val="00975678"/>
    <w:rsid w:val="00977AE3"/>
    <w:rsid w:val="00986F64"/>
    <w:rsid w:val="009A1F71"/>
    <w:rsid w:val="009A471A"/>
    <w:rsid w:val="009B3E03"/>
    <w:rsid w:val="009B4535"/>
    <w:rsid w:val="009F2315"/>
    <w:rsid w:val="00A12F5B"/>
    <w:rsid w:val="00A13489"/>
    <w:rsid w:val="00A15796"/>
    <w:rsid w:val="00A179D6"/>
    <w:rsid w:val="00A270F7"/>
    <w:rsid w:val="00A30BB9"/>
    <w:rsid w:val="00A34575"/>
    <w:rsid w:val="00A376D4"/>
    <w:rsid w:val="00A41960"/>
    <w:rsid w:val="00A47998"/>
    <w:rsid w:val="00A56C53"/>
    <w:rsid w:val="00A664D0"/>
    <w:rsid w:val="00A75B0C"/>
    <w:rsid w:val="00A81AEC"/>
    <w:rsid w:val="00AB56E4"/>
    <w:rsid w:val="00AB60DE"/>
    <w:rsid w:val="00AE0E19"/>
    <w:rsid w:val="00B01D8F"/>
    <w:rsid w:val="00B118BE"/>
    <w:rsid w:val="00B202F4"/>
    <w:rsid w:val="00B25DCC"/>
    <w:rsid w:val="00B361F2"/>
    <w:rsid w:val="00B370BA"/>
    <w:rsid w:val="00B50219"/>
    <w:rsid w:val="00B82BEE"/>
    <w:rsid w:val="00B90F54"/>
    <w:rsid w:val="00B94485"/>
    <w:rsid w:val="00B94C45"/>
    <w:rsid w:val="00BB2A93"/>
    <w:rsid w:val="00BB4FBD"/>
    <w:rsid w:val="00BB5EAA"/>
    <w:rsid w:val="00BE6867"/>
    <w:rsid w:val="00C01F5E"/>
    <w:rsid w:val="00C15C48"/>
    <w:rsid w:val="00C2529D"/>
    <w:rsid w:val="00C278D3"/>
    <w:rsid w:val="00C4190C"/>
    <w:rsid w:val="00C4311D"/>
    <w:rsid w:val="00C5113E"/>
    <w:rsid w:val="00C8585C"/>
    <w:rsid w:val="00C87CDA"/>
    <w:rsid w:val="00C91C6F"/>
    <w:rsid w:val="00C91F24"/>
    <w:rsid w:val="00C942E5"/>
    <w:rsid w:val="00CB6BDE"/>
    <w:rsid w:val="00CC0908"/>
    <w:rsid w:val="00CD60EA"/>
    <w:rsid w:val="00CD64A2"/>
    <w:rsid w:val="00CE1CC2"/>
    <w:rsid w:val="00CE28FF"/>
    <w:rsid w:val="00CF6DA4"/>
    <w:rsid w:val="00D00891"/>
    <w:rsid w:val="00D043F6"/>
    <w:rsid w:val="00D13F47"/>
    <w:rsid w:val="00D30201"/>
    <w:rsid w:val="00D37688"/>
    <w:rsid w:val="00D3794A"/>
    <w:rsid w:val="00D43720"/>
    <w:rsid w:val="00D53EF6"/>
    <w:rsid w:val="00D64F38"/>
    <w:rsid w:val="00D719E5"/>
    <w:rsid w:val="00D82570"/>
    <w:rsid w:val="00D90110"/>
    <w:rsid w:val="00D95475"/>
    <w:rsid w:val="00DB4171"/>
    <w:rsid w:val="00DC6EEE"/>
    <w:rsid w:val="00DD1745"/>
    <w:rsid w:val="00DD6FF1"/>
    <w:rsid w:val="00DD75D9"/>
    <w:rsid w:val="00DF270D"/>
    <w:rsid w:val="00E0645B"/>
    <w:rsid w:val="00E15A31"/>
    <w:rsid w:val="00E20824"/>
    <w:rsid w:val="00E25E02"/>
    <w:rsid w:val="00E3151B"/>
    <w:rsid w:val="00E35131"/>
    <w:rsid w:val="00E53D07"/>
    <w:rsid w:val="00E66D91"/>
    <w:rsid w:val="00E72716"/>
    <w:rsid w:val="00E96EA5"/>
    <w:rsid w:val="00EA45E1"/>
    <w:rsid w:val="00EB53A8"/>
    <w:rsid w:val="00EB70F3"/>
    <w:rsid w:val="00EC4A35"/>
    <w:rsid w:val="00EC7EBD"/>
    <w:rsid w:val="00EE106B"/>
    <w:rsid w:val="00EE5978"/>
    <w:rsid w:val="00EF2EA4"/>
    <w:rsid w:val="00EF533D"/>
    <w:rsid w:val="00F0486A"/>
    <w:rsid w:val="00F07171"/>
    <w:rsid w:val="00F13F43"/>
    <w:rsid w:val="00F16ADF"/>
    <w:rsid w:val="00F16E70"/>
    <w:rsid w:val="00F2396D"/>
    <w:rsid w:val="00F27853"/>
    <w:rsid w:val="00F358CB"/>
    <w:rsid w:val="00F37EA8"/>
    <w:rsid w:val="00F450C3"/>
    <w:rsid w:val="00F45C63"/>
    <w:rsid w:val="00F474DF"/>
    <w:rsid w:val="00F53FFC"/>
    <w:rsid w:val="00F57A9C"/>
    <w:rsid w:val="00F64419"/>
    <w:rsid w:val="00F75CAE"/>
    <w:rsid w:val="00F81453"/>
    <w:rsid w:val="00FA07E9"/>
    <w:rsid w:val="00FB3ADA"/>
    <w:rsid w:val="00FB6F9B"/>
    <w:rsid w:val="00FC0815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79E0"/>
  <w15:chartTrackingRefBased/>
  <w15:docId w15:val="{005F8D55-A844-4A7E-8F51-0347FDD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7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iniumco.com/news/infiniums-project-pathfinder-is-worlds-first-fully-operational-efuels-facil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rtindustries.com/Products/Carbon-Capture" TargetMode="External"/><Relationship Id="rId5" Type="http://schemas.openxmlformats.org/officeDocument/2006/relationships/hyperlink" Target="https://www.sciencedirect.com/science/article/pii/S0921344922002798" TargetMode="External"/><Relationship Id="rId4" Type="http://schemas.openxmlformats.org/officeDocument/2006/relationships/hyperlink" Target="https://www.bcg.com/publications/2024/four-applications-of-carbon-capture-and-utiliz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Lutz</dc:creator>
  <cp:keywords/>
  <dc:description/>
  <cp:lastModifiedBy>Dale Lutz</cp:lastModifiedBy>
  <cp:revision>4</cp:revision>
  <dcterms:created xsi:type="dcterms:W3CDTF">2024-08-01T00:19:00Z</dcterms:created>
  <dcterms:modified xsi:type="dcterms:W3CDTF">2024-08-01T00:20:00Z</dcterms:modified>
</cp:coreProperties>
</file>