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365" w:tblpY="-495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3510"/>
        <w:gridCol w:w="4415"/>
      </w:tblGrid>
      <w:tr w:rsidR="00A0780C" w14:paraId="0ED5AECE" w14:textId="77777777" w:rsidTr="5CC7F756">
        <w:tc>
          <w:tcPr>
            <w:tcW w:w="3415" w:type="dxa"/>
          </w:tcPr>
          <w:p w14:paraId="0AD39BF4" w14:textId="77777777" w:rsidR="00A0780C" w:rsidRPr="00441078" w:rsidRDefault="00A0780C" w:rsidP="00C87188">
            <w:pPr>
              <w:rPr>
                <w:rFonts w:cs="Arial"/>
                <w:b/>
                <w:color w:val="002060"/>
                <w:sz w:val="36"/>
                <w:szCs w:val="24"/>
              </w:rPr>
            </w:pPr>
          </w:p>
          <w:p w14:paraId="73129E21" w14:textId="417D82E6" w:rsidR="00A0780C" w:rsidRPr="004F53BC" w:rsidRDefault="006D5F56" w:rsidP="5CC7F756">
            <w:pPr>
              <w:rPr>
                <w:rFonts w:ascii="Arial" w:hAnsi="Arial" w:cs="Arial"/>
                <w:b/>
                <w:bCs/>
                <w:color w:val="11253D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1253D"/>
                <w:sz w:val="28"/>
                <w:szCs w:val="28"/>
              </w:rPr>
              <w:t>Cal Warwas</w:t>
            </w:r>
          </w:p>
          <w:p w14:paraId="2C494490" w14:textId="2B1F6F77" w:rsidR="00A0780C" w:rsidRDefault="00A0780C" w:rsidP="00C87188">
            <w:pPr>
              <w:rPr>
                <w:rFonts w:ascii="Arial" w:hAnsi="Arial" w:cs="Arial"/>
                <w:b/>
                <w:color w:val="11253D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11253D"/>
                <w:sz w:val="20"/>
                <w:szCs w:val="24"/>
              </w:rPr>
              <w:t>State Representative</w:t>
            </w:r>
          </w:p>
          <w:p w14:paraId="11D8036F" w14:textId="77777777" w:rsidR="00A0780C" w:rsidRDefault="00A0780C" w:rsidP="00C87188">
            <w:pPr>
              <w:rPr>
                <w:rFonts w:ascii="Arial" w:hAnsi="Arial" w:cs="Arial"/>
                <w:b/>
                <w:color w:val="11253D"/>
                <w:sz w:val="20"/>
                <w:szCs w:val="24"/>
              </w:rPr>
            </w:pPr>
          </w:p>
          <w:p w14:paraId="270878DE" w14:textId="4BB66BED" w:rsidR="00A0780C" w:rsidRPr="00DC57F0" w:rsidRDefault="00A0780C" w:rsidP="00C87188">
            <w:pPr>
              <w:rPr>
                <w:rFonts w:ascii="Arial" w:hAnsi="Arial" w:cs="Arial"/>
                <w:color w:val="11253D"/>
                <w:sz w:val="18"/>
                <w:szCs w:val="18"/>
              </w:rPr>
            </w:pPr>
            <w:r w:rsidRPr="5CC7F756">
              <w:rPr>
                <w:rFonts w:ascii="Arial" w:hAnsi="Arial" w:cs="Arial"/>
                <w:color w:val="11253D"/>
                <w:sz w:val="18"/>
                <w:szCs w:val="18"/>
              </w:rPr>
              <w:t xml:space="preserve">District </w:t>
            </w:r>
            <w:r w:rsidR="006D5F56">
              <w:rPr>
                <w:rFonts w:ascii="Arial" w:hAnsi="Arial" w:cs="Arial"/>
                <w:color w:val="11253D"/>
                <w:sz w:val="18"/>
                <w:szCs w:val="18"/>
              </w:rPr>
              <w:t>07B</w:t>
            </w:r>
          </w:p>
          <w:p w14:paraId="0B119154" w14:textId="6B0AF579" w:rsidR="00A0780C" w:rsidRPr="00DC57F0" w:rsidRDefault="00A0780C" w:rsidP="00C8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C00EB3A" w14:textId="77777777" w:rsidR="00A0780C" w:rsidRDefault="00A0780C" w:rsidP="00C8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F441" w14:textId="63A910D4" w:rsidR="00A0780C" w:rsidRDefault="001A5F27" w:rsidP="00C8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C434C1" wp14:editId="30D3F2AC">
                  <wp:extent cx="1082040" cy="1082040"/>
                  <wp:effectExtent l="0" t="0" r="3810" b="3810"/>
                  <wp:docPr id="10984114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</w:tcPr>
          <w:p w14:paraId="45430F78" w14:textId="77777777" w:rsidR="00A0780C" w:rsidRDefault="00A0780C" w:rsidP="00C87188">
            <w:pPr>
              <w:rPr>
                <w:rFonts w:ascii="Times New Roman" w:hAnsi="Times New Roman" w:cs="Times New Roman"/>
                <w:b/>
                <w:color w:val="002060"/>
                <w:sz w:val="36"/>
                <w:szCs w:val="24"/>
              </w:rPr>
            </w:pPr>
          </w:p>
          <w:p w14:paraId="38B54EBA" w14:textId="77777777" w:rsidR="00A0780C" w:rsidRPr="004F53BC" w:rsidRDefault="00A0780C" w:rsidP="00C87188">
            <w:pPr>
              <w:ind w:left="720"/>
              <w:rPr>
                <w:rFonts w:ascii="Times New Roman" w:hAnsi="Times New Roman" w:cs="Times New Roman"/>
                <w:b/>
                <w:color w:val="11253D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24"/>
              </w:rPr>
              <w:t xml:space="preserve">   </w:t>
            </w:r>
            <w:r w:rsidRPr="004F53BC">
              <w:rPr>
                <w:rFonts w:ascii="Times New Roman" w:hAnsi="Times New Roman" w:cs="Times New Roman"/>
                <w:b/>
                <w:color w:val="11253D"/>
                <w:sz w:val="36"/>
                <w:szCs w:val="24"/>
              </w:rPr>
              <w:t>Minnesota</w:t>
            </w:r>
          </w:p>
          <w:p w14:paraId="1E9A1123" w14:textId="77777777" w:rsidR="00A0780C" w:rsidRPr="004F53BC" w:rsidRDefault="00A0780C" w:rsidP="00C87188">
            <w:pPr>
              <w:ind w:left="720"/>
              <w:rPr>
                <w:rFonts w:ascii="Times New Roman" w:hAnsi="Times New Roman" w:cs="Times New Roman"/>
                <w:b/>
                <w:color w:val="11253D"/>
                <w:sz w:val="36"/>
                <w:szCs w:val="24"/>
              </w:rPr>
            </w:pPr>
            <w:r w:rsidRPr="004F53BC">
              <w:rPr>
                <w:rFonts w:ascii="Times New Roman" w:hAnsi="Times New Roman" w:cs="Times New Roman"/>
                <w:b/>
                <w:color w:val="11253D"/>
                <w:sz w:val="36"/>
                <w:szCs w:val="24"/>
              </w:rPr>
              <w:t xml:space="preserve">   House of</w:t>
            </w:r>
          </w:p>
          <w:p w14:paraId="17901DD8" w14:textId="77777777" w:rsidR="00A0780C" w:rsidRDefault="00A0780C" w:rsidP="00C8718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C">
              <w:rPr>
                <w:rFonts w:ascii="Times New Roman" w:hAnsi="Times New Roman" w:cs="Times New Roman"/>
                <w:b/>
                <w:color w:val="11253D"/>
                <w:sz w:val="36"/>
                <w:szCs w:val="24"/>
              </w:rPr>
              <w:t xml:space="preserve">   Representatives</w:t>
            </w:r>
            <w:r w:rsidRPr="004F53BC">
              <w:rPr>
                <w:rFonts w:ascii="Times New Roman" w:hAnsi="Times New Roman" w:cs="Times New Roman"/>
                <w:color w:val="11253D"/>
                <w:sz w:val="36"/>
                <w:szCs w:val="24"/>
              </w:rPr>
              <w:t xml:space="preserve"> </w:t>
            </w:r>
          </w:p>
        </w:tc>
      </w:tr>
    </w:tbl>
    <w:p w14:paraId="369FC551" w14:textId="77777777" w:rsidR="00A0780C" w:rsidRPr="00C173A7" w:rsidRDefault="00A0780C" w:rsidP="00A0780C">
      <w:pPr>
        <w:spacing w:after="0" w:line="240" w:lineRule="auto"/>
        <w:rPr>
          <w:rStyle w:val="Strong"/>
          <w:rFonts w:ascii="Georgia" w:hAnsi="Georgia" w:cs="Times New Roman"/>
          <w:b w:val="0"/>
          <w:spacing w:val="2"/>
          <w:bdr w:val="none" w:sz="0" w:space="0" w:color="auto" w:frame="1"/>
        </w:rPr>
      </w:pPr>
    </w:p>
    <w:p w14:paraId="191578ED" w14:textId="67CCD125" w:rsidR="006C23E7" w:rsidRPr="00C173A7" w:rsidRDefault="006C23E7" w:rsidP="00A0780C">
      <w:pPr>
        <w:spacing w:after="0" w:line="240" w:lineRule="auto"/>
        <w:ind w:left="-270" w:right="-187"/>
        <w:rPr>
          <w:rFonts w:ascii="Georgia" w:hAnsi="Georgia" w:cs="Arial"/>
          <w:bCs/>
          <w:spacing w:val="2"/>
          <w:bdr w:val="none" w:sz="0" w:space="0" w:color="auto" w:frame="1"/>
        </w:rPr>
      </w:pPr>
    </w:p>
    <w:p w14:paraId="0D00EBE6" w14:textId="5328273A" w:rsidR="00C173A7" w:rsidRPr="00C173A7" w:rsidRDefault="00EB03C3" w:rsidP="00C173A7">
      <w:pPr>
        <w:spacing w:after="0" w:line="276" w:lineRule="auto"/>
        <w:rPr>
          <w:rFonts w:ascii="Georgia" w:hAnsi="Georgia"/>
        </w:rPr>
      </w:pPr>
      <w:r w:rsidRPr="00C173A7">
        <w:rPr>
          <w:rFonts w:ascii="Georgia" w:hAnsi="Georgia"/>
        </w:rPr>
        <w:fldChar w:fldCharType="begin"/>
      </w:r>
      <w:r w:rsidRPr="00C173A7">
        <w:rPr>
          <w:rFonts w:ascii="Georgia" w:hAnsi="Georgia"/>
        </w:rPr>
        <w:instrText xml:space="preserve"> DATE \@ "MMMM d, yyyy" </w:instrText>
      </w:r>
      <w:r w:rsidRPr="00C173A7">
        <w:rPr>
          <w:rFonts w:ascii="Georgia" w:hAnsi="Georgia"/>
        </w:rPr>
        <w:fldChar w:fldCharType="separate"/>
      </w:r>
      <w:r w:rsidR="000F13BB">
        <w:rPr>
          <w:rFonts w:ascii="Georgia" w:hAnsi="Georgia"/>
          <w:noProof/>
        </w:rPr>
        <w:t>January 26, 2026</w:t>
      </w:r>
      <w:r w:rsidRPr="00C173A7">
        <w:rPr>
          <w:rFonts w:ascii="Georgia" w:hAnsi="Georgia"/>
        </w:rPr>
        <w:fldChar w:fldCharType="end"/>
      </w:r>
    </w:p>
    <w:p w14:paraId="19A19532" w14:textId="77777777" w:rsidR="00C173A7" w:rsidRPr="00C173A7" w:rsidRDefault="00C173A7" w:rsidP="00C173A7">
      <w:pPr>
        <w:spacing w:after="0" w:line="276" w:lineRule="auto"/>
        <w:rPr>
          <w:rFonts w:ascii="Georgia" w:hAnsi="Georgia"/>
        </w:rPr>
      </w:pPr>
    </w:p>
    <w:p w14:paraId="3F28BCDB" w14:textId="69E31C27" w:rsidR="6CF99D48" w:rsidRDefault="00587FD3" w:rsidP="5CC7F756">
      <w:pPr>
        <w:pStyle w:val="NormalWeb"/>
        <w:spacing w:before="0" w:beforeAutospacing="0" w:after="0" w:afterAutospacing="0"/>
      </w:pPr>
      <w:r>
        <w:rPr>
          <w:rFonts w:ascii="Georgia" w:hAnsi="Georgia" w:cstheme="majorBidi"/>
          <w:sz w:val="22"/>
          <w:szCs w:val="22"/>
        </w:rPr>
        <w:t>Minnesota Pollution Control Agency</w:t>
      </w:r>
    </w:p>
    <w:p w14:paraId="0910F187" w14:textId="6A0E86AE" w:rsidR="00587FD3" w:rsidRDefault="00587FD3" w:rsidP="00C173A7">
      <w:pPr>
        <w:pStyle w:val="NormalWeb"/>
        <w:spacing w:before="0" w:beforeAutospacing="0" w:after="0" w:afterAutospacing="0"/>
        <w:rPr>
          <w:rFonts w:ascii="Georgia" w:hAnsi="Georgia" w:cstheme="majorBidi"/>
          <w:sz w:val="22"/>
          <w:szCs w:val="22"/>
        </w:rPr>
      </w:pPr>
      <w:r w:rsidRPr="00587FD3">
        <w:rPr>
          <w:rFonts w:ascii="Georgia" w:hAnsi="Georgia" w:cstheme="majorBidi"/>
          <w:sz w:val="22"/>
          <w:szCs w:val="22"/>
        </w:rPr>
        <w:t>520 Lafayette Rd</w:t>
      </w:r>
    </w:p>
    <w:p w14:paraId="086922A4" w14:textId="674EA6B7" w:rsidR="000362E0" w:rsidRDefault="000362E0" w:rsidP="00C173A7">
      <w:pPr>
        <w:pStyle w:val="NormalWeb"/>
        <w:spacing w:before="0" w:beforeAutospacing="0" w:after="0" w:afterAutospacing="0"/>
        <w:rPr>
          <w:rFonts w:ascii="Georgia" w:hAnsi="Georgia" w:cstheme="majorBidi"/>
          <w:sz w:val="22"/>
          <w:szCs w:val="22"/>
        </w:rPr>
      </w:pPr>
      <w:r>
        <w:rPr>
          <w:rFonts w:ascii="Georgia" w:hAnsi="Georgia" w:cstheme="majorBidi"/>
          <w:sz w:val="22"/>
          <w:szCs w:val="22"/>
        </w:rPr>
        <w:t>St Paul</w:t>
      </w:r>
      <w:r w:rsidR="6CF99D48" w:rsidRPr="5CC7F756">
        <w:rPr>
          <w:rFonts w:ascii="Georgia" w:hAnsi="Georgia" w:cstheme="majorBidi"/>
          <w:sz w:val="22"/>
          <w:szCs w:val="22"/>
        </w:rPr>
        <w:t xml:space="preserve">, MN </w:t>
      </w:r>
      <w:r>
        <w:rPr>
          <w:rFonts w:ascii="Georgia" w:hAnsi="Georgia" w:cstheme="majorBidi"/>
          <w:sz w:val="22"/>
          <w:szCs w:val="22"/>
        </w:rPr>
        <w:t>55155</w:t>
      </w:r>
    </w:p>
    <w:p w14:paraId="0F1B8A70" w14:textId="77777777" w:rsidR="00B84864" w:rsidRPr="00C173A7" w:rsidRDefault="00B84864" w:rsidP="00C173A7">
      <w:pPr>
        <w:pStyle w:val="NormalWeb"/>
        <w:spacing w:before="0" w:beforeAutospacing="0" w:after="0" w:afterAutospacing="0"/>
        <w:rPr>
          <w:rFonts w:ascii="Georgia" w:hAnsi="Georgia" w:cstheme="majorBidi"/>
          <w:sz w:val="22"/>
          <w:szCs w:val="22"/>
        </w:rPr>
      </w:pPr>
    </w:p>
    <w:p w14:paraId="67697951" w14:textId="77777777" w:rsidR="000F13BB" w:rsidRPr="000F13BB" w:rsidRDefault="000F13BB" w:rsidP="000F13BB">
      <w:pPr>
        <w:shd w:val="clear" w:color="auto" w:fill="FFFFFF"/>
        <w:spacing w:after="0" w:line="360" w:lineRule="auto"/>
        <w:rPr>
          <w:rFonts w:ascii="Georgia" w:hAnsi="Georgia" w:cs="Times New Roman"/>
        </w:rPr>
      </w:pPr>
      <w:r w:rsidRPr="000F13BB">
        <w:rPr>
          <w:rFonts w:ascii="Georgia" w:hAnsi="Georgia" w:cs="Times New Roman"/>
        </w:rPr>
        <w:t>As a member of Minnesota’s Iron Range delegation, and as a lifelong Iron Ranger and union miner, I write to urge your continued support for Mesabi Metallics and the swift approval of its permit amendments.</w:t>
      </w:r>
    </w:p>
    <w:p w14:paraId="54601674" w14:textId="77777777" w:rsidR="000F13BB" w:rsidRPr="000F13BB" w:rsidRDefault="000F13BB" w:rsidP="000F13BB">
      <w:pPr>
        <w:shd w:val="clear" w:color="auto" w:fill="FFFFFF"/>
        <w:spacing w:after="0" w:line="360" w:lineRule="auto"/>
        <w:rPr>
          <w:rFonts w:ascii="Georgia" w:hAnsi="Georgia" w:cs="Times New Roman"/>
        </w:rPr>
      </w:pPr>
      <w:r w:rsidRPr="000F13BB">
        <w:rPr>
          <w:rFonts w:ascii="Georgia" w:hAnsi="Georgia" w:cs="Times New Roman"/>
        </w:rPr>
        <w:t xml:space="preserve">I am a third-generation miner and a second-generation </w:t>
      </w:r>
      <w:proofErr w:type="spellStart"/>
      <w:r w:rsidRPr="000F13BB">
        <w:rPr>
          <w:rFonts w:ascii="Georgia" w:hAnsi="Georgia" w:cs="Times New Roman"/>
        </w:rPr>
        <w:t>Minntac</w:t>
      </w:r>
      <w:proofErr w:type="spellEnd"/>
      <w:r w:rsidRPr="000F13BB">
        <w:rPr>
          <w:rFonts w:ascii="Georgia" w:hAnsi="Georgia" w:cs="Times New Roman"/>
        </w:rPr>
        <w:t xml:space="preserve"> employee in the Steelworkers Local 1938, where I will soon have completed 30 years of </w:t>
      </w:r>
      <w:proofErr w:type="spellStart"/>
      <w:r w:rsidRPr="000F13BB">
        <w:rPr>
          <w:rFonts w:ascii="Georgia" w:hAnsi="Georgia" w:cs="Times New Roman"/>
        </w:rPr>
        <w:t>sevice</w:t>
      </w:r>
      <w:proofErr w:type="spellEnd"/>
      <w:r w:rsidRPr="000F13BB">
        <w:rPr>
          <w:rFonts w:ascii="Georgia" w:hAnsi="Georgia" w:cs="Times New Roman"/>
        </w:rPr>
        <w:t>. My entire family literally represents how important these jobs are to our community. Mining has put food on my table and clothes on my back all the days of my life; the Mesabi project can do the same for scores of other Minnesotans too.</w:t>
      </w:r>
    </w:p>
    <w:p w14:paraId="054A4DEA" w14:textId="77777777" w:rsidR="000F13BB" w:rsidRPr="000F13BB" w:rsidRDefault="000F13BB" w:rsidP="000F13BB">
      <w:pPr>
        <w:shd w:val="clear" w:color="auto" w:fill="FFFFFF"/>
        <w:spacing w:after="0" w:line="360" w:lineRule="auto"/>
        <w:rPr>
          <w:rFonts w:ascii="Georgia" w:hAnsi="Georgia" w:cs="Times New Roman"/>
        </w:rPr>
      </w:pPr>
      <w:r w:rsidRPr="000F13BB">
        <w:rPr>
          <w:rFonts w:ascii="Georgia" w:hAnsi="Georgia" w:cs="Times New Roman"/>
        </w:rPr>
        <w:t>In my role as a state representative, my number one priority has been to use my office to advocate for the Iron Range and its working families - like my own - who depend on this industry. Supporting responsible mining and long-term economic development is central to why I serve.</w:t>
      </w:r>
    </w:p>
    <w:p w14:paraId="0E9BC175" w14:textId="77777777" w:rsidR="000F13BB" w:rsidRPr="000F13BB" w:rsidRDefault="000F13BB" w:rsidP="000F13BB">
      <w:pPr>
        <w:shd w:val="clear" w:color="auto" w:fill="FFFFFF"/>
        <w:spacing w:after="0" w:line="360" w:lineRule="auto"/>
        <w:rPr>
          <w:rFonts w:ascii="Georgia" w:hAnsi="Georgia" w:cs="Times New Roman"/>
        </w:rPr>
      </w:pPr>
      <w:r w:rsidRPr="000F13BB">
        <w:rPr>
          <w:rFonts w:ascii="Georgia" w:hAnsi="Georgia" w:cs="Times New Roman"/>
        </w:rPr>
        <w:t xml:space="preserve">Mesabi Metallics is a direct investment in the future of Minnesota’s economy and workforce, and will generate hundreds of high-quality, family-sustaining jobs, contribute over $30 million in annual tax benefits and provide long-term economic security to a region that has powered this state for generations. This project is more than a regional development; Mesabi Metallics is a direct investment in the future of Minnesota’s economy, workforce </w:t>
      </w:r>
      <w:proofErr w:type="gramStart"/>
      <w:r w:rsidRPr="000F13BB">
        <w:rPr>
          <w:rFonts w:ascii="Georgia" w:hAnsi="Georgia" w:cs="Times New Roman"/>
        </w:rPr>
        <w:t>and also</w:t>
      </w:r>
      <w:proofErr w:type="gramEnd"/>
      <w:r w:rsidRPr="000F13BB">
        <w:rPr>
          <w:rFonts w:ascii="Georgia" w:hAnsi="Georgia" w:cs="Times New Roman"/>
        </w:rPr>
        <w:t xml:space="preserve"> every </w:t>
      </w:r>
      <w:proofErr w:type="gramStart"/>
      <w:r w:rsidRPr="000F13BB">
        <w:rPr>
          <w:rFonts w:ascii="Georgia" w:hAnsi="Georgia" w:cs="Times New Roman"/>
        </w:rPr>
        <w:t>public school</w:t>
      </w:r>
      <w:proofErr w:type="gramEnd"/>
      <w:r w:rsidRPr="000F13BB">
        <w:rPr>
          <w:rFonts w:ascii="Georgia" w:hAnsi="Georgia" w:cs="Times New Roman"/>
        </w:rPr>
        <w:t xml:space="preserve"> student in the state.</w:t>
      </w:r>
    </w:p>
    <w:p w14:paraId="085968DE" w14:textId="77777777" w:rsidR="000F13BB" w:rsidRPr="000F13BB" w:rsidRDefault="000F13BB" w:rsidP="000F13BB">
      <w:pPr>
        <w:shd w:val="clear" w:color="auto" w:fill="FFFFFF"/>
        <w:spacing w:after="0" w:line="360" w:lineRule="auto"/>
        <w:rPr>
          <w:rFonts w:ascii="Georgia" w:hAnsi="Georgia" w:cs="Times New Roman"/>
        </w:rPr>
      </w:pPr>
      <w:r w:rsidRPr="000F13BB">
        <w:rPr>
          <w:rFonts w:ascii="Georgia" w:hAnsi="Georgia" w:cs="Times New Roman"/>
        </w:rPr>
        <w:t> I ask for your leadership in supporting the final steps to move this project forward.  </w:t>
      </w:r>
    </w:p>
    <w:p w14:paraId="12573DE0" w14:textId="13881A66" w:rsidR="000246C1" w:rsidRPr="000246C1" w:rsidRDefault="000246C1" w:rsidP="00C338B2">
      <w:pPr>
        <w:shd w:val="clear" w:color="auto" w:fill="FFFFFF"/>
        <w:spacing w:after="0" w:line="360" w:lineRule="auto"/>
        <w:rPr>
          <w:rFonts w:ascii="Georgia" w:eastAsia="Aptos" w:hAnsi="Georgia" w:cs="Aptos"/>
        </w:rPr>
      </w:pPr>
      <w:r w:rsidRPr="000246C1">
        <w:rPr>
          <w:rFonts w:ascii="Georgia" w:eastAsia="Aptos" w:hAnsi="Georgia" w:cs="Segoe UI"/>
          <w:color w:val="000000"/>
        </w:rPr>
        <w:t xml:space="preserve">  </w:t>
      </w:r>
    </w:p>
    <w:p w14:paraId="6A13E314" w14:textId="584661DD" w:rsidR="000362E0" w:rsidRPr="000362E0" w:rsidRDefault="003E1FA4" w:rsidP="000362E0">
      <w:pPr>
        <w:pStyle w:val="NormalWeb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BA3E815" wp14:editId="43C3ADE9">
            <wp:simplePos x="0" y="0"/>
            <wp:positionH relativeFrom="margin">
              <wp:posOffset>76200</wp:posOffset>
            </wp:positionH>
            <wp:positionV relativeFrom="paragraph">
              <wp:posOffset>347980</wp:posOffset>
            </wp:positionV>
            <wp:extent cx="762000" cy="763905"/>
            <wp:effectExtent l="0" t="0" r="0" b="0"/>
            <wp:wrapTight wrapText="bothSides">
              <wp:wrapPolygon edited="0">
                <wp:start x="0" y="0"/>
                <wp:lineTo x="0" y="21007"/>
                <wp:lineTo x="21060" y="21007"/>
                <wp:lineTo x="21060" y="0"/>
                <wp:lineTo x="0" y="0"/>
              </wp:wrapPolygon>
            </wp:wrapTight>
            <wp:docPr id="300145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2E0" w:rsidRPr="000362E0">
        <w:rPr>
          <w:rFonts w:ascii="Georgia" w:hAnsi="Georgia"/>
          <w:sz w:val="22"/>
          <w:szCs w:val="22"/>
        </w:rPr>
        <w:t>Respectfully,</w:t>
      </w:r>
    </w:p>
    <w:p w14:paraId="3DFC1FC0" w14:textId="5D992C53" w:rsidR="005E1F22" w:rsidRDefault="005E1F22" w:rsidP="006D5F56">
      <w:pPr>
        <w:pStyle w:val="NormalWeb"/>
        <w:spacing w:after="0"/>
        <w:rPr>
          <w:rFonts w:ascii="Georgia" w:hAnsi="Georgia" w:cstheme="majorBidi"/>
          <w:spacing w:val="2"/>
          <w:sz w:val="22"/>
          <w:szCs w:val="22"/>
          <w:bdr w:val="none" w:sz="0" w:space="0" w:color="auto" w:frame="1"/>
        </w:rPr>
      </w:pPr>
    </w:p>
    <w:p w14:paraId="30EDEA35" w14:textId="77777777" w:rsidR="00375E9D" w:rsidRDefault="00375E9D" w:rsidP="006D5F56">
      <w:pPr>
        <w:pStyle w:val="NormalWeb"/>
        <w:spacing w:after="0"/>
        <w:rPr>
          <w:rFonts w:ascii="Georgia" w:hAnsi="Georgia" w:cstheme="majorBidi"/>
          <w:spacing w:val="2"/>
          <w:sz w:val="22"/>
          <w:szCs w:val="22"/>
          <w:bdr w:val="none" w:sz="0" w:space="0" w:color="auto" w:frame="1"/>
        </w:rPr>
      </w:pPr>
    </w:p>
    <w:p w14:paraId="06CFAAE1" w14:textId="1DD5DF8D" w:rsidR="000362E0" w:rsidRPr="008D04FE" w:rsidRDefault="000362E0" w:rsidP="006D5F56">
      <w:pPr>
        <w:pStyle w:val="NormalWeb"/>
        <w:spacing w:after="0"/>
        <w:rPr>
          <w:rFonts w:ascii="Georgia" w:hAnsi="Georgia" w:cstheme="majorBidi"/>
          <w:spacing w:val="2"/>
          <w:sz w:val="22"/>
          <w:szCs w:val="22"/>
          <w:bdr w:val="none" w:sz="0" w:space="0" w:color="auto" w:frame="1"/>
        </w:rPr>
      </w:pPr>
      <w:r>
        <w:rPr>
          <w:rFonts w:ascii="Georgia" w:hAnsi="Georgia" w:cstheme="majorBidi"/>
          <w:spacing w:val="2"/>
          <w:sz w:val="22"/>
          <w:szCs w:val="22"/>
          <w:bdr w:val="none" w:sz="0" w:space="0" w:color="auto" w:frame="1"/>
        </w:rPr>
        <w:t>Representative Cal Warwas- District 07B</w:t>
      </w:r>
    </w:p>
    <w:sectPr w:rsidR="000362E0" w:rsidRPr="008D04FE" w:rsidSect="008D04FE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EB4B" w14:textId="77777777" w:rsidR="00EB6104" w:rsidRDefault="00EB6104" w:rsidP="00CB2300">
      <w:pPr>
        <w:spacing w:after="0" w:line="240" w:lineRule="auto"/>
      </w:pPr>
      <w:r>
        <w:separator/>
      </w:r>
    </w:p>
  </w:endnote>
  <w:endnote w:type="continuationSeparator" w:id="0">
    <w:p w14:paraId="205C9B64" w14:textId="77777777" w:rsidR="00EB6104" w:rsidRDefault="00EB6104" w:rsidP="00CB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9766" w14:textId="77777777" w:rsidR="00CB2300" w:rsidRDefault="00CB2300" w:rsidP="00CB2300">
    <w:pPr>
      <w:spacing w:after="0" w:line="240" w:lineRule="auto"/>
      <w:ind w:right="-187"/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</w:pPr>
  </w:p>
  <w:p w14:paraId="61450D1A" w14:textId="77777777" w:rsidR="00CB2300" w:rsidRDefault="00CB2300" w:rsidP="00CB2300">
    <w:pPr>
      <w:spacing w:after="0" w:line="240" w:lineRule="auto"/>
      <w:ind w:left="-274" w:right="-187"/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</w:pPr>
    <w:r w:rsidRPr="00DC57F0">
      <w:rPr>
        <w:rFonts w:ascii="Arial" w:hAnsi="Arial" w:cs="Arial"/>
        <w:bCs/>
        <w:noProof/>
        <w:color w:val="11253D"/>
        <w:spacing w:val="2"/>
        <w:sz w:val="16"/>
        <w:bdr w:val="none" w:sz="0" w:space="0" w:color="auto" w:frame="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3B23C" wp14:editId="347981A3">
              <wp:simplePos x="0" y="0"/>
              <wp:positionH relativeFrom="column">
                <wp:posOffset>-238125</wp:posOffset>
              </wp:positionH>
              <wp:positionV relativeFrom="paragraph">
                <wp:posOffset>159385</wp:posOffset>
              </wp:positionV>
              <wp:extent cx="62960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0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125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F8028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2.55pt" to="47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" strokecolor="#11253d" strokeweight=".5pt">
              <v:stroke joinstyle="miter"/>
            </v:line>
          </w:pict>
        </mc:Fallback>
      </mc:AlternateContent>
    </w:r>
    <w:r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  <w:tab/>
    </w:r>
    <w:r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  <w:tab/>
    </w:r>
    <w:r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  <w:tab/>
      <w:t xml:space="preserve">                                         </w:t>
    </w:r>
  </w:p>
  <w:p w14:paraId="3114919D" w14:textId="77777777" w:rsidR="00CB2300" w:rsidRDefault="00CB2300" w:rsidP="00CB2300">
    <w:pPr>
      <w:spacing w:after="0" w:line="240" w:lineRule="auto"/>
      <w:ind w:left="-274" w:right="-187"/>
      <w:rPr>
        <w:rFonts w:ascii="Arial" w:hAnsi="Arial" w:cs="Arial"/>
        <w:bCs/>
        <w:color w:val="11253D"/>
        <w:spacing w:val="2"/>
        <w:sz w:val="16"/>
        <w:bdr w:val="none" w:sz="0" w:space="0" w:color="auto" w:frame="1"/>
      </w:rPr>
    </w:pPr>
  </w:p>
  <w:p w14:paraId="70B1CC05" w14:textId="045D80DB" w:rsidR="00CB2300" w:rsidRPr="00CB2300" w:rsidRDefault="000362E0" w:rsidP="5CC7F756">
    <w:pPr>
      <w:spacing w:after="0" w:line="240" w:lineRule="auto"/>
      <w:ind w:left="-274" w:right="-187"/>
      <w:jc w:val="center"/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</w:pPr>
    <w:r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>Centennial</w:t>
    </w:r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 xml:space="preserve"> Office Building, </w:t>
    </w:r>
    <w:r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>658 Cedar St</w:t>
    </w:r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 xml:space="preserve">, St. Paul, MN 55155-1298                                         </w:t>
    </w:r>
    <w:proofErr w:type="gramStart"/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 xml:space="preserve">   (</w:t>
    </w:r>
    <w:proofErr w:type="gramEnd"/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 xml:space="preserve">651) </w:t>
    </w:r>
    <w:r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>297</w:t>
    </w:r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>-</w:t>
    </w:r>
    <w:r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>8034</w:t>
    </w:r>
    <w:r w:rsidR="5CC7F756" w:rsidRPr="5CC7F756">
      <w:rPr>
        <w:rFonts w:ascii="Arial" w:hAnsi="Arial" w:cs="Arial"/>
        <w:color w:val="11253D"/>
        <w:spacing w:val="2"/>
        <w:sz w:val="16"/>
        <w:szCs w:val="16"/>
        <w:bdr w:val="none" w:sz="0" w:space="0" w:color="auto" w:frame="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0CBD" w14:textId="77777777" w:rsidR="00EB6104" w:rsidRDefault="00EB6104" w:rsidP="00CB2300">
      <w:pPr>
        <w:spacing w:after="0" w:line="240" w:lineRule="auto"/>
      </w:pPr>
      <w:r>
        <w:separator/>
      </w:r>
    </w:p>
  </w:footnote>
  <w:footnote w:type="continuationSeparator" w:id="0">
    <w:p w14:paraId="13979F1F" w14:textId="77777777" w:rsidR="00EB6104" w:rsidRDefault="00EB6104" w:rsidP="00CB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C7F756" w14:paraId="0540959A" w14:textId="77777777" w:rsidTr="5CC7F756">
      <w:trPr>
        <w:trHeight w:val="300"/>
      </w:trPr>
      <w:tc>
        <w:tcPr>
          <w:tcW w:w="3120" w:type="dxa"/>
        </w:tcPr>
        <w:p w14:paraId="7F3674DB" w14:textId="1A56BCCE" w:rsidR="5CC7F756" w:rsidRDefault="5CC7F756" w:rsidP="5CC7F756">
          <w:pPr>
            <w:pStyle w:val="Header"/>
            <w:ind w:left="-115"/>
          </w:pPr>
        </w:p>
      </w:tc>
      <w:tc>
        <w:tcPr>
          <w:tcW w:w="3120" w:type="dxa"/>
        </w:tcPr>
        <w:p w14:paraId="7A03BF7D" w14:textId="3518DE0B" w:rsidR="5CC7F756" w:rsidRDefault="5CC7F756" w:rsidP="5CC7F756">
          <w:pPr>
            <w:pStyle w:val="Header"/>
            <w:jc w:val="center"/>
          </w:pPr>
        </w:p>
      </w:tc>
      <w:tc>
        <w:tcPr>
          <w:tcW w:w="3120" w:type="dxa"/>
        </w:tcPr>
        <w:p w14:paraId="688FBA93" w14:textId="59F74ACD" w:rsidR="5CC7F756" w:rsidRDefault="5CC7F756" w:rsidP="5CC7F756">
          <w:pPr>
            <w:pStyle w:val="Header"/>
            <w:ind w:right="-115"/>
            <w:jc w:val="right"/>
          </w:pPr>
        </w:p>
      </w:tc>
    </w:tr>
  </w:tbl>
  <w:p w14:paraId="73024498" w14:textId="6133FAB5" w:rsidR="5CC7F756" w:rsidRDefault="5CC7F756" w:rsidP="5CC7F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56DA2"/>
    <w:multiLevelType w:val="hybridMultilevel"/>
    <w:tmpl w:val="5726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4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tTQyNrA0tzA3szRU0lEKTi0uzszPAykwqgUA4O8RTCwAAAA="/>
  </w:docVars>
  <w:rsids>
    <w:rsidRoot w:val="00A0780C"/>
    <w:rsid w:val="000237FC"/>
    <w:rsid w:val="000246C1"/>
    <w:rsid w:val="000362E0"/>
    <w:rsid w:val="00056CAA"/>
    <w:rsid w:val="00076DE0"/>
    <w:rsid w:val="000B7090"/>
    <w:rsid w:val="000D005E"/>
    <w:rsid w:val="000F13BB"/>
    <w:rsid w:val="00174821"/>
    <w:rsid w:val="0018780A"/>
    <w:rsid w:val="001A5F27"/>
    <w:rsid w:val="00223058"/>
    <w:rsid w:val="00262F9E"/>
    <w:rsid w:val="00272161"/>
    <w:rsid w:val="002D5365"/>
    <w:rsid w:val="002F1E29"/>
    <w:rsid w:val="0032360C"/>
    <w:rsid w:val="00375E9D"/>
    <w:rsid w:val="003E1FA4"/>
    <w:rsid w:val="004133E5"/>
    <w:rsid w:val="004369C7"/>
    <w:rsid w:val="00462D4E"/>
    <w:rsid w:val="004A48BD"/>
    <w:rsid w:val="004B44BF"/>
    <w:rsid w:val="004B78CA"/>
    <w:rsid w:val="004D4FB8"/>
    <w:rsid w:val="00540545"/>
    <w:rsid w:val="005526F5"/>
    <w:rsid w:val="005674A4"/>
    <w:rsid w:val="00587FD3"/>
    <w:rsid w:val="005C2C02"/>
    <w:rsid w:val="005C60CC"/>
    <w:rsid w:val="005E1F22"/>
    <w:rsid w:val="006A0151"/>
    <w:rsid w:val="006C1D6E"/>
    <w:rsid w:val="006C23E7"/>
    <w:rsid w:val="006D5F56"/>
    <w:rsid w:val="00773889"/>
    <w:rsid w:val="007C556F"/>
    <w:rsid w:val="007D79F9"/>
    <w:rsid w:val="007F1A64"/>
    <w:rsid w:val="00842B2F"/>
    <w:rsid w:val="008B69D3"/>
    <w:rsid w:val="008D04FE"/>
    <w:rsid w:val="008E0F5B"/>
    <w:rsid w:val="009148B2"/>
    <w:rsid w:val="009362DE"/>
    <w:rsid w:val="009D0ABA"/>
    <w:rsid w:val="00A0780C"/>
    <w:rsid w:val="00A91AE5"/>
    <w:rsid w:val="00AA1931"/>
    <w:rsid w:val="00AF0476"/>
    <w:rsid w:val="00B215F8"/>
    <w:rsid w:val="00B45178"/>
    <w:rsid w:val="00B77A46"/>
    <w:rsid w:val="00B84864"/>
    <w:rsid w:val="00BC7FB9"/>
    <w:rsid w:val="00C0528F"/>
    <w:rsid w:val="00C173A7"/>
    <w:rsid w:val="00C179A0"/>
    <w:rsid w:val="00C338B2"/>
    <w:rsid w:val="00C666D7"/>
    <w:rsid w:val="00C713D1"/>
    <w:rsid w:val="00C8155E"/>
    <w:rsid w:val="00CB2300"/>
    <w:rsid w:val="00CB659A"/>
    <w:rsid w:val="00CD76C4"/>
    <w:rsid w:val="00D535D5"/>
    <w:rsid w:val="00D71E37"/>
    <w:rsid w:val="00DC7E55"/>
    <w:rsid w:val="00E90163"/>
    <w:rsid w:val="00EB03C3"/>
    <w:rsid w:val="00EB6104"/>
    <w:rsid w:val="00F46E2C"/>
    <w:rsid w:val="03DC8A66"/>
    <w:rsid w:val="0BC90E73"/>
    <w:rsid w:val="182922F3"/>
    <w:rsid w:val="46DCCC08"/>
    <w:rsid w:val="5CC7F756"/>
    <w:rsid w:val="6CF99D48"/>
    <w:rsid w:val="789BE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E389D"/>
  <w15:chartTrackingRefBased/>
  <w15:docId w15:val="{97D9B813-E2E8-40EC-9984-1516EAD8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780C"/>
    <w:rPr>
      <w:b/>
      <w:bCs/>
    </w:rPr>
  </w:style>
  <w:style w:type="table" w:styleId="TableGrid">
    <w:name w:val="Table Grid"/>
    <w:basedOn w:val="TableNormal"/>
    <w:uiPriority w:val="39"/>
    <w:rsid w:val="00A0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300"/>
  </w:style>
  <w:style w:type="paragraph" w:styleId="Footer">
    <w:name w:val="footer"/>
    <w:basedOn w:val="Normal"/>
    <w:link w:val="FooterChar"/>
    <w:uiPriority w:val="99"/>
    <w:unhideWhenUsed/>
    <w:rsid w:val="00CB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00"/>
  </w:style>
  <w:style w:type="paragraph" w:styleId="NoSpacing">
    <w:name w:val="No Spacing"/>
    <w:uiPriority w:val="1"/>
    <w:qFormat/>
    <w:rsid w:val="00CB230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73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369C7"/>
    <w:pPr>
      <w:spacing w:after="0" w:line="240" w:lineRule="auto"/>
    </w:pPr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1409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Representatives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Wallin</dc:creator>
  <cp:keywords/>
  <dc:description/>
  <cp:lastModifiedBy>Jacob Alm</cp:lastModifiedBy>
  <cp:revision>3</cp:revision>
  <cp:lastPrinted>2020-01-29T15:30:00Z</cp:lastPrinted>
  <dcterms:created xsi:type="dcterms:W3CDTF">2026-01-22T17:55:00Z</dcterms:created>
  <dcterms:modified xsi:type="dcterms:W3CDTF">2026-01-26T15:06:00Z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26911944-84d5-40ef-95b2-a507e324b103</vt:lpwstr>
  </property>
</Properties>
</file>