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FF166" w14:textId="77777777" w:rsidR="00C54FF0" w:rsidRPr="00A36ACA" w:rsidRDefault="00C54FF0" w:rsidP="00AC6524">
      <w:pPr>
        <w:rPr>
          <w:b/>
          <w:bCs/>
        </w:rPr>
      </w:pPr>
      <w:r w:rsidRPr="00A36ACA">
        <w:rPr>
          <w:rFonts w:hint="eastAsia"/>
          <w:b/>
          <w:bCs/>
        </w:rPr>
        <w:t xml:space="preserve">Q1.　</w:t>
      </w:r>
      <w:r w:rsidRPr="00A36ACA">
        <w:rPr>
          <w:b/>
          <w:bCs/>
        </w:rPr>
        <w:t>Who is commenting? (choose the best fit)</w:t>
      </w:r>
    </w:p>
    <w:p w14:paraId="62462127" w14:textId="64A40A23" w:rsidR="00C54FF0" w:rsidRPr="00A36ACA" w:rsidRDefault="00C54FF0" w:rsidP="00AC6524">
      <w:r w:rsidRPr="00A36ACA">
        <w:rPr>
          <w:b/>
          <w:bCs/>
        </w:rPr>
        <w:t>Response:</w:t>
      </w:r>
      <w:r w:rsidRPr="00A36ACA">
        <w:rPr>
          <w:rFonts w:hint="eastAsia"/>
        </w:rPr>
        <w:t xml:space="preserve"> </w:t>
      </w:r>
      <w:r w:rsidRPr="00A36ACA">
        <w:t>Representative of a product manufacturer(s)</w:t>
      </w:r>
    </w:p>
    <w:p w14:paraId="50F7D456" w14:textId="77777777" w:rsidR="00C54FF0" w:rsidRPr="00A36ACA" w:rsidRDefault="00C54FF0" w:rsidP="00AC6524">
      <w:pPr>
        <w:rPr>
          <w:b/>
          <w:bCs/>
        </w:rPr>
      </w:pPr>
    </w:p>
    <w:p w14:paraId="7EE10E25" w14:textId="6EF83FAA" w:rsidR="00C54FF0" w:rsidRPr="00A36ACA" w:rsidRDefault="00C54FF0" w:rsidP="00AC6524">
      <w:pPr>
        <w:rPr>
          <w:b/>
          <w:bCs/>
        </w:rPr>
      </w:pPr>
      <w:r w:rsidRPr="00A36ACA">
        <w:rPr>
          <w:rFonts w:hint="eastAsia"/>
          <w:b/>
          <w:bCs/>
        </w:rPr>
        <w:t>Q</w:t>
      </w:r>
      <w:r w:rsidRPr="00A36ACA">
        <w:rPr>
          <w:b/>
          <w:bCs/>
        </w:rPr>
        <w:t>2. If you are commenting as a representative, what is the name of the entity you are commenting on behalf of?</w:t>
      </w:r>
    </w:p>
    <w:p w14:paraId="430D698B" w14:textId="23FEFA99" w:rsidR="00C54FF0" w:rsidRPr="00A36ACA" w:rsidRDefault="00C54FF0" w:rsidP="00C54FF0">
      <w:r w:rsidRPr="00A36ACA">
        <w:rPr>
          <w:b/>
          <w:bCs/>
        </w:rPr>
        <w:t>Response:</w:t>
      </w:r>
      <w:r w:rsidRPr="00A36ACA">
        <w:rPr>
          <w:rFonts w:hint="eastAsia"/>
          <w:b/>
          <w:bCs/>
        </w:rPr>
        <w:t xml:space="preserve"> </w:t>
      </w:r>
      <w:r w:rsidRPr="00A36ACA">
        <w:rPr>
          <w:rFonts w:hint="eastAsia"/>
        </w:rPr>
        <w:t>The Japan Refrigeration and Air Conditioning Industry Association (JRAIA)</w:t>
      </w:r>
    </w:p>
    <w:p w14:paraId="16EA16FA" w14:textId="77777777" w:rsidR="00C54FF0" w:rsidRPr="00A36ACA" w:rsidRDefault="00C54FF0" w:rsidP="00AC6524">
      <w:pPr>
        <w:rPr>
          <w:b/>
          <w:bCs/>
        </w:rPr>
      </w:pPr>
    </w:p>
    <w:p w14:paraId="69A55C39" w14:textId="44AF5F5C" w:rsidR="00AC6524" w:rsidRPr="00A36ACA" w:rsidRDefault="00AC6524" w:rsidP="00AC6524">
      <w:pPr>
        <w:rPr>
          <w:b/>
          <w:bCs/>
        </w:rPr>
      </w:pPr>
      <w:r w:rsidRPr="00A36ACA">
        <w:rPr>
          <w:b/>
          <w:bCs/>
        </w:rPr>
        <w:t>Q3. What industry(</w:t>
      </w:r>
      <w:proofErr w:type="spellStart"/>
      <w:r w:rsidRPr="00A36ACA">
        <w:rPr>
          <w:b/>
          <w:bCs/>
        </w:rPr>
        <w:t>ies</w:t>
      </w:r>
      <w:proofErr w:type="spellEnd"/>
      <w:r w:rsidRPr="00A36ACA">
        <w:rPr>
          <w:b/>
          <w:bCs/>
        </w:rPr>
        <w:t>) do you represent?</w:t>
      </w:r>
    </w:p>
    <w:p w14:paraId="07CFE694" w14:textId="77777777" w:rsidR="00AC6524" w:rsidRPr="00A36ACA" w:rsidRDefault="00AC6524" w:rsidP="00AC6524">
      <w:r w:rsidRPr="00A36ACA">
        <w:rPr>
          <w:b/>
          <w:bCs/>
        </w:rPr>
        <w:t>Response:</w:t>
      </w:r>
    </w:p>
    <w:p w14:paraId="4DCD7682" w14:textId="77777777" w:rsidR="00AC6524" w:rsidRPr="00A36ACA" w:rsidRDefault="00AC6524" w:rsidP="00AC6524">
      <w:r w:rsidRPr="00A36ACA">
        <w:t>We represent the air conditioning, heat pump, refrigeration, and water heating equipment sector.</w:t>
      </w:r>
    </w:p>
    <w:p w14:paraId="5E4842A6" w14:textId="43640C61" w:rsidR="00AC6524" w:rsidRPr="00A36ACA" w:rsidRDefault="00AC6524" w:rsidP="00AC6524"/>
    <w:p w14:paraId="1531C9F3" w14:textId="77777777" w:rsidR="00AC6524" w:rsidRPr="00A36ACA" w:rsidRDefault="00AC6524" w:rsidP="00AC6524">
      <w:pPr>
        <w:rPr>
          <w:b/>
          <w:bCs/>
        </w:rPr>
      </w:pPr>
      <w:r w:rsidRPr="00A36ACA">
        <w:rPr>
          <w:b/>
          <w:bCs/>
        </w:rPr>
        <w:t>Q4. What types of products or product categories may require a CUU determination?</w:t>
      </w:r>
    </w:p>
    <w:p w14:paraId="321D3B7B" w14:textId="77777777" w:rsidR="00AC6524" w:rsidRPr="00A36ACA" w:rsidRDefault="00AC6524" w:rsidP="00AC6524">
      <w:r w:rsidRPr="00A36ACA">
        <w:rPr>
          <w:b/>
          <w:bCs/>
        </w:rPr>
        <w:t>Response:</w:t>
      </w:r>
    </w:p>
    <w:p w14:paraId="267FAD1C" w14:textId="77777777" w:rsidR="00AC6524" w:rsidRPr="00A36ACA" w:rsidRDefault="00AC6524" w:rsidP="00AC6524">
      <w:r w:rsidRPr="00A36ACA">
        <w:t>Air conditioning, heat pump, and water heating equipment, including products composed of multiple integrated components supplied through multi-tier supply chains.</w:t>
      </w:r>
    </w:p>
    <w:p w14:paraId="0B20D355" w14:textId="703BC4C5" w:rsidR="00AC6524" w:rsidRPr="00A36ACA" w:rsidRDefault="00AC6524" w:rsidP="00AC6524"/>
    <w:p w14:paraId="05581449" w14:textId="77777777" w:rsidR="00AC6524" w:rsidRPr="00A36ACA" w:rsidRDefault="00AC6524" w:rsidP="00AC6524">
      <w:pPr>
        <w:rPr>
          <w:b/>
          <w:bCs/>
        </w:rPr>
      </w:pPr>
      <w:r w:rsidRPr="00A36ACA">
        <w:rPr>
          <w:b/>
          <w:bCs/>
        </w:rPr>
        <w:t>Q5. Definition of “Essential for health, safety, or the functioning of society”</w:t>
      </w:r>
    </w:p>
    <w:p w14:paraId="1F0EF509" w14:textId="77777777" w:rsidR="00AC6524" w:rsidRPr="00A36ACA" w:rsidRDefault="00AC6524" w:rsidP="00AC6524">
      <w:r w:rsidRPr="00A36ACA">
        <w:rPr>
          <w:b/>
          <w:bCs/>
        </w:rPr>
        <w:t>Response:</w:t>
      </w:r>
    </w:p>
    <w:p w14:paraId="218FE1C8" w14:textId="77777777" w:rsidR="00366CE7" w:rsidRPr="00A36ACA" w:rsidRDefault="00366CE7" w:rsidP="00AC6524">
      <w:r w:rsidRPr="00A36ACA">
        <w:t>While MPCA’s definition is valid, we believe a more detailed consideration is necessary depending on the product category.</w:t>
      </w:r>
    </w:p>
    <w:p w14:paraId="4137AEA3" w14:textId="77777777" w:rsidR="00366CE7" w:rsidRPr="00A36ACA" w:rsidRDefault="00366CE7" w:rsidP="00AC6524"/>
    <w:p w14:paraId="1BDB1CCF" w14:textId="27D5695C" w:rsidR="00AC6524" w:rsidRPr="00A36ACA" w:rsidRDefault="00AC6524" w:rsidP="00AC6524">
      <w:r w:rsidRPr="00A36ACA">
        <w:t>Air conditioning, heat pump, and water heating equipment are essential to maintaining safe and habitable indoor environments, supporting the operation of critical facilities such as hospitals and schools, and protecting public safety during extreme heat and cold events.</w:t>
      </w:r>
      <w:r w:rsidRPr="00A36ACA">
        <w:br/>
        <w:t>Because these societal functions are indispensable, CUU program design should ensure that product availability and continuity of servicing can be maintained without undermining the program’s objectives.</w:t>
      </w:r>
    </w:p>
    <w:p w14:paraId="3FECF010" w14:textId="3FF8AA1C" w:rsidR="00AC6524" w:rsidRPr="00A36ACA" w:rsidRDefault="00AC6524" w:rsidP="00AC6524"/>
    <w:p w14:paraId="7FC27EDC" w14:textId="77777777" w:rsidR="00AC6524" w:rsidRPr="00A36ACA" w:rsidRDefault="00AC6524" w:rsidP="00AC6524">
      <w:pPr>
        <w:rPr>
          <w:b/>
          <w:bCs/>
        </w:rPr>
      </w:pPr>
      <w:r w:rsidRPr="00A36ACA">
        <w:rPr>
          <w:b/>
          <w:bCs/>
        </w:rPr>
        <w:t>Q6. Recommended considerations when defining “Alternative”</w:t>
      </w:r>
    </w:p>
    <w:p w14:paraId="6389B116" w14:textId="77777777" w:rsidR="00AC6524" w:rsidRPr="00A36ACA" w:rsidRDefault="00AC6524" w:rsidP="00AC6524">
      <w:r w:rsidRPr="00A36ACA">
        <w:rPr>
          <w:b/>
          <w:bCs/>
        </w:rPr>
        <w:t>Response:</w:t>
      </w:r>
    </w:p>
    <w:p w14:paraId="345B79E0" w14:textId="77777777" w:rsidR="00AC6524" w:rsidRPr="00A36ACA" w:rsidRDefault="00AC6524" w:rsidP="00AC6524">
      <w:r w:rsidRPr="00A36ACA">
        <w:t>Equipment in our sector is typically long-lived, with expected service lives of approximately 15 to 25 years.</w:t>
      </w:r>
      <w:r w:rsidRPr="00A36ACA">
        <w:br/>
        <w:t xml:space="preserve">When evaluating alternatives, MPCA should consider not only short-term material substitution, but functional equivalence over the intended service life, compatibility with refrigerants and lubricants, reliability under temperature, pressure, and corrosive conditions, </w:t>
      </w:r>
      <w:r w:rsidRPr="00A36ACA">
        <w:lastRenderedPageBreak/>
        <w:t>and compliance with applicable safety standards and building codes.</w:t>
      </w:r>
    </w:p>
    <w:p w14:paraId="345F5AE5" w14:textId="41A2C76B" w:rsidR="00AC6524" w:rsidRPr="00A36ACA" w:rsidRDefault="00AC6524" w:rsidP="00AC6524"/>
    <w:p w14:paraId="492ED8D6" w14:textId="77777777" w:rsidR="00AC6524" w:rsidRPr="00A36ACA" w:rsidRDefault="00AC6524" w:rsidP="00AC6524">
      <w:pPr>
        <w:rPr>
          <w:b/>
          <w:bCs/>
        </w:rPr>
      </w:pPr>
      <w:r w:rsidRPr="00A36ACA">
        <w:rPr>
          <w:b/>
          <w:bCs/>
        </w:rPr>
        <w:t>Q7. Recommended considerations when defining “Reasonably available”</w:t>
      </w:r>
    </w:p>
    <w:p w14:paraId="254154D3" w14:textId="77777777" w:rsidR="00AC6524" w:rsidRPr="00A36ACA" w:rsidRDefault="00AC6524" w:rsidP="00AC6524">
      <w:r w:rsidRPr="00A36ACA">
        <w:rPr>
          <w:b/>
          <w:bCs/>
        </w:rPr>
        <w:t>Response:</w:t>
      </w:r>
    </w:p>
    <w:p w14:paraId="565FD647" w14:textId="77777777" w:rsidR="00AC6524" w:rsidRPr="00A36ACA" w:rsidRDefault="00AC6524" w:rsidP="00AC6524">
      <w:r w:rsidRPr="00A36ACA">
        <w:t>An alternative should be considered “reasonably available” only if it can meet performance, safety, and durability requirements over the full intended service life and be supplied at commercial scale.</w:t>
      </w:r>
      <w:r w:rsidRPr="00A36ACA">
        <w:br/>
        <w:t>Cost should not be considered in isolation; evaluations should reflect a balanced assessment of safety, reliability, energy performance, supply stability, and the impacts of redesign and recertification.</w:t>
      </w:r>
    </w:p>
    <w:p w14:paraId="35AC4167" w14:textId="1CC92625" w:rsidR="00AC6524" w:rsidRPr="00A36ACA" w:rsidRDefault="00AC6524" w:rsidP="00AC6524"/>
    <w:p w14:paraId="2C55DD91" w14:textId="77777777" w:rsidR="00AC6524" w:rsidRPr="00A36ACA" w:rsidRDefault="00AC6524" w:rsidP="00AC6524">
      <w:pPr>
        <w:rPr>
          <w:b/>
          <w:bCs/>
        </w:rPr>
      </w:pPr>
      <w:r w:rsidRPr="00A36ACA">
        <w:rPr>
          <w:b/>
          <w:bCs/>
        </w:rPr>
        <w:t>Q8. How broadly should product categories be defined?</w:t>
      </w:r>
    </w:p>
    <w:p w14:paraId="7521D2A6" w14:textId="77777777" w:rsidR="00AC6524" w:rsidRPr="00A36ACA" w:rsidRDefault="00AC6524" w:rsidP="00AC6524">
      <w:r w:rsidRPr="00A36ACA">
        <w:rPr>
          <w:b/>
          <w:bCs/>
        </w:rPr>
        <w:t>Response:</w:t>
      </w:r>
    </w:p>
    <w:p w14:paraId="2D9B1561" w14:textId="77777777" w:rsidR="00AC6524" w:rsidRPr="00A36ACA" w:rsidRDefault="00AC6524" w:rsidP="00AC6524">
      <w:r w:rsidRPr="00A36ACA">
        <w:t>We support the use of product categories as a primary unit for CUU determinations.</w:t>
      </w:r>
      <w:r w:rsidRPr="00A36ACA">
        <w:br/>
        <w:t>Certain PFAS uses in our sector are not specific to individual manufacturers, but stem from industry-wide technical and safety requirements.</w:t>
      </w:r>
      <w:r w:rsidRPr="00A36ACA">
        <w:br/>
        <w:t>Excessively narrow or component-level categorization could lead to duplicative submissions for shared technical challenges and increase administrative burden without improving outcomes.</w:t>
      </w:r>
    </w:p>
    <w:p w14:paraId="7E374BDA" w14:textId="77777777" w:rsidR="00D31516" w:rsidRPr="00A36ACA" w:rsidRDefault="00D31516" w:rsidP="00D31516">
      <w:r w:rsidRPr="00A36ACA">
        <w:t>As noted above, certain PFAS uses are required to maintain product quality in order to meet technical and safety requirements that are common across air conditioning equipment.</w:t>
      </w:r>
      <w:r w:rsidRPr="00A36ACA">
        <w:br/>
        <w:t xml:space="preserve">We therefore strongly support granting CUU determinations on a </w:t>
      </w:r>
      <w:r w:rsidRPr="00A36ACA">
        <w:rPr>
          <w:b/>
          <w:bCs/>
        </w:rPr>
        <w:t>product-category basis</w:t>
      </w:r>
      <w:r w:rsidRPr="00A36ACA">
        <w:t>.</w:t>
      </w:r>
    </w:p>
    <w:p w14:paraId="2A65D44C" w14:textId="77777777" w:rsidR="00D31516" w:rsidRPr="00A36ACA" w:rsidRDefault="00D31516" w:rsidP="00D31516">
      <w:r w:rsidRPr="00A36ACA">
        <w:t xml:space="preserve">If product-category–based determinations are not permitted, we respectfully request that the CUU system be structured so that a CUU approved through an application by a specific company or industry association applies to </w:t>
      </w:r>
      <w:r w:rsidRPr="00A36ACA">
        <w:rPr>
          <w:b/>
          <w:bCs/>
        </w:rPr>
        <w:t>all entities using the same use within that product category</w:t>
      </w:r>
      <w:r w:rsidRPr="00A36ACA">
        <w:t>.</w:t>
      </w:r>
    </w:p>
    <w:p w14:paraId="318FF372" w14:textId="6BC91DD9" w:rsidR="00AC6524" w:rsidRPr="00A36ACA" w:rsidRDefault="00AC6524" w:rsidP="00AC6524"/>
    <w:p w14:paraId="7A7B21A5" w14:textId="77777777" w:rsidR="00AC6524" w:rsidRPr="00A36ACA" w:rsidRDefault="00AC6524" w:rsidP="00AC6524">
      <w:pPr>
        <w:rPr>
          <w:b/>
          <w:bCs/>
        </w:rPr>
      </w:pPr>
      <w:r w:rsidRPr="00A36ACA">
        <w:rPr>
          <w:b/>
          <w:bCs/>
        </w:rPr>
        <w:t>Q9. Should CUU requests be limited to a single product category?</w:t>
      </w:r>
    </w:p>
    <w:p w14:paraId="60C6B0D9" w14:textId="77777777" w:rsidR="00AC6524" w:rsidRPr="00A36ACA" w:rsidRDefault="00AC6524" w:rsidP="00AC6524">
      <w:r w:rsidRPr="00A36ACA">
        <w:rPr>
          <w:b/>
          <w:bCs/>
        </w:rPr>
        <w:t>Response:</w:t>
      </w:r>
    </w:p>
    <w:p w14:paraId="417B630D" w14:textId="43640B3E" w:rsidR="00AC6524" w:rsidRPr="00A36ACA" w:rsidRDefault="00AC6524" w:rsidP="00AC6524">
      <w:r w:rsidRPr="00A36ACA">
        <w:t>Applicants should be allowed to submit CUU requests based on product categories or through consolidated submissions for similar products.</w:t>
      </w:r>
      <w:r w:rsidRPr="00A36ACA">
        <w:br/>
        <w:t xml:space="preserve">This approach can reduce duplicative filings, support consistent determinations, and improve overall </w:t>
      </w:r>
      <w:proofErr w:type="spellStart"/>
      <w:r w:rsidRPr="00A36ACA">
        <w:t>imp</w:t>
      </w:r>
      <w:r w:rsidR="005A4F0B" w:rsidRPr="00A36ACA">
        <w:rPr>
          <w:rFonts w:hint="eastAsia"/>
        </w:rPr>
        <w:t>le</w:t>
      </w:r>
      <w:r w:rsidRPr="00A36ACA">
        <w:t>mentability</w:t>
      </w:r>
      <w:proofErr w:type="spellEnd"/>
      <w:r w:rsidRPr="00A36ACA">
        <w:t xml:space="preserve"> while preserving program objectives.</w:t>
      </w:r>
    </w:p>
    <w:p w14:paraId="3593CAFB" w14:textId="1D8B07D1" w:rsidR="00AC6524" w:rsidRPr="00A36ACA" w:rsidRDefault="00AC6524" w:rsidP="00AC6524"/>
    <w:p w14:paraId="01DED02F" w14:textId="77777777" w:rsidR="00AC6524" w:rsidRPr="00A36ACA" w:rsidRDefault="00AC6524" w:rsidP="00AC6524">
      <w:pPr>
        <w:rPr>
          <w:b/>
          <w:bCs/>
        </w:rPr>
      </w:pPr>
      <w:r w:rsidRPr="00A36ACA">
        <w:rPr>
          <w:b/>
          <w:bCs/>
        </w:rPr>
        <w:t>Q10. What safety or other standards are relevant?</w:t>
      </w:r>
    </w:p>
    <w:p w14:paraId="5BE55C1C" w14:textId="77777777" w:rsidR="00AC6524" w:rsidRPr="00A36ACA" w:rsidRDefault="00AC6524" w:rsidP="00AC6524">
      <w:r w:rsidRPr="00A36ACA">
        <w:rPr>
          <w:b/>
          <w:bCs/>
        </w:rPr>
        <w:t>Response:</w:t>
      </w:r>
    </w:p>
    <w:p w14:paraId="75086292" w14:textId="77777777" w:rsidR="00366CE7" w:rsidRPr="00A36ACA" w:rsidRDefault="00366CE7" w:rsidP="00366CE7">
      <w:r w:rsidRPr="00A36ACA">
        <w:lastRenderedPageBreak/>
        <w:t>In the air conditioning, heat pump, and water heating sector, product design and material selection are governed by the combined application of multiple safety standards, building codes, and regulatory requirements. These include requirements related to pressure containment, electrical safety, fire resistance, durability, and system reliability under extreme operating conditions.</w:t>
      </w:r>
    </w:p>
    <w:p w14:paraId="5DBA76BF" w14:textId="77777777" w:rsidR="00366CE7" w:rsidRPr="00A36ACA" w:rsidRDefault="00366CE7" w:rsidP="00366CE7">
      <w:r w:rsidRPr="00A36ACA">
        <w:t>While individual safety standards or codes may not explicitly mandate the use of specific chemical substances, compliance with the full set of applicable requirements can, in practice, necessitate materials capable of withstanding high temperatures, pressures, chemical exposure, and long-term operational stress.</w:t>
      </w:r>
    </w:p>
    <w:p w14:paraId="556A5307" w14:textId="77777777" w:rsidR="00366CE7" w:rsidRPr="00A36ACA" w:rsidRDefault="00366CE7" w:rsidP="00366CE7">
      <w:r w:rsidRPr="00A36ACA">
        <w:t>In addition, federal regulatory frameworks governing refrigerant transitions—such as EPA’s Significant New Alternatives Policy (SNAP) program and the HFC phase-down under the American Innovation and Manufacturing (AIM) Act—significantly influence equipment design, safety compliance, and certification pathways. These frameworks may constrain feasible design and material options and should therefore be considered holistically when assessing whether technically viable and reasonably available alternatives exist.</w:t>
      </w:r>
    </w:p>
    <w:p w14:paraId="1BD947CC" w14:textId="79B7ABAC" w:rsidR="00AC6524" w:rsidRPr="00A36ACA" w:rsidRDefault="00AC6524" w:rsidP="00AC6524"/>
    <w:p w14:paraId="79A41959" w14:textId="77777777" w:rsidR="00AC6524" w:rsidRPr="00A36ACA" w:rsidRDefault="00AC6524" w:rsidP="00AC6524">
      <w:pPr>
        <w:rPr>
          <w:b/>
          <w:bCs/>
        </w:rPr>
      </w:pPr>
      <w:r w:rsidRPr="00A36ACA">
        <w:rPr>
          <w:b/>
          <w:bCs/>
        </w:rPr>
        <w:t>Q11. CUU duration and renewal considerations</w:t>
      </w:r>
    </w:p>
    <w:p w14:paraId="276D6D09" w14:textId="77777777" w:rsidR="00AC6524" w:rsidRPr="00A36ACA" w:rsidRDefault="00AC6524" w:rsidP="00AC6524">
      <w:r w:rsidRPr="00A36ACA">
        <w:rPr>
          <w:b/>
          <w:bCs/>
        </w:rPr>
        <w:t>Response:</w:t>
      </w:r>
    </w:p>
    <w:p w14:paraId="2BFCB5EE" w14:textId="77777777" w:rsidR="00AC6524" w:rsidRPr="00A36ACA" w:rsidRDefault="00AC6524" w:rsidP="00AC6524">
      <w:r w:rsidRPr="00A36ACA">
        <w:t>Product redesign, mandatory testing, and third-party certification require substantial time.</w:t>
      </w:r>
      <w:r w:rsidRPr="00A36ACA">
        <w:br/>
        <w:t>If CUU determinations involve fixed durations or renewals, MPCA should consider timelines aligned with product development and certification cycles, transparent procedures, and approaches that minimize unnecessary duplication.</w:t>
      </w:r>
    </w:p>
    <w:p w14:paraId="18DC4620" w14:textId="1F5FCA74" w:rsidR="00AC6524" w:rsidRPr="00A36ACA" w:rsidRDefault="00AC6524" w:rsidP="00AC6524"/>
    <w:p w14:paraId="557B0B39" w14:textId="77777777" w:rsidR="00AC6524" w:rsidRPr="00A36ACA" w:rsidRDefault="00AC6524" w:rsidP="00AC6524">
      <w:pPr>
        <w:rPr>
          <w:b/>
          <w:bCs/>
        </w:rPr>
      </w:pPr>
      <w:r w:rsidRPr="00A36ACA">
        <w:rPr>
          <w:b/>
          <w:bCs/>
        </w:rPr>
        <w:t>Q12. Trade secret considerations</w:t>
      </w:r>
    </w:p>
    <w:p w14:paraId="6C6A5C20" w14:textId="77777777" w:rsidR="00AC6524" w:rsidRPr="00A36ACA" w:rsidRDefault="00AC6524" w:rsidP="00AC6524">
      <w:r w:rsidRPr="00A36ACA">
        <w:rPr>
          <w:b/>
          <w:bCs/>
        </w:rPr>
        <w:t>Response (optional):</w:t>
      </w:r>
    </w:p>
    <w:p w14:paraId="475D3056" w14:textId="77777777" w:rsidR="00AC6524" w:rsidRPr="00A36ACA" w:rsidRDefault="00AC6524" w:rsidP="00AC6524">
      <w:r w:rsidRPr="00A36ACA">
        <w:t>We appreciate MPCA’s attention to trade secret protections. We do not have additional comments beyond the importance of safeguarding confidential technical and supply-chain information where appropriate.</w:t>
      </w:r>
    </w:p>
    <w:p w14:paraId="5D141EB2" w14:textId="1641E205" w:rsidR="00AC6524" w:rsidRPr="00A36ACA" w:rsidRDefault="00AC6524" w:rsidP="00AC6524"/>
    <w:p w14:paraId="67EA6921" w14:textId="77777777" w:rsidR="00AC6524" w:rsidRPr="00A36ACA" w:rsidRDefault="00AC6524" w:rsidP="00AC6524">
      <w:pPr>
        <w:rPr>
          <w:b/>
          <w:bCs/>
        </w:rPr>
      </w:pPr>
      <w:r w:rsidRPr="00A36ACA">
        <w:rPr>
          <w:b/>
          <w:bCs/>
        </w:rPr>
        <w:t>Q13. Potential ongoing costs to society of continued PFAS use</w:t>
      </w:r>
    </w:p>
    <w:p w14:paraId="26D0085B" w14:textId="77777777" w:rsidR="00AC6524" w:rsidRPr="00A36ACA" w:rsidRDefault="00AC6524" w:rsidP="00AC6524">
      <w:r w:rsidRPr="00A36ACA">
        <w:rPr>
          <w:b/>
          <w:bCs/>
        </w:rPr>
        <w:t>Response:</w:t>
      </w:r>
    </w:p>
    <w:p w14:paraId="15DD5E15" w14:textId="77777777" w:rsidR="00AC6524" w:rsidRPr="00A36ACA" w:rsidRDefault="00AC6524" w:rsidP="00AC6524">
      <w:r w:rsidRPr="00A36ACA">
        <w:t>Overly burdensome CUU requirements for low-exposure uses could produce unintended societal costs, including service delays, premature equipment replacement, increased waste generation, and higher lifecycle environmental impacts.</w:t>
      </w:r>
      <w:r w:rsidRPr="00A36ACA">
        <w:br/>
        <w:t>These considerations should be weighed alongside PFAS risk reduction objectives.</w:t>
      </w:r>
    </w:p>
    <w:p w14:paraId="686F08FE" w14:textId="78888918" w:rsidR="00AC6524" w:rsidRPr="00A36ACA" w:rsidRDefault="00AC6524" w:rsidP="00AC6524"/>
    <w:p w14:paraId="06B8EF6A" w14:textId="77777777" w:rsidR="00AC6524" w:rsidRPr="00A36ACA" w:rsidRDefault="00AC6524" w:rsidP="00AC6524">
      <w:pPr>
        <w:rPr>
          <w:b/>
          <w:bCs/>
        </w:rPr>
      </w:pPr>
      <w:r w:rsidRPr="00A36ACA">
        <w:rPr>
          <w:b/>
          <w:bCs/>
        </w:rPr>
        <w:lastRenderedPageBreak/>
        <w:t>Q14–15. Administrative cost of requesting a CUU determination</w:t>
      </w:r>
    </w:p>
    <w:p w14:paraId="7FC561A3" w14:textId="77777777" w:rsidR="00AC6524" w:rsidRPr="00A36ACA" w:rsidRDefault="00AC6524" w:rsidP="00AC6524">
      <w:r w:rsidRPr="00A36ACA">
        <w:rPr>
          <w:b/>
          <w:bCs/>
        </w:rPr>
        <w:t>Response:</w:t>
      </w:r>
    </w:p>
    <w:p w14:paraId="523FA9E4" w14:textId="77777777" w:rsidR="00AC6524" w:rsidRPr="00A36ACA" w:rsidRDefault="00AC6524" w:rsidP="00AC6524">
      <w:r w:rsidRPr="00A36ACA">
        <w:t>Highly granular, component-level CUU determinations could significantly increase administrative burden due to the complexity of multi-tier supply chains and shared technical issues across products.</w:t>
      </w:r>
      <w:r w:rsidRPr="00A36ACA">
        <w:br/>
        <w:t>Category-based or consolidated approaches could meaningfully reduce duplicative effort for both applicants and the agency.</w:t>
      </w:r>
    </w:p>
    <w:p w14:paraId="6F657D72" w14:textId="29004F29" w:rsidR="00AC6524" w:rsidRPr="00A36ACA" w:rsidRDefault="00AC6524" w:rsidP="00AC6524"/>
    <w:p w14:paraId="238A74A7" w14:textId="77777777" w:rsidR="00AC6524" w:rsidRPr="00A36ACA" w:rsidRDefault="00AC6524" w:rsidP="00AC6524">
      <w:pPr>
        <w:rPr>
          <w:b/>
          <w:bCs/>
        </w:rPr>
      </w:pPr>
      <w:r w:rsidRPr="00A36ACA">
        <w:rPr>
          <w:b/>
          <w:bCs/>
        </w:rPr>
        <w:t>Q16–18. R&amp;D, redesign, and validation cycles</w:t>
      </w:r>
    </w:p>
    <w:p w14:paraId="11A9F66C" w14:textId="77777777" w:rsidR="00AC6524" w:rsidRPr="00A36ACA" w:rsidRDefault="00AC6524" w:rsidP="00AC6524">
      <w:r w:rsidRPr="00A36ACA">
        <w:rPr>
          <w:b/>
          <w:bCs/>
        </w:rPr>
        <w:t>Response:</w:t>
      </w:r>
    </w:p>
    <w:p w14:paraId="405F5936" w14:textId="77777777" w:rsidR="00AC6524" w:rsidRPr="00A36ACA" w:rsidRDefault="00AC6524" w:rsidP="00AC6524">
      <w:r w:rsidRPr="00A36ACA">
        <w:t>Identifying, validating, and certifying alternative materials can take many years due to safety testing, performance validation, and code compliance requirements.</w:t>
      </w:r>
      <w:r w:rsidRPr="00A36ACA">
        <w:br/>
        <w:t>These development cycles generally do not align with short exemption durations, underscoring the importance of realistic timelines and streamlined renewal processes.</w:t>
      </w:r>
    </w:p>
    <w:p w14:paraId="24EE4D80" w14:textId="0BE9B209" w:rsidR="00AC6524" w:rsidRPr="00A36ACA" w:rsidRDefault="00AC6524" w:rsidP="00AC6524"/>
    <w:p w14:paraId="651FFC04" w14:textId="77777777" w:rsidR="00AC6524" w:rsidRPr="00A36ACA" w:rsidRDefault="00AC6524" w:rsidP="00AC6524">
      <w:pPr>
        <w:rPr>
          <w:b/>
          <w:bCs/>
        </w:rPr>
      </w:pPr>
      <w:r w:rsidRPr="00A36ACA">
        <w:rPr>
          <w:b/>
          <w:bCs/>
        </w:rPr>
        <w:t>Additional comments / General</w:t>
      </w:r>
    </w:p>
    <w:p w14:paraId="17142176" w14:textId="77777777" w:rsidR="00AC6524" w:rsidRPr="00A36ACA" w:rsidRDefault="00AC6524" w:rsidP="00AC6524">
      <w:r w:rsidRPr="00A36ACA">
        <w:rPr>
          <w:b/>
          <w:bCs/>
        </w:rPr>
        <w:t>Response:</w:t>
      </w:r>
    </w:p>
    <w:p w14:paraId="7A5476F1" w14:textId="77777777" w:rsidR="00AC6524" w:rsidRPr="00AC6524" w:rsidRDefault="00AC6524" w:rsidP="00AC6524">
      <w:r w:rsidRPr="00A36ACA">
        <w:t>We respectfully encourage MPCA to continue engaging with stakeholders as CUU program details are developed.</w:t>
      </w:r>
      <w:r w:rsidRPr="00A36ACA">
        <w:br/>
        <w:t>Dialogue with industry associations, suppliers, and service organizations can help ensure a CUU framework that meaningfully reduces PFAS risks while preserving access to essential products and safe servicing.</w:t>
      </w:r>
    </w:p>
    <w:p w14:paraId="357317ED" w14:textId="77777777" w:rsidR="00335BD2" w:rsidRPr="00AC6524" w:rsidRDefault="00335BD2"/>
    <w:sectPr w:rsidR="00335BD2" w:rsidRPr="00AC6524">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977F87" w14:textId="77777777" w:rsidR="00F36316" w:rsidRDefault="00F36316" w:rsidP="00D31516">
      <w:r>
        <w:separator/>
      </w:r>
    </w:p>
  </w:endnote>
  <w:endnote w:type="continuationSeparator" w:id="0">
    <w:p w14:paraId="17956B9C" w14:textId="77777777" w:rsidR="00F36316" w:rsidRDefault="00F36316" w:rsidP="00D315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 w:name="游ゴシック Light">
    <w:panose1 w:val="020B0300000000000000"/>
    <w:charset w:val="80"/>
    <w:family w:val="modern"/>
    <w:pitch w:val="variable"/>
    <w:sig w:usb0="E00002FF" w:usb1="2AC7FDFF" w:usb2="00000016" w:usb3="00000000" w:csb0="0002009F" w:csb1="00000000"/>
  </w:font>
  <w:font w:name="Angsana New">
    <w:panose1 w:val="02020603050405020304"/>
    <w:charset w:val="DE"/>
    <w:family w:val="roman"/>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A32F22" w14:textId="77777777" w:rsidR="00F36316" w:rsidRDefault="00F36316" w:rsidP="00D31516">
      <w:r>
        <w:separator/>
      </w:r>
    </w:p>
  </w:footnote>
  <w:footnote w:type="continuationSeparator" w:id="0">
    <w:p w14:paraId="32CB77D5" w14:textId="77777777" w:rsidR="00F36316" w:rsidRDefault="00F36316" w:rsidP="00D3151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524"/>
    <w:rsid w:val="00126A88"/>
    <w:rsid w:val="0023491C"/>
    <w:rsid w:val="00265584"/>
    <w:rsid w:val="00335BD2"/>
    <w:rsid w:val="00366CE7"/>
    <w:rsid w:val="003A2F4F"/>
    <w:rsid w:val="003E0756"/>
    <w:rsid w:val="00531B7D"/>
    <w:rsid w:val="005A4F0B"/>
    <w:rsid w:val="00726D60"/>
    <w:rsid w:val="00A36ACA"/>
    <w:rsid w:val="00AC6524"/>
    <w:rsid w:val="00C5421F"/>
    <w:rsid w:val="00C54FF0"/>
    <w:rsid w:val="00D31516"/>
    <w:rsid w:val="00EC0318"/>
    <w:rsid w:val="00F36316"/>
    <w:rsid w:val="00FB4FD5"/>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ABD739F"/>
  <w15:chartTrackingRefBased/>
  <w15:docId w15:val="{22DEDB46-3609-4366-9DA3-3461FE3B0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AC6524"/>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AC6524"/>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AC6524"/>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AC6524"/>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AC6524"/>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AC6524"/>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AC6524"/>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AC6524"/>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AC6524"/>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C6524"/>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AC6524"/>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AC6524"/>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AC6524"/>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AC6524"/>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AC6524"/>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AC6524"/>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AC6524"/>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AC6524"/>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AC6524"/>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AC652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C6524"/>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AC652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C6524"/>
    <w:pPr>
      <w:spacing w:before="160" w:after="160"/>
      <w:jc w:val="center"/>
    </w:pPr>
    <w:rPr>
      <w:i/>
      <w:iCs/>
      <w:color w:val="404040" w:themeColor="text1" w:themeTint="BF"/>
    </w:rPr>
  </w:style>
  <w:style w:type="character" w:customStyle="1" w:styleId="a8">
    <w:name w:val="引用文 (文字)"/>
    <w:basedOn w:val="a0"/>
    <w:link w:val="a7"/>
    <w:uiPriority w:val="29"/>
    <w:rsid w:val="00AC6524"/>
    <w:rPr>
      <w:i/>
      <w:iCs/>
      <w:color w:val="404040" w:themeColor="text1" w:themeTint="BF"/>
    </w:rPr>
  </w:style>
  <w:style w:type="paragraph" w:styleId="a9">
    <w:name w:val="List Paragraph"/>
    <w:basedOn w:val="a"/>
    <w:uiPriority w:val="34"/>
    <w:qFormat/>
    <w:rsid w:val="00AC6524"/>
    <w:pPr>
      <w:ind w:left="720"/>
      <w:contextualSpacing/>
    </w:pPr>
  </w:style>
  <w:style w:type="character" w:styleId="21">
    <w:name w:val="Intense Emphasis"/>
    <w:basedOn w:val="a0"/>
    <w:uiPriority w:val="21"/>
    <w:qFormat/>
    <w:rsid w:val="00AC6524"/>
    <w:rPr>
      <w:i/>
      <w:iCs/>
      <w:color w:val="0F4761" w:themeColor="accent1" w:themeShade="BF"/>
    </w:rPr>
  </w:style>
  <w:style w:type="paragraph" w:styleId="22">
    <w:name w:val="Intense Quote"/>
    <w:basedOn w:val="a"/>
    <w:next w:val="a"/>
    <w:link w:val="23"/>
    <w:uiPriority w:val="30"/>
    <w:qFormat/>
    <w:rsid w:val="00AC65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AC6524"/>
    <w:rPr>
      <w:i/>
      <w:iCs/>
      <w:color w:val="0F4761" w:themeColor="accent1" w:themeShade="BF"/>
    </w:rPr>
  </w:style>
  <w:style w:type="character" w:styleId="24">
    <w:name w:val="Intense Reference"/>
    <w:basedOn w:val="a0"/>
    <w:uiPriority w:val="32"/>
    <w:qFormat/>
    <w:rsid w:val="00AC6524"/>
    <w:rPr>
      <w:b/>
      <w:bCs/>
      <w:smallCaps/>
      <w:color w:val="0F4761" w:themeColor="accent1" w:themeShade="BF"/>
      <w:spacing w:val="5"/>
    </w:rPr>
  </w:style>
  <w:style w:type="paragraph" w:styleId="aa">
    <w:name w:val="header"/>
    <w:basedOn w:val="a"/>
    <w:link w:val="ab"/>
    <w:uiPriority w:val="99"/>
    <w:unhideWhenUsed/>
    <w:rsid w:val="00D31516"/>
    <w:pPr>
      <w:tabs>
        <w:tab w:val="center" w:pos="4252"/>
        <w:tab w:val="right" w:pos="8504"/>
      </w:tabs>
      <w:snapToGrid w:val="0"/>
    </w:pPr>
  </w:style>
  <w:style w:type="character" w:customStyle="1" w:styleId="ab">
    <w:name w:val="ヘッダー (文字)"/>
    <w:basedOn w:val="a0"/>
    <w:link w:val="aa"/>
    <w:uiPriority w:val="99"/>
    <w:rsid w:val="00D31516"/>
  </w:style>
  <w:style w:type="paragraph" w:styleId="ac">
    <w:name w:val="footer"/>
    <w:basedOn w:val="a"/>
    <w:link w:val="ad"/>
    <w:uiPriority w:val="99"/>
    <w:unhideWhenUsed/>
    <w:rsid w:val="00D31516"/>
    <w:pPr>
      <w:tabs>
        <w:tab w:val="center" w:pos="4252"/>
        <w:tab w:val="right" w:pos="8504"/>
      </w:tabs>
      <w:snapToGrid w:val="0"/>
    </w:pPr>
  </w:style>
  <w:style w:type="character" w:customStyle="1" w:styleId="ad">
    <w:name w:val="フッター (文字)"/>
    <w:basedOn w:val="a0"/>
    <w:link w:val="ac"/>
    <w:uiPriority w:val="99"/>
    <w:rsid w:val="00D315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4357">
      <w:bodyDiv w:val="1"/>
      <w:marLeft w:val="0"/>
      <w:marRight w:val="0"/>
      <w:marTop w:val="0"/>
      <w:marBottom w:val="0"/>
      <w:divBdr>
        <w:top w:val="none" w:sz="0" w:space="0" w:color="auto"/>
        <w:left w:val="none" w:sz="0" w:space="0" w:color="auto"/>
        <w:bottom w:val="none" w:sz="0" w:space="0" w:color="auto"/>
        <w:right w:val="none" w:sz="0" w:space="0" w:color="auto"/>
      </w:divBdr>
      <w:divsChild>
        <w:div w:id="1104807436">
          <w:marLeft w:val="0"/>
          <w:marRight w:val="0"/>
          <w:marTop w:val="0"/>
          <w:marBottom w:val="0"/>
          <w:divBdr>
            <w:top w:val="none" w:sz="0" w:space="0" w:color="auto"/>
            <w:left w:val="none" w:sz="0" w:space="0" w:color="auto"/>
            <w:bottom w:val="none" w:sz="0" w:space="0" w:color="auto"/>
            <w:right w:val="none" w:sz="0" w:space="0" w:color="auto"/>
          </w:divBdr>
        </w:div>
      </w:divsChild>
    </w:div>
    <w:div w:id="213854495">
      <w:bodyDiv w:val="1"/>
      <w:marLeft w:val="0"/>
      <w:marRight w:val="0"/>
      <w:marTop w:val="0"/>
      <w:marBottom w:val="0"/>
      <w:divBdr>
        <w:top w:val="none" w:sz="0" w:space="0" w:color="auto"/>
        <w:left w:val="none" w:sz="0" w:space="0" w:color="auto"/>
        <w:bottom w:val="none" w:sz="0" w:space="0" w:color="auto"/>
        <w:right w:val="none" w:sz="0" w:space="0" w:color="auto"/>
      </w:divBdr>
      <w:divsChild>
        <w:div w:id="2128699746">
          <w:marLeft w:val="0"/>
          <w:marRight w:val="0"/>
          <w:marTop w:val="0"/>
          <w:marBottom w:val="0"/>
          <w:divBdr>
            <w:top w:val="none" w:sz="0" w:space="0" w:color="auto"/>
            <w:left w:val="none" w:sz="0" w:space="0" w:color="auto"/>
            <w:bottom w:val="none" w:sz="0" w:space="0" w:color="auto"/>
            <w:right w:val="none" w:sz="0" w:space="0" w:color="auto"/>
          </w:divBdr>
        </w:div>
      </w:divsChild>
    </w:div>
    <w:div w:id="407390051">
      <w:bodyDiv w:val="1"/>
      <w:marLeft w:val="0"/>
      <w:marRight w:val="0"/>
      <w:marTop w:val="0"/>
      <w:marBottom w:val="0"/>
      <w:divBdr>
        <w:top w:val="none" w:sz="0" w:space="0" w:color="auto"/>
        <w:left w:val="none" w:sz="0" w:space="0" w:color="auto"/>
        <w:bottom w:val="none" w:sz="0" w:space="0" w:color="auto"/>
        <w:right w:val="none" w:sz="0" w:space="0" w:color="auto"/>
      </w:divBdr>
      <w:divsChild>
        <w:div w:id="1046106131">
          <w:marLeft w:val="0"/>
          <w:marRight w:val="0"/>
          <w:marTop w:val="0"/>
          <w:marBottom w:val="0"/>
          <w:divBdr>
            <w:top w:val="none" w:sz="0" w:space="0" w:color="auto"/>
            <w:left w:val="none" w:sz="0" w:space="0" w:color="auto"/>
            <w:bottom w:val="none" w:sz="0" w:space="0" w:color="auto"/>
            <w:right w:val="none" w:sz="0" w:space="0" w:color="auto"/>
          </w:divBdr>
        </w:div>
      </w:divsChild>
    </w:div>
    <w:div w:id="454056608">
      <w:bodyDiv w:val="1"/>
      <w:marLeft w:val="0"/>
      <w:marRight w:val="0"/>
      <w:marTop w:val="0"/>
      <w:marBottom w:val="0"/>
      <w:divBdr>
        <w:top w:val="none" w:sz="0" w:space="0" w:color="auto"/>
        <w:left w:val="none" w:sz="0" w:space="0" w:color="auto"/>
        <w:bottom w:val="none" w:sz="0" w:space="0" w:color="auto"/>
        <w:right w:val="none" w:sz="0" w:space="0" w:color="auto"/>
      </w:divBdr>
      <w:divsChild>
        <w:div w:id="436562932">
          <w:marLeft w:val="0"/>
          <w:marRight w:val="0"/>
          <w:marTop w:val="0"/>
          <w:marBottom w:val="0"/>
          <w:divBdr>
            <w:top w:val="none" w:sz="0" w:space="0" w:color="auto"/>
            <w:left w:val="none" w:sz="0" w:space="0" w:color="auto"/>
            <w:bottom w:val="none" w:sz="0" w:space="0" w:color="auto"/>
            <w:right w:val="none" w:sz="0" w:space="0" w:color="auto"/>
          </w:divBdr>
        </w:div>
      </w:divsChild>
    </w:div>
    <w:div w:id="966666534">
      <w:bodyDiv w:val="1"/>
      <w:marLeft w:val="0"/>
      <w:marRight w:val="0"/>
      <w:marTop w:val="0"/>
      <w:marBottom w:val="0"/>
      <w:divBdr>
        <w:top w:val="none" w:sz="0" w:space="0" w:color="auto"/>
        <w:left w:val="none" w:sz="0" w:space="0" w:color="auto"/>
        <w:bottom w:val="none" w:sz="0" w:space="0" w:color="auto"/>
        <w:right w:val="none" w:sz="0" w:space="0" w:color="auto"/>
      </w:divBdr>
      <w:divsChild>
        <w:div w:id="2116092763">
          <w:marLeft w:val="0"/>
          <w:marRight w:val="0"/>
          <w:marTop w:val="0"/>
          <w:marBottom w:val="0"/>
          <w:divBdr>
            <w:top w:val="none" w:sz="0" w:space="0" w:color="auto"/>
            <w:left w:val="none" w:sz="0" w:space="0" w:color="auto"/>
            <w:bottom w:val="none" w:sz="0" w:space="0" w:color="auto"/>
            <w:right w:val="none" w:sz="0" w:space="0" w:color="auto"/>
          </w:divBdr>
        </w:div>
      </w:divsChild>
    </w:div>
    <w:div w:id="1008293820">
      <w:bodyDiv w:val="1"/>
      <w:marLeft w:val="0"/>
      <w:marRight w:val="0"/>
      <w:marTop w:val="0"/>
      <w:marBottom w:val="0"/>
      <w:divBdr>
        <w:top w:val="none" w:sz="0" w:space="0" w:color="auto"/>
        <w:left w:val="none" w:sz="0" w:space="0" w:color="auto"/>
        <w:bottom w:val="none" w:sz="0" w:space="0" w:color="auto"/>
        <w:right w:val="none" w:sz="0" w:space="0" w:color="auto"/>
      </w:divBdr>
      <w:divsChild>
        <w:div w:id="1625426542">
          <w:marLeft w:val="0"/>
          <w:marRight w:val="0"/>
          <w:marTop w:val="0"/>
          <w:marBottom w:val="0"/>
          <w:divBdr>
            <w:top w:val="none" w:sz="0" w:space="0" w:color="auto"/>
            <w:left w:val="none" w:sz="0" w:space="0" w:color="auto"/>
            <w:bottom w:val="none" w:sz="0" w:space="0" w:color="auto"/>
            <w:right w:val="none" w:sz="0" w:space="0" w:color="auto"/>
          </w:divBdr>
        </w:div>
      </w:divsChild>
    </w:div>
    <w:div w:id="1018502954">
      <w:bodyDiv w:val="1"/>
      <w:marLeft w:val="0"/>
      <w:marRight w:val="0"/>
      <w:marTop w:val="0"/>
      <w:marBottom w:val="0"/>
      <w:divBdr>
        <w:top w:val="none" w:sz="0" w:space="0" w:color="auto"/>
        <w:left w:val="none" w:sz="0" w:space="0" w:color="auto"/>
        <w:bottom w:val="none" w:sz="0" w:space="0" w:color="auto"/>
        <w:right w:val="none" w:sz="0" w:space="0" w:color="auto"/>
      </w:divBdr>
      <w:divsChild>
        <w:div w:id="2115902074">
          <w:marLeft w:val="0"/>
          <w:marRight w:val="0"/>
          <w:marTop w:val="0"/>
          <w:marBottom w:val="0"/>
          <w:divBdr>
            <w:top w:val="none" w:sz="0" w:space="0" w:color="auto"/>
            <w:left w:val="none" w:sz="0" w:space="0" w:color="auto"/>
            <w:bottom w:val="none" w:sz="0" w:space="0" w:color="auto"/>
            <w:right w:val="none" w:sz="0" w:space="0" w:color="auto"/>
          </w:divBdr>
        </w:div>
      </w:divsChild>
    </w:div>
    <w:div w:id="1803648298">
      <w:bodyDiv w:val="1"/>
      <w:marLeft w:val="0"/>
      <w:marRight w:val="0"/>
      <w:marTop w:val="0"/>
      <w:marBottom w:val="0"/>
      <w:divBdr>
        <w:top w:val="none" w:sz="0" w:space="0" w:color="auto"/>
        <w:left w:val="none" w:sz="0" w:space="0" w:color="auto"/>
        <w:bottom w:val="none" w:sz="0" w:space="0" w:color="auto"/>
        <w:right w:val="none" w:sz="0" w:space="0" w:color="auto"/>
      </w:divBdr>
      <w:divsChild>
        <w:div w:id="18664824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4</Pages>
  <Words>1075</Words>
  <Characters>6134</Characters>
  <Application>Microsoft Office Word</Application>
  <DocSecurity>0</DocSecurity>
  <Lines>51</Lines>
  <Paragraphs>14</Paragraphs>
  <ScaleCrop>false</ScaleCrop>
  <Company/>
  <LinksUpToDate>false</LinksUpToDate>
  <CharactersWithSpaces>7195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YAMANAKA Miki 山中 美紀</dc:creator>
  <cp:keywords/>
  <dc:description/>
  <cp:lastModifiedBy>MIYUKI TSUJI</cp:lastModifiedBy>
  <cp:revision>4</cp:revision>
  <dcterms:created xsi:type="dcterms:W3CDTF">2026-03-27T00:10:00Z</dcterms:created>
  <dcterms:modified xsi:type="dcterms:W3CDTF">2026-03-27T00:33:00Z</dcterms:modified>
</cp:coreProperties>
</file>