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0CC8" w14:textId="26CBF475" w:rsidR="00CA465C" w:rsidRPr="00E06D1D" w:rsidRDefault="00CA465C" w:rsidP="0046513F">
      <w:pPr>
        <w:rPr>
          <w:rFonts w:ascii="Arial" w:hAnsi="Arial" w:cs="Arial"/>
          <w:sz w:val="20"/>
          <w:szCs w:val="20"/>
        </w:rPr>
      </w:pPr>
    </w:p>
    <w:p w14:paraId="796DF601" w14:textId="0A838BD6" w:rsidR="00620AF5" w:rsidRPr="00E06D1D" w:rsidRDefault="00620AF5" w:rsidP="00620AF5">
      <w:pPr>
        <w:rPr>
          <w:rFonts w:ascii="Arial" w:hAnsi="Arial" w:cs="Arial"/>
          <w:sz w:val="20"/>
          <w:szCs w:val="20"/>
        </w:rPr>
      </w:pPr>
    </w:p>
    <w:p w14:paraId="739853CD" w14:textId="35D3CF1E" w:rsidR="00620AF5" w:rsidRPr="00E06D1D" w:rsidRDefault="00620AF5" w:rsidP="00620AF5">
      <w:pPr>
        <w:rPr>
          <w:rFonts w:ascii="Arial" w:hAnsi="Arial" w:cs="Arial"/>
          <w:sz w:val="20"/>
          <w:szCs w:val="20"/>
        </w:rPr>
      </w:pPr>
    </w:p>
    <w:p w14:paraId="19BD7E41" w14:textId="15A13A9D" w:rsidR="00620AF5" w:rsidRPr="00E06D1D" w:rsidRDefault="00620AF5" w:rsidP="00620AF5">
      <w:pPr>
        <w:rPr>
          <w:rFonts w:ascii="Arial" w:hAnsi="Arial" w:cs="Arial"/>
          <w:sz w:val="20"/>
          <w:szCs w:val="20"/>
        </w:rPr>
      </w:pPr>
    </w:p>
    <w:p w14:paraId="2621689B" w14:textId="4F743B19" w:rsidR="00141C1A" w:rsidRPr="00AC6F9D" w:rsidRDefault="00F90853" w:rsidP="002E2B18">
      <w:pPr>
        <w:autoSpaceDE w:val="0"/>
        <w:autoSpaceDN w:val="0"/>
        <w:adjustRightInd w:val="0"/>
        <w:rPr>
          <w:rFonts w:ascii="Arial" w:eastAsia="Arial" w:hAnsi="Arial" w:cs="Arial"/>
          <w:sz w:val="20"/>
          <w:szCs w:val="20"/>
        </w:rPr>
      </w:pPr>
      <w:bookmarkStart w:id="0" w:name="_Hlk90410099"/>
      <w:r w:rsidRPr="00AC6F9D">
        <w:rPr>
          <w:rFonts w:ascii="Arial" w:eastAsia="Arial" w:hAnsi="Arial" w:cs="Arial"/>
          <w:sz w:val="20"/>
          <w:szCs w:val="20"/>
        </w:rPr>
        <w:t>Katrina Kessler</w:t>
      </w:r>
    </w:p>
    <w:p w14:paraId="1E1FD455" w14:textId="58AA5C2E" w:rsidR="00F90853" w:rsidRPr="00AC6F9D" w:rsidRDefault="00F90853"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Commissioner</w:t>
      </w:r>
    </w:p>
    <w:p w14:paraId="69CDF6C2" w14:textId="22FFBAD6" w:rsidR="00F90853" w:rsidRPr="00AC6F9D" w:rsidRDefault="00F90853"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Minnesota Pollution Control Agency</w:t>
      </w:r>
    </w:p>
    <w:p w14:paraId="49C2F628" w14:textId="4234B717" w:rsidR="00141C1A" w:rsidRPr="00AC6F9D" w:rsidRDefault="00936C10"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520 Lafayette Road</w:t>
      </w:r>
    </w:p>
    <w:p w14:paraId="576A33B6" w14:textId="1657AD20" w:rsidR="00141C1A" w:rsidRPr="00AC6F9D" w:rsidRDefault="00141C1A"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St Paul</w:t>
      </w:r>
    </w:p>
    <w:p w14:paraId="204EA0BD" w14:textId="52220CFA" w:rsidR="00141C1A" w:rsidRPr="00AC6F9D" w:rsidRDefault="00141C1A"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Minnesota</w:t>
      </w:r>
      <w:r w:rsidR="00936C10" w:rsidRPr="00AC6F9D">
        <w:rPr>
          <w:rFonts w:ascii="Arial" w:eastAsia="Arial" w:hAnsi="Arial" w:cs="Arial"/>
          <w:sz w:val="20"/>
          <w:szCs w:val="20"/>
        </w:rPr>
        <w:t>,</w:t>
      </w:r>
      <w:r w:rsidRPr="00AC6F9D">
        <w:rPr>
          <w:rFonts w:ascii="Arial" w:eastAsia="Arial" w:hAnsi="Arial" w:cs="Arial"/>
          <w:sz w:val="20"/>
          <w:szCs w:val="20"/>
        </w:rPr>
        <w:t xml:space="preserve"> 551</w:t>
      </w:r>
      <w:r w:rsidR="00936C10" w:rsidRPr="00AC6F9D">
        <w:rPr>
          <w:rFonts w:ascii="Arial" w:eastAsia="Arial" w:hAnsi="Arial" w:cs="Arial"/>
          <w:sz w:val="20"/>
          <w:szCs w:val="20"/>
        </w:rPr>
        <w:t>55</w:t>
      </w:r>
    </w:p>
    <w:p w14:paraId="0379416A" w14:textId="77777777" w:rsidR="00141C1A" w:rsidRPr="00AC6F9D" w:rsidRDefault="00141C1A" w:rsidP="002E2B18">
      <w:pPr>
        <w:shd w:val="clear" w:color="auto" w:fill="FFFFFF" w:themeFill="background1"/>
        <w:autoSpaceDE w:val="0"/>
        <w:autoSpaceDN w:val="0"/>
        <w:adjustRightInd w:val="0"/>
        <w:rPr>
          <w:rFonts w:ascii="Arial" w:eastAsia="Arial" w:hAnsi="Arial" w:cs="Arial"/>
          <w:b/>
          <w:bCs/>
          <w:sz w:val="20"/>
          <w:szCs w:val="20"/>
        </w:rPr>
      </w:pPr>
    </w:p>
    <w:p w14:paraId="2C952E47" w14:textId="77777777" w:rsidR="00691C45" w:rsidRPr="00AC6F9D" w:rsidRDefault="00691C45" w:rsidP="002E2B18">
      <w:pPr>
        <w:shd w:val="clear" w:color="auto" w:fill="FFFFFF"/>
        <w:rPr>
          <w:rFonts w:ascii="Arial" w:hAnsi="Arial" w:cs="Arial"/>
          <w:sz w:val="20"/>
          <w:szCs w:val="20"/>
        </w:rPr>
      </w:pPr>
      <w:r w:rsidRPr="00AC6F9D">
        <w:rPr>
          <w:rFonts w:ascii="Arial" w:hAnsi="Arial" w:cs="Arial"/>
          <w:b/>
          <w:bCs/>
          <w:color w:val="000000"/>
          <w:sz w:val="20"/>
          <w:szCs w:val="20"/>
        </w:rPr>
        <w:t>Re: Comments on Proposed Rules for Currently Unavoidable Use Determinations for Products Containing PFAS</w:t>
      </w:r>
    </w:p>
    <w:p w14:paraId="6B4286E1" w14:textId="77777777" w:rsidR="00691C45" w:rsidRPr="00AC6F9D" w:rsidRDefault="00691C45" w:rsidP="002E2B18">
      <w:pPr>
        <w:shd w:val="clear" w:color="auto" w:fill="FFFFFF"/>
        <w:rPr>
          <w:rFonts w:ascii="Arial" w:hAnsi="Arial" w:cs="Arial"/>
          <w:sz w:val="20"/>
          <w:szCs w:val="20"/>
        </w:rPr>
      </w:pPr>
      <w:r w:rsidRPr="00AC6F9D">
        <w:rPr>
          <w:rFonts w:ascii="Arial" w:hAnsi="Arial" w:cs="Arial"/>
          <w:b/>
          <w:bCs/>
          <w:sz w:val="20"/>
          <w:szCs w:val="20"/>
        </w:rPr>
        <w:t> </w:t>
      </w:r>
    </w:p>
    <w:p w14:paraId="7056E58E" w14:textId="6E6DF85E" w:rsidR="00141C1A" w:rsidRPr="00AC6F9D" w:rsidRDefault="00141C1A" w:rsidP="002E2B18">
      <w:pPr>
        <w:shd w:val="clear" w:color="auto" w:fill="FFFFFF" w:themeFill="background1"/>
        <w:autoSpaceDE w:val="0"/>
        <w:autoSpaceDN w:val="0"/>
        <w:adjustRightInd w:val="0"/>
        <w:rPr>
          <w:rFonts w:ascii="Arial" w:eastAsia="Arial" w:hAnsi="Arial" w:cs="Arial"/>
          <w:b/>
          <w:bCs/>
          <w:sz w:val="20"/>
          <w:szCs w:val="20"/>
        </w:rPr>
      </w:pPr>
      <w:r w:rsidRPr="00AC6F9D">
        <w:rPr>
          <w:rStyle w:val="Strong"/>
          <w:rFonts w:ascii="Arial" w:hAnsi="Arial" w:cs="Arial"/>
          <w:color w:val="646464"/>
          <w:sz w:val="20"/>
          <w:szCs w:val="20"/>
          <w:shd w:val="clear" w:color="auto" w:fill="FFFFFF"/>
        </w:rPr>
        <w:t>Revisor's ID Number R-4837</w:t>
      </w:r>
      <w:r w:rsidRPr="00AC6F9D">
        <w:rPr>
          <w:rFonts w:ascii="Arial" w:hAnsi="Arial" w:cs="Arial"/>
          <w:b/>
          <w:bCs/>
          <w:color w:val="646464"/>
          <w:sz w:val="20"/>
          <w:szCs w:val="20"/>
        </w:rPr>
        <w:br/>
      </w:r>
      <w:r w:rsidRPr="00AC6F9D">
        <w:rPr>
          <w:rStyle w:val="Strong"/>
          <w:rFonts w:ascii="Arial" w:hAnsi="Arial" w:cs="Arial"/>
          <w:color w:val="646464"/>
          <w:sz w:val="20"/>
          <w:szCs w:val="20"/>
          <w:shd w:val="clear" w:color="auto" w:fill="FFFFFF"/>
        </w:rPr>
        <w:t>OAH Docket No.</w:t>
      </w:r>
      <w:r w:rsidRPr="00AC6F9D">
        <w:rPr>
          <w:rFonts w:ascii="Arial" w:hAnsi="Arial" w:cs="Arial"/>
          <w:b/>
          <w:bCs/>
          <w:color w:val="646464"/>
          <w:sz w:val="20"/>
          <w:szCs w:val="20"/>
          <w:shd w:val="clear" w:color="auto" w:fill="FFFFFF"/>
        </w:rPr>
        <w:t> </w:t>
      </w:r>
      <w:r w:rsidR="003E1F0D" w:rsidRPr="00AC6F9D">
        <w:rPr>
          <w:rFonts w:ascii="Arial" w:hAnsi="Arial" w:cs="Arial"/>
          <w:b/>
          <w:bCs/>
          <w:color w:val="646464"/>
          <w:sz w:val="20"/>
          <w:szCs w:val="20"/>
          <w:shd w:val="clear" w:color="auto" w:fill="FFFFFF"/>
        </w:rPr>
        <w:t>71-9003-39667</w:t>
      </w:r>
    </w:p>
    <w:p w14:paraId="24991C36" w14:textId="77777777" w:rsidR="00620AF5" w:rsidRPr="00AC6F9D" w:rsidRDefault="00620AF5" w:rsidP="002E2B18">
      <w:pPr>
        <w:autoSpaceDE w:val="0"/>
        <w:autoSpaceDN w:val="0"/>
        <w:adjustRightInd w:val="0"/>
        <w:rPr>
          <w:rFonts w:ascii="Arial" w:eastAsia="Arial" w:hAnsi="Arial" w:cs="Arial"/>
          <w:sz w:val="20"/>
          <w:szCs w:val="20"/>
        </w:rPr>
      </w:pPr>
    </w:p>
    <w:p w14:paraId="20DC10F2" w14:textId="425BADA9" w:rsidR="00620AF5" w:rsidRPr="00AC6F9D" w:rsidRDefault="00620AF5"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 xml:space="preserve">Dear </w:t>
      </w:r>
      <w:r w:rsidR="00936C10" w:rsidRPr="00AC6F9D">
        <w:rPr>
          <w:rFonts w:ascii="Arial" w:eastAsia="Arial" w:hAnsi="Arial" w:cs="Arial"/>
          <w:sz w:val="20"/>
          <w:szCs w:val="20"/>
        </w:rPr>
        <w:t>Ms.</w:t>
      </w:r>
      <w:r w:rsidR="000454BF" w:rsidRPr="00AC6F9D">
        <w:rPr>
          <w:rFonts w:ascii="Arial" w:eastAsia="Arial" w:hAnsi="Arial" w:cs="Arial"/>
          <w:sz w:val="20"/>
          <w:szCs w:val="20"/>
        </w:rPr>
        <w:t xml:space="preserve"> </w:t>
      </w:r>
      <w:r w:rsidR="00936C10" w:rsidRPr="00AC6F9D">
        <w:rPr>
          <w:rFonts w:ascii="Arial" w:eastAsia="Arial" w:hAnsi="Arial" w:cs="Arial"/>
          <w:sz w:val="20"/>
          <w:szCs w:val="20"/>
        </w:rPr>
        <w:t>Kessler</w:t>
      </w:r>
      <w:r w:rsidRPr="00AC6F9D">
        <w:rPr>
          <w:rFonts w:ascii="Arial" w:eastAsia="Arial" w:hAnsi="Arial" w:cs="Arial"/>
          <w:sz w:val="20"/>
          <w:szCs w:val="20"/>
        </w:rPr>
        <w:t>:</w:t>
      </w:r>
    </w:p>
    <w:p w14:paraId="3582D8C6" w14:textId="77777777" w:rsidR="00620AF5" w:rsidRPr="00AC6F9D" w:rsidRDefault="00620AF5" w:rsidP="002E2B18">
      <w:pPr>
        <w:autoSpaceDE w:val="0"/>
        <w:autoSpaceDN w:val="0"/>
        <w:adjustRightInd w:val="0"/>
        <w:rPr>
          <w:rFonts w:ascii="Arial" w:eastAsia="Arial" w:hAnsi="Arial" w:cs="Arial"/>
          <w:sz w:val="20"/>
          <w:szCs w:val="20"/>
        </w:rPr>
      </w:pPr>
    </w:p>
    <w:p w14:paraId="2CB036C3" w14:textId="669777F9" w:rsidR="00993CBE" w:rsidRPr="00AC6F9D" w:rsidRDefault="00993CBE"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The Association of Equipment Manufacturers (AEM) appreciates the opportunity to comment on the Minnesota Pollution Control Agency’s (MPCA) PFAS Currently Unavoidable Use (CUU) rulemaking concepts under Minn. Stat. § 116.943. AEM members manufacture complex equipment used in agriculture, construction, forestry, utilities, mining, and other essential sectors. These products rely on high</w:t>
      </w:r>
      <w:r w:rsidRPr="00AC6F9D">
        <w:rPr>
          <w:rFonts w:ascii="Arial" w:eastAsia="Arial" w:hAnsi="Arial" w:cs="Arial"/>
          <w:sz w:val="20"/>
          <w:szCs w:val="20"/>
        </w:rPr>
        <w:noBreakHyphen/>
        <w:t>performance materials to operate safely, reliably, and in compliance with federal and international standards—often under extreme operating conditions.</w:t>
      </w:r>
    </w:p>
    <w:p w14:paraId="3FA9E40B" w14:textId="7F31970D" w:rsidR="003E1F0D" w:rsidRPr="00AC6F9D" w:rsidRDefault="003E1F0D" w:rsidP="002E2B18">
      <w:pPr>
        <w:autoSpaceDE w:val="0"/>
        <w:autoSpaceDN w:val="0"/>
        <w:adjustRightInd w:val="0"/>
        <w:rPr>
          <w:rFonts w:ascii="Arial" w:eastAsia="Arial" w:hAnsi="Arial" w:cs="Arial"/>
          <w:sz w:val="20"/>
          <w:szCs w:val="20"/>
        </w:rPr>
      </w:pPr>
    </w:p>
    <w:p w14:paraId="739E45BF" w14:textId="2203399C" w:rsidR="003E1F0D" w:rsidRDefault="003E1F0D" w:rsidP="002E2B18">
      <w:pPr>
        <w:autoSpaceDE w:val="0"/>
        <w:autoSpaceDN w:val="0"/>
        <w:adjustRightInd w:val="0"/>
        <w:rPr>
          <w:rFonts w:ascii="Arial" w:eastAsia="Arial" w:hAnsi="Arial" w:cs="Arial"/>
          <w:sz w:val="20"/>
          <w:szCs w:val="20"/>
        </w:rPr>
      </w:pPr>
      <w:r w:rsidRPr="00AC6F9D">
        <w:rPr>
          <w:rFonts w:ascii="Arial" w:eastAsia="Arial" w:hAnsi="Arial" w:cs="Arial"/>
          <w:sz w:val="20"/>
          <w:szCs w:val="20"/>
        </w:rPr>
        <w:t xml:space="preserve">AEM is the North American-based international </w:t>
      </w:r>
      <w:r w:rsidR="009016E8">
        <w:rPr>
          <w:rFonts w:ascii="Arial" w:eastAsia="Arial" w:hAnsi="Arial" w:cs="Arial"/>
          <w:sz w:val="20"/>
          <w:szCs w:val="20"/>
        </w:rPr>
        <w:t>industry</w:t>
      </w:r>
      <w:r w:rsidRPr="00AC6F9D">
        <w:rPr>
          <w:rFonts w:ascii="Arial" w:eastAsia="Arial" w:hAnsi="Arial" w:cs="Arial"/>
          <w:sz w:val="20"/>
          <w:szCs w:val="20"/>
        </w:rPr>
        <w:t xml:space="preserve"> group representing off-road equipment manufacturers and suppliers with more than 1,000 member companies and over 200 product lines in the construction, agriculture, mining, forestry, and utility industries. The equipment manufacturing industry in the United States supports 2.8 million jobs and contributes roughly $288 billion to the economy every year. Our industries remain a critical part of the U.S. economy and represent 12 percent of all manufacturing jobs in the United States. O</w:t>
      </w:r>
      <w:r w:rsidR="00992A9B" w:rsidRPr="00AC6F9D">
        <w:rPr>
          <w:rFonts w:ascii="Arial" w:eastAsia="Arial" w:hAnsi="Arial" w:cs="Arial"/>
          <w:sz w:val="20"/>
          <w:szCs w:val="20"/>
        </w:rPr>
        <w:t>riginal Equipment Manufacturers (OEMs)</w:t>
      </w:r>
      <w:r w:rsidRPr="00AC6F9D">
        <w:rPr>
          <w:rFonts w:ascii="Arial" w:eastAsia="Arial" w:hAnsi="Arial" w:cs="Arial"/>
          <w:sz w:val="20"/>
          <w:szCs w:val="20"/>
        </w:rPr>
        <w:t xml:space="preserve"> develop and produce a multitude of technologies </w:t>
      </w:r>
      <w:r w:rsidR="00992A9B" w:rsidRPr="00AC6F9D">
        <w:rPr>
          <w:rFonts w:ascii="Arial" w:eastAsia="Arial" w:hAnsi="Arial" w:cs="Arial"/>
          <w:sz w:val="20"/>
          <w:szCs w:val="20"/>
        </w:rPr>
        <w:t>over</w:t>
      </w:r>
      <w:r w:rsidRPr="00AC6F9D">
        <w:rPr>
          <w:rFonts w:ascii="Arial" w:eastAsia="Arial" w:hAnsi="Arial" w:cs="Arial"/>
          <w:sz w:val="20"/>
          <w:szCs w:val="20"/>
        </w:rPr>
        <w:t xml:space="preserve"> a wide range of products, components, and systems that ensure off-road equipment remains safe and efficient, while at the same time reducing carbon emissions and environmental hazards. Finished products have a life cycle measured in decades and are designed for professional recycling of the entire product at the end of life.  </w:t>
      </w:r>
    </w:p>
    <w:p w14:paraId="04EF0813" w14:textId="77777777" w:rsidR="00210C93" w:rsidRPr="00AC6F9D" w:rsidRDefault="00210C93" w:rsidP="002E2B18">
      <w:pPr>
        <w:autoSpaceDE w:val="0"/>
        <w:autoSpaceDN w:val="0"/>
        <w:adjustRightInd w:val="0"/>
        <w:rPr>
          <w:rFonts w:ascii="Arial" w:eastAsia="Arial" w:hAnsi="Arial" w:cs="Arial"/>
          <w:sz w:val="20"/>
          <w:szCs w:val="20"/>
        </w:rPr>
      </w:pPr>
    </w:p>
    <w:p w14:paraId="047BE25E" w14:textId="77777777" w:rsidR="001D7A7D" w:rsidRPr="001D7A7D" w:rsidRDefault="001D7A7D" w:rsidP="002E2B18">
      <w:pPr>
        <w:autoSpaceDE w:val="0"/>
        <w:autoSpaceDN w:val="0"/>
        <w:adjustRightInd w:val="0"/>
        <w:rPr>
          <w:rFonts w:ascii="Arial" w:eastAsia="Arial" w:hAnsi="Arial" w:cs="Arial"/>
          <w:sz w:val="20"/>
          <w:szCs w:val="20"/>
        </w:rPr>
      </w:pPr>
      <w:r w:rsidRPr="001D7A7D">
        <w:rPr>
          <w:rFonts w:ascii="Arial" w:eastAsia="Arial" w:hAnsi="Arial" w:cs="Arial"/>
          <w:sz w:val="20"/>
          <w:szCs w:val="20"/>
        </w:rPr>
        <w:t>AEM supports the statute’s goal of reducing PFAS where viable alternatives exist. However, successful implementation of the CUU framework requires clear, predictable definitions, practical evidence standards, and alignment with existing regulatory and standards regimes to avoid unintended disruption to critical equipment supply chains.</w:t>
      </w:r>
    </w:p>
    <w:p w14:paraId="6836AADF" w14:textId="77777777" w:rsidR="004E56B0" w:rsidRPr="00AC6F9D" w:rsidRDefault="004E56B0" w:rsidP="002E2B18">
      <w:pPr>
        <w:autoSpaceDE w:val="0"/>
        <w:autoSpaceDN w:val="0"/>
        <w:adjustRightInd w:val="0"/>
        <w:rPr>
          <w:rFonts w:ascii="Arial" w:eastAsia="Arial" w:hAnsi="Arial" w:cs="Arial"/>
          <w:sz w:val="20"/>
          <w:szCs w:val="20"/>
        </w:rPr>
      </w:pPr>
    </w:p>
    <w:p w14:paraId="649B404B" w14:textId="021DF55C" w:rsidR="00DE7D32" w:rsidRPr="00AC6F9D" w:rsidRDefault="006865CE"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Who is commenting:</w:t>
      </w:r>
    </w:p>
    <w:p w14:paraId="4581E27B" w14:textId="77777777" w:rsidR="008F2720" w:rsidRPr="00AC6F9D" w:rsidRDefault="008F2720" w:rsidP="002E2B18">
      <w:pPr>
        <w:pStyle w:val="ListParagraph"/>
        <w:autoSpaceDE w:val="0"/>
        <w:autoSpaceDN w:val="0"/>
        <w:adjustRightInd w:val="0"/>
        <w:ind w:left="360"/>
        <w:rPr>
          <w:rFonts w:eastAsia="Arial" w:cs="Arial"/>
          <w:b/>
          <w:bCs/>
          <w:sz w:val="20"/>
          <w:szCs w:val="20"/>
          <w:u w:val="single"/>
        </w:rPr>
      </w:pPr>
    </w:p>
    <w:p w14:paraId="3472F507" w14:textId="76143F59" w:rsidR="003B747D" w:rsidRPr="00AC6F9D" w:rsidRDefault="003B747D" w:rsidP="002E2B18">
      <w:pPr>
        <w:rPr>
          <w:rFonts w:ascii="Arial" w:hAnsi="Arial" w:cs="Arial"/>
          <w:sz w:val="20"/>
          <w:szCs w:val="20"/>
        </w:rPr>
      </w:pPr>
      <w:r w:rsidRPr="00AC6F9D">
        <w:rPr>
          <w:rFonts w:ascii="Arial" w:hAnsi="Arial" w:cs="Arial"/>
          <w:sz w:val="20"/>
          <w:szCs w:val="20"/>
        </w:rPr>
        <w:t>The Association of Equipment Manufacturers (AEM) is submitting these comments on behalf of its member companies, which include original equipment manufacturers (OEMs) and suppliers of off-road (</w:t>
      </w:r>
      <w:r w:rsidR="00C90E37" w:rsidRPr="00AC6F9D">
        <w:rPr>
          <w:rFonts w:ascii="Arial" w:hAnsi="Arial" w:cs="Arial"/>
          <w:sz w:val="20"/>
          <w:szCs w:val="20"/>
        </w:rPr>
        <w:t>non-road</w:t>
      </w:r>
      <w:r w:rsidRPr="00AC6F9D">
        <w:rPr>
          <w:rFonts w:ascii="Arial" w:hAnsi="Arial" w:cs="Arial"/>
          <w:sz w:val="20"/>
          <w:szCs w:val="20"/>
        </w:rPr>
        <w:t>) equipment used in agriculture, construction, forestry, utilities, mining, and other essential sectors.</w:t>
      </w:r>
    </w:p>
    <w:p w14:paraId="2EBD8375" w14:textId="77777777" w:rsidR="008F2720" w:rsidRPr="00AC6F9D" w:rsidRDefault="008F2720" w:rsidP="002E2B18">
      <w:pPr>
        <w:pStyle w:val="ListParagraph"/>
        <w:autoSpaceDE w:val="0"/>
        <w:autoSpaceDN w:val="0"/>
        <w:adjustRightInd w:val="0"/>
        <w:ind w:left="360"/>
        <w:rPr>
          <w:rFonts w:eastAsia="Arial" w:cs="Arial"/>
          <w:b/>
          <w:bCs/>
          <w:sz w:val="20"/>
          <w:szCs w:val="20"/>
          <w:u w:val="single"/>
        </w:rPr>
      </w:pPr>
    </w:p>
    <w:p w14:paraId="75E7435A" w14:textId="49F37769" w:rsidR="006865CE" w:rsidRPr="00AC6F9D" w:rsidRDefault="008F2720"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If you are commenting as a representative, what is the name of the entity you are commenting on behalf of?</w:t>
      </w:r>
    </w:p>
    <w:p w14:paraId="5DA76611" w14:textId="77777777" w:rsidR="00DC17DA" w:rsidRPr="00AC6F9D" w:rsidRDefault="00DC17DA" w:rsidP="002E2B18">
      <w:pPr>
        <w:pStyle w:val="ListParagraph"/>
        <w:autoSpaceDE w:val="0"/>
        <w:autoSpaceDN w:val="0"/>
        <w:adjustRightInd w:val="0"/>
        <w:ind w:left="360"/>
        <w:rPr>
          <w:rFonts w:eastAsia="Arial" w:cs="Arial"/>
          <w:b/>
          <w:bCs/>
          <w:sz w:val="20"/>
          <w:szCs w:val="20"/>
          <w:u w:val="single"/>
        </w:rPr>
      </w:pPr>
    </w:p>
    <w:p w14:paraId="1561A583" w14:textId="77777777" w:rsidR="00594E3C" w:rsidRPr="00AC6F9D" w:rsidRDefault="00594E3C" w:rsidP="002E2B18">
      <w:pPr>
        <w:rPr>
          <w:rFonts w:ascii="Arial" w:hAnsi="Arial" w:cs="Arial"/>
          <w:sz w:val="20"/>
          <w:szCs w:val="20"/>
        </w:rPr>
      </w:pPr>
      <w:r w:rsidRPr="00AC6F9D">
        <w:rPr>
          <w:rFonts w:ascii="Arial" w:hAnsi="Arial" w:cs="Arial"/>
          <w:sz w:val="20"/>
          <w:szCs w:val="20"/>
        </w:rPr>
        <w:t>These comments are submitted on behalf of the Association of Equipment Manufacturers (AEM).</w:t>
      </w:r>
    </w:p>
    <w:p w14:paraId="29738B8F" w14:textId="77777777" w:rsidR="00DC17DA" w:rsidRPr="00AC6F9D" w:rsidRDefault="00DC17DA" w:rsidP="002E2B18">
      <w:pPr>
        <w:pStyle w:val="ListParagraph"/>
        <w:autoSpaceDE w:val="0"/>
        <w:autoSpaceDN w:val="0"/>
        <w:adjustRightInd w:val="0"/>
        <w:ind w:left="360"/>
        <w:rPr>
          <w:rFonts w:eastAsia="Arial" w:cs="Arial"/>
          <w:b/>
          <w:bCs/>
          <w:sz w:val="20"/>
          <w:szCs w:val="20"/>
          <w:u w:val="single"/>
        </w:rPr>
      </w:pPr>
    </w:p>
    <w:p w14:paraId="7167EEBF" w14:textId="19A488B4" w:rsidR="00DC17DA" w:rsidRPr="00AC6F9D" w:rsidRDefault="00DC17DA"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If you represent a product manufacturer or industry group, what industry(</w:t>
      </w:r>
      <w:proofErr w:type="spellStart"/>
      <w:r w:rsidRPr="00AC6F9D">
        <w:rPr>
          <w:rFonts w:eastAsia="Arial" w:cs="Arial"/>
          <w:b/>
          <w:bCs/>
          <w:sz w:val="20"/>
          <w:szCs w:val="20"/>
        </w:rPr>
        <w:t>ies</w:t>
      </w:r>
      <w:proofErr w:type="spellEnd"/>
      <w:r w:rsidRPr="00AC6F9D">
        <w:rPr>
          <w:rFonts w:eastAsia="Arial" w:cs="Arial"/>
          <w:b/>
          <w:bCs/>
          <w:sz w:val="20"/>
          <w:szCs w:val="20"/>
        </w:rPr>
        <w:t>) do you represent?</w:t>
      </w:r>
    </w:p>
    <w:p w14:paraId="0A2A36E3" w14:textId="77777777" w:rsidR="00DC17DA" w:rsidRPr="00AC6F9D" w:rsidRDefault="00DC17DA" w:rsidP="002E2B18">
      <w:pPr>
        <w:autoSpaceDE w:val="0"/>
        <w:autoSpaceDN w:val="0"/>
        <w:adjustRightInd w:val="0"/>
        <w:rPr>
          <w:rFonts w:ascii="Arial" w:eastAsia="Arial" w:hAnsi="Arial" w:cs="Arial"/>
          <w:b/>
          <w:bCs/>
          <w:sz w:val="20"/>
          <w:szCs w:val="20"/>
          <w:u w:val="single"/>
        </w:rPr>
      </w:pPr>
    </w:p>
    <w:p w14:paraId="3E966CE6" w14:textId="77777777" w:rsidR="00594E3C" w:rsidRPr="00AC6F9D" w:rsidRDefault="00594E3C" w:rsidP="002E2B18">
      <w:pPr>
        <w:rPr>
          <w:rFonts w:ascii="Arial" w:hAnsi="Arial" w:cs="Arial"/>
          <w:sz w:val="20"/>
          <w:szCs w:val="20"/>
        </w:rPr>
      </w:pPr>
      <w:r w:rsidRPr="00AC6F9D">
        <w:rPr>
          <w:rFonts w:ascii="Arial" w:hAnsi="Arial" w:cs="Arial"/>
          <w:sz w:val="20"/>
          <w:szCs w:val="20"/>
        </w:rPr>
        <w:lastRenderedPageBreak/>
        <w:t>AEM represents the off-road (nonroad) equipment manufacturing industry, including OEMs and suppliers serving the agriculture, construction, forestry, mining, and utilities sectors, as well as related material handling and industrial equipment applications (including mobile equipment, attachments/implements, and certain large-scale fixed or stationary equipment).</w:t>
      </w:r>
    </w:p>
    <w:p w14:paraId="04318D07" w14:textId="77777777" w:rsidR="00232644" w:rsidRPr="00AC6F9D" w:rsidRDefault="00232644" w:rsidP="002E2B18">
      <w:pPr>
        <w:autoSpaceDE w:val="0"/>
        <w:autoSpaceDN w:val="0"/>
        <w:adjustRightInd w:val="0"/>
        <w:rPr>
          <w:rFonts w:ascii="Arial" w:eastAsia="Arial" w:hAnsi="Arial" w:cs="Arial"/>
          <w:b/>
          <w:bCs/>
          <w:sz w:val="20"/>
          <w:szCs w:val="20"/>
          <w:u w:val="single"/>
        </w:rPr>
      </w:pPr>
    </w:p>
    <w:p w14:paraId="099628A2" w14:textId="11AA1192" w:rsidR="00232644" w:rsidRPr="00AC6F9D" w:rsidRDefault="00232644"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If you represent a product manufacturer, what types of components, products, or product categories do you manufacture that you will be requesting a CUU determination for?</w:t>
      </w:r>
    </w:p>
    <w:p w14:paraId="52212C79" w14:textId="77777777" w:rsidR="0016701A" w:rsidRPr="00AC6F9D" w:rsidRDefault="0016701A" w:rsidP="002E2B18">
      <w:pPr>
        <w:autoSpaceDE w:val="0"/>
        <w:autoSpaceDN w:val="0"/>
        <w:adjustRightInd w:val="0"/>
        <w:rPr>
          <w:rFonts w:ascii="Arial" w:eastAsia="Arial" w:hAnsi="Arial" w:cs="Arial"/>
          <w:b/>
          <w:bCs/>
          <w:sz w:val="20"/>
          <w:szCs w:val="20"/>
          <w:u w:val="single"/>
        </w:rPr>
      </w:pPr>
    </w:p>
    <w:p w14:paraId="00EF38F3" w14:textId="35747B12" w:rsidR="00642AB8" w:rsidRPr="00AC6F9D" w:rsidRDefault="00642AB8" w:rsidP="002E2B18">
      <w:pPr>
        <w:rPr>
          <w:rFonts w:ascii="Arial" w:hAnsi="Arial" w:cs="Arial"/>
          <w:sz w:val="20"/>
          <w:szCs w:val="20"/>
        </w:rPr>
      </w:pPr>
      <w:r w:rsidRPr="00AC6F9D">
        <w:rPr>
          <w:rFonts w:ascii="Arial" w:hAnsi="Arial" w:cs="Arial"/>
          <w:sz w:val="20"/>
          <w:szCs w:val="20"/>
        </w:rPr>
        <w:t>AEM member companies manufacture off-road (nonroad) equipment and related components and systems</w:t>
      </w:r>
      <w:r w:rsidR="009F5834">
        <w:rPr>
          <w:rFonts w:ascii="Arial" w:hAnsi="Arial" w:cs="Arial"/>
          <w:sz w:val="20"/>
          <w:szCs w:val="20"/>
        </w:rPr>
        <w:t>.</w:t>
      </w:r>
      <w:r w:rsidRPr="00AC6F9D">
        <w:rPr>
          <w:rFonts w:ascii="Arial" w:hAnsi="Arial" w:cs="Arial"/>
          <w:sz w:val="20"/>
          <w:szCs w:val="20"/>
        </w:rPr>
        <w:t xml:space="preserve"> </w:t>
      </w:r>
      <w:r w:rsidR="009F5834">
        <w:rPr>
          <w:rFonts w:ascii="Arial" w:hAnsi="Arial" w:cs="Arial"/>
          <w:sz w:val="20"/>
          <w:szCs w:val="20"/>
        </w:rPr>
        <w:t xml:space="preserve"> These components and systems may </w:t>
      </w:r>
      <w:r w:rsidRPr="00AC6F9D">
        <w:rPr>
          <w:rFonts w:ascii="Arial" w:hAnsi="Arial" w:cs="Arial"/>
          <w:sz w:val="20"/>
          <w:szCs w:val="20"/>
        </w:rPr>
        <w:t>includ</w:t>
      </w:r>
      <w:r w:rsidR="009F5834">
        <w:rPr>
          <w:rFonts w:ascii="Arial" w:hAnsi="Arial" w:cs="Arial"/>
          <w:sz w:val="20"/>
          <w:szCs w:val="20"/>
        </w:rPr>
        <w:t>e</w:t>
      </w:r>
      <w:r w:rsidRPr="00AC6F9D">
        <w:rPr>
          <w:rFonts w:ascii="Arial" w:hAnsi="Arial" w:cs="Arial"/>
          <w:sz w:val="20"/>
          <w:szCs w:val="20"/>
        </w:rPr>
        <w:t xml:space="preserve"> </w:t>
      </w:r>
      <w:r w:rsidR="009F5834">
        <w:rPr>
          <w:rFonts w:ascii="Arial" w:hAnsi="Arial" w:cs="Arial"/>
          <w:sz w:val="20"/>
          <w:szCs w:val="20"/>
        </w:rPr>
        <w:t>(but is not limited to</w:t>
      </w:r>
      <w:r w:rsidRPr="00AC6F9D">
        <w:rPr>
          <w:rFonts w:ascii="Arial" w:hAnsi="Arial" w:cs="Arial"/>
          <w:sz w:val="20"/>
          <w:szCs w:val="20"/>
        </w:rPr>
        <w:t>): seals, gaskets, O-rings, valves, and other sealing elements; hoses and fluid-transfer components</w:t>
      </w:r>
      <w:r w:rsidR="00071E72">
        <w:rPr>
          <w:rFonts w:ascii="Arial" w:hAnsi="Arial" w:cs="Arial"/>
          <w:sz w:val="20"/>
          <w:szCs w:val="20"/>
        </w:rPr>
        <w:t xml:space="preserve">; </w:t>
      </w:r>
      <w:r w:rsidRPr="00AC6F9D">
        <w:rPr>
          <w:rFonts w:ascii="Arial" w:hAnsi="Arial" w:cs="Arial"/>
          <w:sz w:val="20"/>
          <w:szCs w:val="20"/>
        </w:rPr>
        <w:t xml:space="preserve">certain coatings/paints and surface treatments; electrical components such as wire/cable insulation and protective jacketing; thermal-management systems </w:t>
      </w:r>
      <w:r w:rsidR="00D5653F">
        <w:rPr>
          <w:rFonts w:ascii="Arial" w:hAnsi="Arial" w:cs="Arial"/>
          <w:sz w:val="20"/>
          <w:szCs w:val="20"/>
        </w:rPr>
        <w:t>which include refrigerants</w:t>
      </w:r>
      <w:r w:rsidRPr="00AC6F9D">
        <w:rPr>
          <w:rFonts w:ascii="Arial" w:hAnsi="Arial" w:cs="Arial"/>
          <w:sz w:val="20"/>
          <w:szCs w:val="20"/>
        </w:rPr>
        <w:t>; and emerging alternative power technologies (e.g., battery components using PVDF binders and fuel-cell membranes) where PFAS provide critical performance attributes and viable non-PFAS alternatives are not currently available.</w:t>
      </w:r>
    </w:p>
    <w:p w14:paraId="03529942" w14:textId="77777777" w:rsidR="00232644" w:rsidRPr="00AC6F9D" w:rsidRDefault="00232644" w:rsidP="002E2B18">
      <w:pPr>
        <w:autoSpaceDE w:val="0"/>
        <w:autoSpaceDN w:val="0"/>
        <w:adjustRightInd w:val="0"/>
        <w:rPr>
          <w:rFonts w:ascii="Arial" w:eastAsia="Arial" w:hAnsi="Arial" w:cs="Arial"/>
          <w:b/>
          <w:bCs/>
          <w:sz w:val="20"/>
          <w:szCs w:val="20"/>
          <w:u w:val="single"/>
        </w:rPr>
      </w:pPr>
    </w:p>
    <w:p w14:paraId="7A1CBBB2" w14:textId="5852B62D" w:rsidR="00791E60" w:rsidRDefault="00791E60"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Do you have any recommended changes or other considerations that you think the MPCA should </w:t>
      </w:r>
      <w:proofErr w:type="gramStart"/>
      <w:r w:rsidRPr="00AC6F9D">
        <w:rPr>
          <w:rFonts w:eastAsia="Arial" w:cs="Arial"/>
          <w:b/>
          <w:bCs/>
          <w:sz w:val="20"/>
          <w:szCs w:val="20"/>
        </w:rPr>
        <w:t>take into account</w:t>
      </w:r>
      <w:proofErr w:type="gramEnd"/>
      <w:r w:rsidRPr="00AC6F9D">
        <w:rPr>
          <w:rFonts w:eastAsia="Arial" w:cs="Arial"/>
          <w:b/>
          <w:bCs/>
          <w:sz w:val="20"/>
          <w:szCs w:val="20"/>
        </w:rPr>
        <w:t xml:space="preserve"> when defining the term "essential for health, safety, or the functioning of society"</w:t>
      </w:r>
    </w:p>
    <w:p w14:paraId="34C046CC" w14:textId="77777777" w:rsidR="00AA108A" w:rsidRPr="00AC6F9D" w:rsidRDefault="00AA108A" w:rsidP="002E2B18">
      <w:pPr>
        <w:pStyle w:val="ListParagraph"/>
        <w:autoSpaceDE w:val="0"/>
        <w:autoSpaceDN w:val="0"/>
        <w:adjustRightInd w:val="0"/>
        <w:ind w:left="360"/>
        <w:rPr>
          <w:rFonts w:eastAsia="Arial" w:cs="Arial"/>
          <w:b/>
          <w:bCs/>
          <w:sz w:val="20"/>
          <w:szCs w:val="20"/>
        </w:rPr>
      </w:pPr>
    </w:p>
    <w:p w14:paraId="4100DA72" w14:textId="77777777" w:rsidR="00AA108A" w:rsidRDefault="00AA108A" w:rsidP="002E2B18">
      <w:pPr>
        <w:rPr>
          <w:rFonts w:ascii="Arial" w:hAnsi="Arial" w:cs="Arial"/>
          <w:sz w:val="20"/>
          <w:szCs w:val="20"/>
        </w:rPr>
      </w:pPr>
      <w:r w:rsidRPr="00AA108A">
        <w:rPr>
          <w:rFonts w:ascii="Arial" w:hAnsi="Arial" w:cs="Arial"/>
          <w:sz w:val="20"/>
          <w:szCs w:val="20"/>
        </w:rPr>
        <w:t>AEM recommends that MPCA define “essential for health, safety, or the functioning of society” in a way that is use</w:t>
      </w:r>
      <w:r w:rsidRPr="00AA108A">
        <w:rPr>
          <w:rFonts w:ascii="Arial" w:hAnsi="Arial" w:cs="Arial"/>
          <w:sz w:val="20"/>
          <w:szCs w:val="20"/>
        </w:rPr>
        <w:noBreakHyphen/>
        <w:t>case specific and focused on whether the PFAS-containing function is necessary to enable safe, reliable operation of products that support critical societal needs (e.g., agriculture, construction, utilities, and emergency response), particularly where failure could create meaningful risks to workers, the public, or the environment.</w:t>
      </w:r>
    </w:p>
    <w:p w14:paraId="15873FF2" w14:textId="77777777" w:rsidR="003341C2" w:rsidRPr="00AA108A" w:rsidRDefault="003341C2" w:rsidP="002E2B18"/>
    <w:p w14:paraId="067C131D" w14:textId="77777777" w:rsidR="00AA108A" w:rsidRPr="00AA108A" w:rsidRDefault="00AA108A" w:rsidP="002E2B18">
      <w:pPr>
        <w:numPr>
          <w:ilvl w:val="0"/>
          <w:numId w:val="43"/>
        </w:numPr>
        <w:ind w:left="1080"/>
        <w:rPr>
          <w:rFonts w:eastAsia="Times New Roman"/>
        </w:rPr>
      </w:pPr>
      <w:r w:rsidRPr="00AA108A">
        <w:rPr>
          <w:rFonts w:ascii="Arial" w:eastAsia="Times New Roman" w:hAnsi="Arial" w:cs="Arial"/>
          <w:sz w:val="20"/>
          <w:szCs w:val="20"/>
        </w:rPr>
        <w:t>Focus on safety-critical performance (e.g., sealing integrity, chemical/thermal resistance, fire/flammability considerations) and essential reliability over the intended service life.</w:t>
      </w:r>
    </w:p>
    <w:p w14:paraId="60F5E659" w14:textId="77777777" w:rsidR="00AA108A" w:rsidRPr="00AA108A" w:rsidRDefault="00AA108A" w:rsidP="002E2B18">
      <w:pPr>
        <w:numPr>
          <w:ilvl w:val="0"/>
          <w:numId w:val="43"/>
        </w:numPr>
        <w:ind w:left="1080"/>
        <w:rPr>
          <w:rFonts w:eastAsia="Times New Roman"/>
        </w:rPr>
      </w:pPr>
      <w:r w:rsidRPr="00AA108A">
        <w:rPr>
          <w:rFonts w:ascii="Arial" w:eastAsia="Times New Roman" w:hAnsi="Arial" w:cs="Arial"/>
          <w:sz w:val="20"/>
          <w:szCs w:val="20"/>
        </w:rPr>
        <w:t>Recognize equipment that enables critical infrastructure and supply chains (food production, energy, water, transportation construction/maintenance, mining, and utilities).</w:t>
      </w:r>
    </w:p>
    <w:p w14:paraId="5492C19E" w14:textId="77777777" w:rsidR="00AA108A" w:rsidRPr="00AA108A" w:rsidRDefault="00AA108A" w:rsidP="002E2B18">
      <w:pPr>
        <w:numPr>
          <w:ilvl w:val="0"/>
          <w:numId w:val="43"/>
        </w:numPr>
        <w:ind w:left="1080"/>
        <w:rPr>
          <w:rFonts w:eastAsia="Times New Roman"/>
        </w:rPr>
      </w:pPr>
      <w:r w:rsidRPr="00AA108A">
        <w:rPr>
          <w:rFonts w:ascii="Arial" w:eastAsia="Times New Roman" w:hAnsi="Arial" w:cs="Arial"/>
          <w:sz w:val="20"/>
          <w:szCs w:val="20"/>
        </w:rPr>
        <w:t>Evaluate essentiality alongside whether a reasonably available alternative exists that meets required standards and does not create safety or durability tradeoffs.</w:t>
      </w:r>
    </w:p>
    <w:p w14:paraId="1D1AA9B6" w14:textId="77777777" w:rsidR="00AA108A" w:rsidRPr="00AA108A" w:rsidRDefault="00AA108A" w:rsidP="002E2B18">
      <w:pPr>
        <w:numPr>
          <w:ilvl w:val="0"/>
          <w:numId w:val="43"/>
        </w:numPr>
        <w:ind w:left="1080"/>
        <w:rPr>
          <w:rFonts w:eastAsia="Times New Roman"/>
        </w:rPr>
      </w:pPr>
      <w:r w:rsidRPr="00AA108A">
        <w:rPr>
          <w:rFonts w:ascii="Arial" w:eastAsia="Times New Roman" w:hAnsi="Arial" w:cs="Arial"/>
          <w:sz w:val="20"/>
          <w:szCs w:val="20"/>
        </w:rPr>
        <w:t>Account for lifecycle realities, including long-lived equipment platforms and the need for safe, compliant service and replacement parts.</w:t>
      </w:r>
    </w:p>
    <w:p w14:paraId="22ED6065" w14:textId="200193AB" w:rsidR="00AA108A" w:rsidRPr="00707FE3" w:rsidRDefault="00AA108A" w:rsidP="002E2B18">
      <w:pPr>
        <w:numPr>
          <w:ilvl w:val="0"/>
          <w:numId w:val="43"/>
        </w:numPr>
        <w:ind w:left="1080"/>
        <w:rPr>
          <w:rFonts w:eastAsia="Times New Roman"/>
        </w:rPr>
      </w:pPr>
      <w:r w:rsidRPr="00AA108A">
        <w:rPr>
          <w:rFonts w:ascii="Arial" w:eastAsia="Times New Roman" w:hAnsi="Arial" w:cs="Arial"/>
          <w:sz w:val="20"/>
          <w:szCs w:val="20"/>
        </w:rPr>
        <w:t xml:space="preserve">Use a risk- and exposure-informed approach that differentiates durable engineered components from applications with higher likelihood of </w:t>
      </w:r>
      <w:r w:rsidR="00B41076" w:rsidRPr="00AA108A">
        <w:rPr>
          <w:rFonts w:ascii="Arial" w:eastAsia="Times New Roman" w:hAnsi="Arial" w:cs="Arial"/>
          <w:sz w:val="20"/>
          <w:szCs w:val="20"/>
        </w:rPr>
        <w:t>release and</w:t>
      </w:r>
      <w:r w:rsidRPr="00AA108A">
        <w:rPr>
          <w:rFonts w:ascii="Arial" w:eastAsia="Times New Roman" w:hAnsi="Arial" w:cs="Arial"/>
          <w:sz w:val="20"/>
          <w:szCs w:val="20"/>
        </w:rPr>
        <w:t xml:space="preserve"> encourages practical release</w:t>
      </w:r>
      <w:r w:rsidRPr="00AA108A">
        <w:rPr>
          <w:rFonts w:ascii="Arial" w:eastAsia="Times New Roman" w:hAnsi="Arial" w:cs="Arial"/>
          <w:sz w:val="20"/>
          <w:szCs w:val="20"/>
        </w:rPr>
        <w:noBreakHyphen/>
        <w:t>reduction measures where feasible.</w:t>
      </w:r>
    </w:p>
    <w:p w14:paraId="25BB6764" w14:textId="77777777" w:rsidR="00AA108A" w:rsidRDefault="00AA108A" w:rsidP="002E2B18">
      <w:pPr>
        <w:ind w:left="1080"/>
        <w:rPr>
          <w:rFonts w:eastAsia="Times New Roman"/>
        </w:rPr>
      </w:pPr>
    </w:p>
    <w:p w14:paraId="79C5315E" w14:textId="6EAEB351" w:rsidR="00980569" w:rsidRPr="00AC6F9D" w:rsidRDefault="00980569"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Do you have any recommended changes or other considerations that you think the MPCA should </w:t>
      </w:r>
      <w:proofErr w:type="gramStart"/>
      <w:r w:rsidRPr="00AC6F9D">
        <w:rPr>
          <w:rFonts w:eastAsia="Arial" w:cs="Arial"/>
          <w:b/>
          <w:bCs/>
          <w:sz w:val="20"/>
          <w:szCs w:val="20"/>
        </w:rPr>
        <w:t>take into account</w:t>
      </w:r>
      <w:proofErr w:type="gramEnd"/>
      <w:r w:rsidRPr="00AC6F9D">
        <w:rPr>
          <w:rFonts w:eastAsia="Arial" w:cs="Arial"/>
          <w:b/>
          <w:bCs/>
          <w:sz w:val="20"/>
          <w:szCs w:val="20"/>
        </w:rPr>
        <w:t xml:space="preserve"> when defining the term "alternative"?</w:t>
      </w:r>
    </w:p>
    <w:p w14:paraId="50D250D5" w14:textId="77777777" w:rsidR="00A42D24" w:rsidRPr="00AC6F9D" w:rsidRDefault="00A42D24" w:rsidP="002E2B18">
      <w:pPr>
        <w:pStyle w:val="ListParagraph"/>
        <w:autoSpaceDE w:val="0"/>
        <w:autoSpaceDN w:val="0"/>
        <w:adjustRightInd w:val="0"/>
        <w:ind w:left="360"/>
        <w:rPr>
          <w:rFonts w:eastAsia="Arial" w:cs="Arial"/>
          <w:b/>
          <w:bCs/>
          <w:sz w:val="20"/>
          <w:szCs w:val="20"/>
        </w:rPr>
      </w:pPr>
    </w:p>
    <w:p w14:paraId="06B6E6CC" w14:textId="77777777" w:rsidR="00BF6B88" w:rsidRPr="00AC6F9D" w:rsidRDefault="00BF6B88" w:rsidP="002E2B18">
      <w:pPr>
        <w:rPr>
          <w:rFonts w:ascii="Arial" w:hAnsi="Arial" w:cs="Arial"/>
          <w:sz w:val="20"/>
          <w:szCs w:val="20"/>
        </w:rPr>
      </w:pPr>
      <w:r w:rsidRPr="00AC6F9D">
        <w:rPr>
          <w:rFonts w:ascii="Arial" w:hAnsi="Arial" w:cs="Arial"/>
          <w:sz w:val="20"/>
          <w:szCs w:val="20"/>
        </w:rPr>
        <w:t>AEM recommends that MPCA define an “alternative” as a non-PFAS material, technology, design, or process that can reasonably be substituted for intentionally added PFAS in a specific use while maintaining the required fit, form, and function and achieving equivalent safety, durability, reliability, and regulatory/standards compliance over the intended service life. The definition should make clear that an “alternative” is evaluated at the use case/application level (e.g., a particular seal or hose duty cycle), and that a candidate is not an “alternative” if it requires unacceptable design compromises, materially increases failure risk, or results in a regrettable substitution from an environment and human health perspective.</w:t>
      </w:r>
    </w:p>
    <w:p w14:paraId="07EBDBA4" w14:textId="77777777" w:rsidR="00BF6B88" w:rsidRPr="00AC6F9D" w:rsidRDefault="00BF6B88" w:rsidP="002E2B18">
      <w:pPr>
        <w:ind w:left="360"/>
        <w:rPr>
          <w:rFonts w:ascii="Arial" w:hAnsi="Arial" w:cs="Arial"/>
          <w:sz w:val="20"/>
          <w:szCs w:val="20"/>
        </w:rPr>
      </w:pPr>
    </w:p>
    <w:p w14:paraId="0B5C4EBC" w14:textId="77777777" w:rsidR="0035500B" w:rsidRDefault="00637724" w:rsidP="00022FD5">
      <w:pPr>
        <w:rPr>
          <w:rFonts w:ascii="Arial" w:hAnsi="Arial" w:cs="Arial"/>
          <w:sz w:val="20"/>
          <w:szCs w:val="20"/>
        </w:rPr>
      </w:pPr>
      <w:r>
        <w:rPr>
          <w:rFonts w:ascii="Arial" w:hAnsi="Arial" w:cs="Arial"/>
          <w:sz w:val="20"/>
          <w:szCs w:val="20"/>
        </w:rPr>
        <w:t>In the context of PFAS substitution decisions, a “regrettable substitution” occurs when a restricted material is replaced with an alternative that later proves to create comparable or greater risks to human health or the environment or creates new safety</w:t>
      </w:r>
      <w:r w:rsidR="0091490E">
        <w:rPr>
          <w:rFonts w:ascii="Arial" w:hAnsi="Arial" w:cs="Arial"/>
          <w:sz w:val="20"/>
          <w:szCs w:val="20"/>
        </w:rPr>
        <w:t xml:space="preserve"> and </w:t>
      </w:r>
      <w:r>
        <w:rPr>
          <w:rFonts w:ascii="Arial" w:hAnsi="Arial" w:cs="Arial"/>
          <w:sz w:val="20"/>
          <w:szCs w:val="20"/>
        </w:rPr>
        <w:t xml:space="preserve">reliability failures, often because the substitute was evaluated using incomplete hazard data, narrow endpoints, or short-term performance testing that did not reflect real-world </w:t>
      </w:r>
      <w:r w:rsidR="0091490E">
        <w:rPr>
          <w:rFonts w:ascii="Arial" w:hAnsi="Arial" w:cs="Arial"/>
          <w:sz w:val="20"/>
          <w:szCs w:val="20"/>
        </w:rPr>
        <w:t>conditions</w:t>
      </w:r>
      <w:r>
        <w:rPr>
          <w:rFonts w:ascii="Arial" w:hAnsi="Arial" w:cs="Arial"/>
          <w:sz w:val="20"/>
          <w:szCs w:val="20"/>
        </w:rPr>
        <w:t xml:space="preserve">. MPCA should </w:t>
      </w:r>
      <w:r w:rsidR="0091490E">
        <w:rPr>
          <w:rFonts w:ascii="Arial" w:hAnsi="Arial" w:cs="Arial"/>
          <w:sz w:val="20"/>
          <w:szCs w:val="20"/>
        </w:rPr>
        <w:t>prioritize</w:t>
      </w:r>
      <w:r>
        <w:rPr>
          <w:rFonts w:ascii="Arial" w:hAnsi="Arial" w:cs="Arial"/>
          <w:sz w:val="20"/>
          <w:szCs w:val="20"/>
        </w:rPr>
        <w:t xml:space="preserve"> avoiding regrettable substitution</w:t>
      </w:r>
      <w:r w:rsidR="0091490E">
        <w:rPr>
          <w:rFonts w:ascii="Arial" w:hAnsi="Arial" w:cs="Arial"/>
          <w:sz w:val="20"/>
          <w:szCs w:val="20"/>
        </w:rPr>
        <w:t>s</w:t>
      </w:r>
      <w:r w:rsidR="004E6892">
        <w:rPr>
          <w:rFonts w:ascii="Arial" w:hAnsi="Arial" w:cs="Arial"/>
          <w:sz w:val="20"/>
          <w:szCs w:val="20"/>
        </w:rPr>
        <w:t xml:space="preserve"> and recognize that identifying these</w:t>
      </w:r>
      <w:r>
        <w:rPr>
          <w:rFonts w:ascii="Arial" w:hAnsi="Arial" w:cs="Arial"/>
          <w:sz w:val="20"/>
          <w:szCs w:val="20"/>
        </w:rPr>
        <w:t xml:space="preserve"> </w:t>
      </w:r>
      <w:r w:rsidR="0035500B">
        <w:rPr>
          <w:rFonts w:ascii="Arial" w:hAnsi="Arial" w:cs="Arial"/>
          <w:sz w:val="20"/>
          <w:szCs w:val="20"/>
        </w:rPr>
        <w:t xml:space="preserve">potential obstacles </w:t>
      </w:r>
      <w:r>
        <w:rPr>
          <w:rFonts w:ascii="Arial" w:hAnsi="Arial" w:cs="Arial"/>
          <w:sz w:val="20"/>
          <w:szCs w:val="20"/>
        </w:rPr>
        <w:t xml:space="preserve">requires </w:t>
      </w:r>
      <w:r w:rsidR="004E6892">
        <w:rPr>
          <w:rFonts w:ascii="Arial" w:hAnsi="Arial" w:cs="Arial"/>
          <w:sz w:val="20"/>
          <w:szCs w:val="20"/>
        </w:rPr>
        <w:t>time and resources</w:t>
      </w:r>
      <w:r w:rsidR="0035500B">
        <w:rPr>
          <w:rFonts w:ascii="Arial" w:hAnsi="Arial" w:cs="Arial"/>
          <w:sz w:val="20"/>
          <w:szCs w:val="20"/>
        </w:rPr>
        <w:t>, especially within the context of the nonroad equipment industry.</w:t>
      </w:r>
      <w:r>
        <w:rPr>
          <w:rFonts w:ascii="Arial" w:hAnsi="Arial" w:cs="Arial"/>
          <w:sz w:val="20"/>
          <w:szCs w:val="20"/>
        </w:rPr>
        <w:t xml:space="preserve"> </w:t>
      </w:r>
    </w:p>
    <w:p w14:paraId="26BF07EB" w14:textId="18D234AE" w:rsidR="00637724" w:rsidRDefault="00FC078E" w:rsidP="00022FD5">
      <w:r>
        <w:rPr>
          <w:rFonts w:ascii="Arial" w:hAnsi="Arial" w:cs="Arial"/>
          <w:sz w:val="20"/>
          <w:szCs w:val="20"/>
        </w:rPr>
        <w:lastRenderedPageBreak/>
        <w:t>Industry will need to evaluate use-case specific evaluations of the</w:t>
      </w:r>
      <w:r w:rsidR="00637724">
        <w:rPr>
          <w:rFonts w:ascii="Arial" w:hAnsi="Arial" w:cs="Arial"/>
          <w:sz w:val="20"/>
          <w:szCs w:val="20"/>
        </w:rPr>
        <w:t xml:space="preserve"> </w:t>
      </w:r>
      <w:r w:rsidR="00637724" w:rsidRPr="0090207C">
        <w:rPr>
          <w:rFonts w:ascii="Arial" w:hAnsi="Arial" w:cs="Arial"/>
          <w:sz w:val="20"/>
          <w:szCs w:val="20"/>
        </w:rPr>
        <w:t xml:space="preserve">technical performance over the </w:t>
      </w:r>
      <w:r w:rsidRPr="0090207C">
        <w:rPr>
          <w:rFonts w:ascii="Arial" w:hAnsi="Arial" w:cs="Arial"/>
          <w:sz w:val="20"/>
          <w:szCs w:val="20"/>
        </w:rPr>
        <w:t xml:space="preserve">useful life of the machine and the effect on </w:t>
      </w:r>
      <w:r w:rsidR="00637724" w:rsidRPr="0090207C">
        <w:rPr>
          <w:rFonts w:ascii="Arial" w:hAnsi="Arial" w:cs="Arial"/>
          <w:sz w:val="20"/>
          <w:szCs w:val="20"/>
        </w:rPr>
        <w:t>human health</w:t>
      </w:r>
      <w:r w:rsidRPr="0090207C">
        <w:rPr>
          <w:rFonts w:ascii="Arial" w:hAnsi="Arial" w:cs="Arial"/>
          <w:sz w:val="20"/>
          <w:szCs w:val="20"/>
        </w:rPr>
        <w:t xml:space="preserve"> and the </w:t>
      </w:r>
      <w:r w:rsidR="00637724" w:rsidRPr="0090207C">
        <w:rPr>
          <w:rFonts w:ascii="Arial" w:hAnsi="Arial" w:cs="Arial"/>
          <w:sz w:val="20"/>
          <w:szCs w:val="20"/>
        </w:rPr>
        <w:t>environment</w:t>
      </w:r>
      <w:r w:rsidRPr="0090207C">
        <w:rPr>
          <w:rFonts w:ascii="Arial" w:hAnsi="Arial" w:cs="Arial"/>
          <w:sz w:val="20"/>
          <w:szCs w:val="20"/>
        </w:rPr>
        <w:t>.</w:t>
      </w:r>
      <w:r w:rsidR="00637724" w:rsidRPr="0090207C">
        <w:rPr>
          <w:rFonts w:ascii="Arial" w:hAnsi="Arial" w:cs="Arial"/>
          <w:sz w:val="20"/>
          <w:szCs w:val="20"/>
        </w:rPr>
        <w:t xml:space="preserve"> </w:t>
      </w:r>
      <w:r w:rsidRPr="0090207C">
        <w:rPr>
          <w:rFonts w:ascii="Arial" w:hAnsi="Arial" w:cs="Arial"/>
          <w:sz w:val="20"/>
          <w:szCs w:val="20"/>
        </w:rPr>
        <w:t xml:space="preserve">These evaluations will need to consider the </w:t>
      </w:r>
      <w:r w:rsidR="0090207C">
        <w:rPr>
          <w:rFonts w:ascii="Arial" w:hAnsi="Arial" w:cs="Arial"/>
          <w:sz w:val="20"/>
          <w:szCs w:val="20"/>
        </w:rPr>
        <w:t xml:space="preserve">toxicity </w:t>
      </w:r>
      <w:r w:rsidR="0090207C" w:rsidRPr="0090207C">
        <w:rPr>
          <w:rFonts w:ascii="Arial" w:hAnsi="Arial" w:cs="Arial"/>
          <w:sz w:val="20"/>
          <w:szCs w:val="20"/>
        </w:rPr>
        <w:t>hazard profile</w:t>
      </w:r>
      <w:r w:rsidR="0090207C">
        <w:rPr>
          <w:rFonts w:ascii="Arial" w:hAnsi="Arial" w:cs="Arial"/>
          <w:sz w:val="20"/>
          <w:szCs w:val="20"/>
        </w:rPr>
        <w:t xml:space="preserve"> of new substances</w:t>
      </w:r>
      <w:r w:rsidR="000C3DEB">
        <w:rPr>
          <w:rFonts w:ascii="Arial" w:hAnsi="Arial" w:cs="Arial"/>
          <w:sz w:val="20"/>
          <w:szCs w:val="20"/>
        </w:rPr>
        <w:t xml:space="preserve">, the exposure and release pathways, the safety performance characteristics, the durability and aging profile, the </w:t>
      </w:r>
      <w:r w:rsidR="00AC5DE7">
        <w:rPr>
          <w:rFonts w:ascii="Arial" w:hAnsi="Arial" w:cs="Arial"/>
          <w:sz w:val="20"/>
          <w:szCs w:val="20"/>
        </w:rPr>
        <w:t xml:space="preserve">stability of the supply chain, and the end-of-life considerations. All these factors need to be considered to ensure new replacements don’t </w:t>
      </w:r>
      <w:r w:rsidR="00947261">
        <w:rPr>
          <w:rFonts w:ascii="Arial" w:hAnsi="Arial" w:cs="Arial"/>
          <w:sz w:val="20"/>
          <w:szCs w:val="20"/>
        </w:rPr>
        <w:t>result in far worse societal outcomes down the road.</w:t>
      </w:r>
      <w:r w:rsidR="0090207C" w:rsidRPr="0090207C">
        <w:rPr>
          <w:rFonts w:ascii="Arial" w:hAnsi="Arial" w:cs="Arial"/>
          <w:sz w:val="20"/>
          <w:szCs w:val="20"/>
        </w:rPr>
        <w:t xml:space="preserve"> </w:t>
      </w:r>
    </w:p>
    <w:p w14:paraId="187AE7E8" w14:textId="77777777" w:rsidR="00E33DA9" w:rsidRDefault="00E33DA9" w:rsidP="00947261">
      <w:pPr>
        <w:rPr>
          <w:rFonts w:ascii="Arial" w:hAnsi="Arial" w:cs="Arial"/>
          <w:sz w:val="20"/>
          <w:szCs w:val="20"/>
        </w:rPr>
      </w:pPr>
    </w:p>
    <w:p w14:paraId="1BD619F0" w14:textId="5FC15F89" w:rsidR="00637724" w:rsidRDefault="00637724" w:rsidP="00947261">
      <w:pPr>
        <w:rPr>
          <w:rFonts w:ascii="Arial" w:hAnsi="Arial" w:cs="Arial"/>
          <w:sz w:val="20"/>
          <w:szCs w:val="20"/>
        </w:rPr>
      </w:pPr>
      <w:r>
        <w:rPr>
          <w:rFonts w:ascii="Arial" w:hAnsi="Arial" w:cs="Arial"/>
          <w:sz w:val="20"/>
          <w:szCs w:val="20"/>
        </w:rPr>
        <w:t xml:space="preserve">MPCA should also clarify </w:t>
      </w:r>
      <w:r w:rsidRPr="00947261">
        <w:rPr>
          <w:rFonts w:ascii="Arial" w:hAnsi="Arial" w:cs="Arial"/>
          <w:sz w:val="20"/>
          <w:szCs w:val="20"/>
        </w:rPr>
        <w:t>what constitutes adequate “proof”</w:t>
      </w:r>
      <w:r>
        <w:rPr>
          <w:rFonts w:ascii="Arial" w:hAnsi="Arial" w:cs="Arial"/>
          <w:sz w:val="20"/>
          <w:szCs w:val="20"/>
        </w:rPr>
        <w:t xml:space="preserve"> in either direction. A substitute should be treated as a likely </w:t>
      </w:r>
      <w:r w:rsidRPr="00947261">
        <w:rPr>
          <w:rFonts w:ascii="Arial" w:hAnsi="Arial" w:cs="Arial"/>
          <w:sz w:val="20"/>
          <w:szCs w:val="20"/>
        </w:rPr>
        <w:t>regrettable substitution</w:t>
      </w:r>
      <w:r>
        <w:rPr>
          <w:rFonts w:ascii="Arial" w:hAnsi="Arial" w:cs="Arial"/>
          <w:sz w:val="20"/>
          <w:szCs w:val="20"/>
        </w:rPr>
        <w:t xml:space="preserve"> where credible evidence shows comparable or greater persistence/bioaccumulation/toxicity concerns including concerning transformation products,</w:t>
      </w:r>
      <w:r w:rsidR="003D06DE">
        <w:rPr>
          <w:rFonts w:ascii="Arial" w:hAnsi="Arial" w:cs="Arial"/>
          <w:sz w:val="20"/>
          <w:szCs w:val="20"/>
        </w:rPr>
        <w:t xml:space="preserve"> </w:t>
      </w:r>
      <w:r>
        <w:rPr>
          <w:rFonts w:ascii="Arial" w:hAnsi="Arial" w:cs="Arial"/>
          <w:sz w:val="20"/>
          <w:szCs w:val="20"/>
        </w:rPr>
        <w:t xml:space="preserve">meaningfully higher release/exposure potential in the specific lifecycle stages, or increased safety risk due to higher failure rates or degraded durability. Conversely, concluding that a substitute is </w:t>
      </w:r>
      <w:r w:rsidRPr="00FE2721">
        <w:rPr>
          <w:rFonts w:ascii="Arial" w:hAnsi="Arial" w:cs="Arial"/>
          <w:sz w:val="20"/>
          <w:szCs w:val="20"/>
        </w:rPr>
        <w:t xml:space="preserve">not </w:t>
      </w:r>
      <w:r>
        <w:rPr>
          <w:rFonts w:ascii="Arial" w:hAnsi="Arial" w:cs="Arial"/>
          <w:sz w:val="20"/>
          <w:szCs w:val="20"/>
        </w:rPr>
        <w:t xml:space="preserve">regrettable typically requires a weight-of-evidence record showing </w:t>
      </w:r>
      <w:r w:rsidR="00FE2721">
        <w:rPr>
          <w:rFonts w:ascii="Arial" w:hAnsi="Arial" w:cs="Arial"/>
          <w:sz w:val="20"/>
          <w:szCs w:val="20"/>
        </w:rPr>
        <w:t xml:space="preserve">that the material has </w:t>
      </w:r>
      <w:r>
        <w:rPr>
          <w:rFonts w:ascii="Arial" w:hAnsi="Arial" w:cs="Arial"/>
          <w:sz w:val="20"/>
          <w:szCs w:val="20"/>
        </w:rPr>
        <w:t xml:space="preserve">no identified high-concern hazard flags for the candidate and its relevant byproducts at expected exposure levels, and </w:t>
      </w:r>
      <w:r w:rsidR="00FE2721">
        <w:rPr>
          <w:rFonts w:ascii="Arial" w:hAnsi="Arial" w:cs="Arial"/>
          <w:sz w:val="20"/>
          <w:szCs w:val="20"/>
        </w:rPr>
        <w:t>has</w:t>
      </w:r>
      <w:r>
        <w:rPr>
          <w:rFonts w:ascii="Arial" w:hAnsi="Arial" w:cs="Arial"/>
          <w:sz w:val="20"/>
          <w:szCs w:val="20"/>
        </w:rPr>
        <w:t xml:space="preserve"> validated performance and durability</w:t>
      </w:r>
      <w:r w:rsidR="002418B8">
        <w:rPr>
          <w:rFonts w:ascii="Arial" w:hAnsi="Arial" w:cs="Arial"/>
          <w:sz w:val="20"/>
          <w:szCs w:val="20"/>
        </w:rPr>
        <w:t xml:space="preserve"> properties</w:t>
      </w:r>
      <w:r>
        <w:rPr>
          <w:rFonts w:ascii="Arial" w:hAnsi="Arial" w:cs="Arial"/>
          <w:sz w:val="20"/>
          <w:szCs w:val="20"/>
        </w:rPr>
        <w:t xml:space="preserve"> under representative conditions, supported by quality-controlled supply at scale.</w:t>
      </w:r>
    </w:p>
    <w:p w14:paraId="3880C3AD" w14:textId="77777777" w:rsidR="00947261" w:rsidRDefault="00947261" w:rsidP="00947261"/>
    <w:p w14:paraId="29DD251D" w14:textId="0256E8AE" w:rsidR="00022FD5" w:rsidRDefault="00E44F6E" w:rsidP="00E44F6E">
      <w:pPr>
        <w:rPr>
          <w:rFonts w:ascii="Arial" w:hAnsi="Arial" w:cs="Arial"/>
          <w:sz w:val="20"/>
          <w:szCs w:val="20"/>
        </w:rPr>
      </w:pPr>
      <w:r>
        <w:rPr>
          <w:rFonts w:ascii="Arial" w:hAnsi="Arial" w:cs="Arial"/>
          <w:sz w:val="20"/>
          <w:szCs w:val="20"/>
        </w:rPr>
        <w:t>For example, a substitute elastomer for a hydraulic seal may pass short-term compression set testing yet fail after extended exposure to modern hydraulic fluids, temperature cycling, and pressure/impulse loads, increasing leak risk and environmental releases. Similarly, a non-PFAS alternative in electronics (e.g., wire/cable insulation, connector seals, potting compounds, or conformal coatings) may meet initial dielectric or flammability requirements but degrade under long-term thermal cycling, vibration, moisture ingress, or chemical exposure, increasing the risk of shorts, sensor failures, or downtime. These outcomes often only become clear through staged validation and multi-year field experience, which is why “availability” and “alternatives” determinations should account for the time needed to avoid unintended, regrettable outcomes.</w:t>
      </w:r>
    </w:p>
    <w:p w14:paraId="32C9085F" w14:textId="77777777" w:rsidR="00E44F6E" w:rsidRDefault="00E44F6E" w:rsidP="00E44F6E"/>
    <w:p w14:paraId="4DB20528" w14:textId="610DFFEC" w:rsidR="00A42D24" w:rsidRPr="001D7A71" w:rsidRDefault="00A42D24"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Do you have any recommended changes or other considerations that you think the MPCA should </w:t>
      </w:r>
      <w:proofErr w:type="gramStart"/>
      <w:r w:rsidRPr="00AC6F9D">
        <w:rPr>
          <w:rFonts w:eastAsia="Arial" w:cs="Arial"/>
          <w:b/>
          <w:bCs/>
          <w:sz w:val="20"/>
          <w:szCs w:val="20"/>
        </w:rPr>
        <w:t>take into account</w:t>
      </w:r>
      <w:proofErr w:type="gramEnd"/>
      <w:r w:rsidRPr="00AC6F9D">
        <w:rPr>
          <w:rFonts w:eastAsia="Arial" w:cs="Arial"/>
          <w:b/>
          <w:bCs/>
          <w:sz w:val="20"/>
          <w:szCs w:val="20"/>
        </w:rPr>
        <w:t xml:space="preserve"> when defining the term "reasonably available"? </w:t>
      </w:r>
    </w:p>
    <w:p w14:paraId="6BEB41F5" w14:textId="77777777" w:rsidR="00980569" w:rsidRPr="00AC6F9D" w:rsidRDefault="00980569" w:rsidP="002E2B18">
      <w:pPr>
        <w:autoSpaceDE w:val="0"/>
        <w:autoSpaceDN w:val="0"/>
        <w:adjustRightInd w:val="0"/>
        <w:rPr>
          <w:rFonts w:ascii="Arial" w:eastAsia="Arial" w:hAnsi="Arial" w:cs="Arial"/>
          <w:b/>
          <w:bCs/>
          <w:sz w:val="20"/>
          <w:szCs w:val="20"/>
          <w:u w:val="single"/>
        </w:rPr>
      </w:pPr>
    </w:p>
    <w:p w14:paraId="12AA9818" w14:textId="77777777" w:rsidR="00BF6B88" w:rsidRPr="00AC6F9D" w:rsidRDefault="00BF6B88" w:rsidP="002E2B18">
      <w:pPr>
        <w:rPr>
          <w:rFonts w:ascii="Arial" w:hAnsi="Arial" w:cs="Arial"/>
          <w:sz w:val="20"/>
          <w:szCs w:val="20"/>
        </w:rPr>
      </w:pPr>
      <w:r w:rsidRPr="00AC6F9D">
        <w:rPr>
          <w:rFonts w:ascii="Arial" w:hAnsi="Arial" w:cs="Arial"/>
          <w:sz w:val="20"/>
          <w:szCs w:val="20"/>
        </w:rPr>
        <w:t>For purposes of CUU determinations, AEM recommends that “reasonably available” be defined to require that an alternative be commercially available at scale, supported by a stable and qualified supply chain, and deployable within practical engineering and validation timelines for the relevant equipment and service parts. Availability should account for real-world constraints, including multi-tier supplier readiness, lead times, quality assurance, and the need for testing/validation and (where applicable) recertification.</w:t>
      </w:r>
    </w:p>
    <w:p w14:paraId="3CFC1487" w14:textId="77777777" w:rsidR="00BF6B88" w:rsidRPr="00AC6F9D" w:rsidRDefault="00BF6B88" w:rsidP="002E2B18">
      <w:pPr>
        <w:autoSpaceDE w:val="0"/>
        <w:autoSpaceDN w:val="0"/>
        <w:adjustRightInd w:val="0"/>
        <w:ind w:left="360"/>
        <w:rPr>
          <w:rFonts w:ascii="Arial" w:eastAsia="Arial" w:hAnsi="Arial" w:cs="Arial"/>
          <w:sz w:val="20"/>
          <w:szCs w:val="20"/>
        </w:rPr>
      </w:pPr>
    </w:p>
    <w:p w14:paraId="62F9BAEF" w14:textId="283E27BF" w:rsidR="005B45B7" w:rsidRPr="00AC6F9D" w:rsidRDefault="005B45B7"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When considering the proposed definition of “product category”, how broadly should the agency group product categories? (Examples: “vehicles” versus “sedans, SUV’s, vans, trucks, RV’s” or "printers" versus "receipt printers, thermal printers, label printers, residential printers, commercial printers, etc.")</w:t>
      </w:r>
    </w:p>
    <w:p w14:paraId="586A7DA8" w14:textId="77777777" w:rsidR="00492167" w:rsidRPr="00AC6F9D" w:rsidRDefault="00492167" w:rsidP="002E2B18">
      <w:pPr>
        <w:autoSpaceDE w:val="0"/>
        <w:autoSpaceDN w:val="0"/>
        <w:adjustRightInd w:val="0"/>
        <w:rPr>
          <w:rFonts w:ascii="Arial" w:eastAsia="Arial" w:hAnsi="Arial" w:cs="Arial"/>
          <w:sz w:val="20"/>
          <w:szCs w:val="20"/>
        </w:rPr>
      </w:pPr>
    </w:p>
    <w:p w14:paraId="6F910693" w14:textId="3CBBFB36" w:rsidR="00492167" w:rsidRPr="00AC6F9D" w:rsidRDefault="00492167" w:rsidP="002E2B18">
      <w:pPr>
        <w:autoSpaceDE w:val="0"/>
        <w:autoSpaceDN w:val="0"/>
        <w:adjustRightInd w:val="0"/>
        <w:ind w:left="360"/>
        <w:rPr>
          <w:rFonts w:ascii="Arial" w:eastAsia="Arial" w:hAnsi="Arial" w:cs="Arial"/>
          <w:sz w:val="20"/>
          <w:szCs w:val="20"/>
        </w:rPr>
      </w:pPr>
      <w:r w:rsidRPr="00492167">
        <w:rPr>
          <w:rFonts w:ascii="Arial" w:eastAsia="Arial" w:hAnsi="Arial" w:cs="Arial"/>
          <w:sz w:val="20"/>
          <w:szCs w:val="20"/>
        </w:rPr>
        <w:t>AEM supports the use of</w:t>
      </w:r>
      <w:r w:rsidR="006D65E7">
        <w:rPr>
          <w:rFonts w:ascii="Arial" w:eastAsia="Arial" w:hAnsi="Arial" w:cs="Arial"/>
          <w:sz w:val="20"/>
          <w:szCs w:val="20"/>
        </w:rPr>
        <w:t xml:space="preserve"> broader</w:t>
      </w:r>
      <w:r w:rsidRPr="00492167">
        <w:rPr>
          <w:rFonts w:ascii="Arial" w:eastAsia="Arial" w:hAnsi="Arial" w:cs="Arial"/>
          <w:sz w:val="20"/>
          <w:szCs w:val="20"/>
        </w:rPr>
        <w:t xml:space="preserve"> product categories rather than SKU</w:t>
      </w:r>
      <w:r w:rsidRPr="00492167">
        <w:rPr>
          <w:rFonts w:ascii="Arial" w:eastAsia="Arial" w:hAnsi="Arial" w:cs="Arial"/>
          <w:sz w:val="20"/>
          <w:szCs w:val="20"/>
        </w:rPr>
        <w:noBreakHyphen/>
        <w:t>level determinations. However:</w:t>
      </w:r>
    </w:p>
    <w:p w14:paraId="137B6526" w14:textId="77777777" w:rsidR="00492167" w:rsidRPr="00492167" w:rsidRDefault="00492167" w:rsidP="002E2B18">
      <w:pPr>
        <w:autoSpaceDE w:val="0"/>
        <w:autoSpaceDN w:val="0"/>
        <w:adjustRightInd w:val="0"/>
        <w:ind w:left="360"/>
        <w:rPr>
          <w:rFonts w:ascii="Arial" w:eastAsia="Arial" w:hAnsi="Arial" w:cs="Arial"/>
          <w:sz w:val="20"/>
          <w:szCs w:val="20"/>
        </w:rPr>
      </w:pPr>
    </w:p>
    <w:p w14:paraId="29B635C2" w14:textId="77777777" w:rsidR="00492167" w:rsidRPr="00492167" w:rsidRDefault="00492167" w:rsidP="002E2B18">
      <w:pPr>
        <w:numPr>
          <w:ilvl w:val="0"/>
          <w:numId w:val="42"/>
        </w:numPr>
        <w:autoSpaceDE w:val="0"/>
        <w:autoSpaceDN w:val="0"/>
        <w:adjustRightInd w:val="0"/>
        <w:rPr>
          <w:rFonts w:ascii="Arial" w:eastAsia="Arial" w:hAnsi="Arial" w:cs="Arial"/>
          <w:sz w:val="20"/>
          <w:szCs w:val="20"/>
        </w:rPr>
      </w:pPr>
      <w:r w:rsidRPr="00492167">
        <w:rPr>
          <w:rFonts w:ascii="Arial" w:eastAsia="Arial" w:hAnsi="Arial" w:cs="Arial"/>
          <w:sz w:val="20"/>
          <w:szCs w:val="20"/>
        </w:rPr>
        <w:t>Categories must be defined broadly enough to cover functionally similar equipment platforms, including variations for size, power, or end use.</w:t>
      </w:r>
    </w:p>
    <w:p w14:paraId="4E390CCC" w14:textId="77777777" w:rsidR="00492167" w:rsidRPr="00492167" w:rsidRDefault="00492167" w:rsidP="002E2B18">
      <w:pPr>
        <w:numPr>
          <w:ilvl w:val="0"/>
          <w:numId w:val="42"/>
        </w:numPr>
        <w:autoSpaceDE w:val="0"/>
        <w:autoSpaceDN w:val="0"/>
        <w:adjustRightInd w:val="0"/>
        <w:rPr>
          <w:rFonts w:ascii="Arial" w:eastAsia="Arial" w:hAnsi="Arial" w:cs="Arial"/>
          <w:sz w:val="20"/>
          <w:szCs w:val="20"/>
        </w:rPr>
      </w:pPr>
      <w:r w:rsidRPr="00492167">
        <w:rPr>
          <w:rFonts w:ascii="Arial" w:eastAsia="Arial" w:hAnsi="Arial" w:cs="Arial"/>
          <w:sz w:val="20"/>
          <w:szCs w:val="20"/>
        </w:rPr>
        <w:t>MPCA should confirm that positive CUU determinations apply across similar manufacturers and products, not solely to named applicants, to avoid competitive distortions and inefficiencies.</w:t>
      </w:r>
    </w:p>
    <w:p w14:paraId="32344F5D" w14:textId="3B6F51CA" w:rsidR="001126BF" w:rsidRPr="007B26F1" w:rsidRDefault="00492167" w:rsidP="007B26F1">
      <w:pPr>
        <w:numPr>
          <w:ilvl w:val="0"/>
          <w:numId w:val="42"/>
        </w:numPr>
        <w:autoSpaceDE w:val="0"/>
        <w:autoSpaceDN w:val="0"/>
        <w:adjustRightInd w:val="0"/>
        <w:rPr>
          <w:rFonts w:ascii="Arial" w:eastAsia="Arial" w:hAnsi="Arial" w:cs="Arial"/>
          <w:sz w:val="20"/>
          <w:szCs w:val="20"/>
        </w:rPr>
      </w:pPr>
      <w:r w:rsidRPr="00492167">
        <w:rPr>
          <w:rFonts w:ascii="Arial" w:eastAsia="Arial" w:hAnsi="Arial" w:cs="Arial"/>
          <w:sz w:val="20"/>
          <w:szCs w:val="20"/>
        </w:rPr>
        <w:t>The rule should include a mechanism for updating CUU determinations as technology evolves without restarting the full rulemaking process.</w:t>
      </w:r>
    </w:p>
    <w:p w14:paraId="3960FA9F" w14:textId="2178CBEF" w:rsidR="008D6206" w:rsidRDefault="008D6206" w:rsidP="008D6206">
      <w:pPr>
        <w:numPr>
          <w:ilvl w:val="0"/>
          <w:numId w:val="42"/>
        </w:numPr>
        <w:rPr>
          <w:rFonts w:eastAsia="Times New Roman"/>
        </w:rPr>
      </w:pPr>
      <w:r>
        <w:rPr>
          <w:rFonts w:ascii="Arial" w:eastAsia="Times New Roman" w:hAnsi="Arial" w:cs="Arial"/>
          <w:sz w:val="20"/>
          <w:szCs w:val="20"/>
        </w:rPr>
        <w:t>To reduce administrative burden and promote regulatory certainty, MPCA should confirm that a denial or narrowing of a CUU request for a particular sub</w:t>
      </w:r>
      <w:r>
        <w:rPr>
          <w:rFonts w:ascii="Arial" w:eastAsia="Times New Roman" w:hAnsi="Arial" w:cs="Arial"/>
          <w:sz w:val="20"/>
          <w:szCs w:val="20"/>
        </w:rPr>
        <w:noBreakHyphen/>
        <w:t xml:space="preserve">category, machine form, or applicant does </w:t>
      </w:r>
      <w:r>
        <w:rPr>
          <w:rFonts w:ascii="Arial" w:eastAsia="Times New Roman" w:hAnsi="Arial" w:cs="Arial"/>
          <w:b/>
          <w:bCs/>
          <w:sz w:val="20"/>
          <w:szCs w:val="20"/>
        </w:rPr>
        <w:t>not</w:t>
      </w:r>
      <w:r>
        <w:rPr>
          <w:rFonts w:ascii="Arial" w:eastAsia="Times New Roman" w:hAnsi="Arial" w:cs="Arial"/>
          <w:sz w:val="20"/>
          <w:szCs w:val="20"/>
        </w:rPr>
        <w:t xml:space="preserve"> automatically invalidate (or reopen) existing positive CUU determinations for other products or applicants. Any change to an existing approval should be made only through a documented</w:t>
      </w:r>
      <w:proofErr w:type="gramStart"/>
      <w:r>
        <w:rPr>
          <w:rFonts w:ascii="Arial" w:eastAsia="Times New Roman" w:hAnsi="Arial" w:cs="Arial"/>
          <w:sz w:val="20"/>
          <w:szCs w:val="20"/>
        </w:rPr>
        <w:t>, case</w:t>
      </w:r>
      <w:r>
        <w:rPr>
          <w:rFonts w:ascii="Arial" w:eastAsia="Times New Roman" w:hAnsi="Arial" w:cs="Arial"/>
          <w:sz w:val="20"/>
          <w:szCs w:val="20"/>
        </w:rPr>
        <w:noBreakHyphen/>
      </w:r>
      <w:proofErr w:type="gramEnd"/>
      <w:r>
        <w:rPr>
          <w:rFonts w:ascii="Arial" w:eastAsia="Times New Roman" w:hAnsi="Arial" w:cs="Arial"/>
          <w:sz w:val="20"/>
          <w:szCs w:val="20"/>
        </w:rPr>
        <w:t>specific finding that the approved use is materially the same and that new information warrants reconsideration.</w:t>
      </w:r>
    </w:p>
    <w:p w14:paraId="4413767D" w14:textId="77777777" w:rsidR="005B45B7" w:rsidRPr="00AC6F9D" w:rsidRDefault="005B45B7" w:rsidP="002E2B18">
      <w:pPr>
        <w:autoSpaceDE w:val="0"/>
        <w:autoSpaceDN w:val="0"/>
        <w:adjustRightInd w:val="0"/>
        <w:rPr>
          <w:rFonts w:ascii="Arial" w:eastAsia="Arial" w:hAnsi="Arial" w:cs="Arial"/>
          <w:b/>
          <w:bCs/>
          <w:sz w:val="20"/>
          <w:szCs w:val="20"/>
        </w:rPr>
      </w:pPr>
    </w:p>
    <w:p w14:paraId="115E24E9" w14:textId="3CA41E31" w:rsidR="009770D4" w:rsidRPr="00AC6F9D" w:rsidRDefault="009770D4"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lastRenderedPageBreak/>
        <w:t>Should each request for a CUU determination be limited to a single product category, or should applicants be allowed to submit a request for a CUU determination for multiple product categories?</w:t>
      </w:r>
    </w:p>
    <w:p w14:paraId="2C7020D0" w14:textId="77777777" w:rsidR="009770D4" w:rsidRPr="00AC6F9D" w:rsidRDefault="009770D4" w:rsidP="002E2B18">
      <w:pPr>
        <w:autoSpaceDE w:val="0"/>
        <w:autoSpaceDN w:val="0"/>
        <w:adjustRightInd w:val="0"/>
        <w:rPr>
          <w:rFonts w:ascii="Arial" w:eastAsia="Arial" w:hAnsi="Arial" w:cs="Arial"/>
          <w:sz w:val="20"/>
          <w:szCs w:val="20"/>
        </w:rPr>
      </w:pPr>
    </w:p>
    <w:p w14:paraId="131C2DD3" w14:textId="77777777" w:rsidR="000625C1" w:rsidRPr="00AC6F9D" w:rsidRDefault="000625C1" w:rsidP="002E2B18">
      <w:pPr>
        <w:rPr>
          <w:rFonts w:ascii="Arial" w:hAnsi="Arial" w:cs="Arial"/>
          <w:sz w:val="20"/>
          <w:szCs w:val="20"/>
        </w:rPr>
      </w:pPr>
      <w:r w:rsidRPr="00AC6F9D">
        <w:rPr>
          <w:rFonts w:ascii="Arial" w:hAnsi="Arial" w:cs="Arial"/>
          <w:sz w:val="20"/>
          <w:szCs w:val="20"/>
        </w:rPr>
        <w:t>AEM recommends that MPCA allow applicants to submit a single CUU request covering multiple product categories where the underlying PFAS use(s), technical function, and supporting evidence substantially overlap (e.g., the same fluoropolymer-</w:t>
      </w:r>
      <w:proofErr w:type="gramStart"/>
      <w:r w:rsidRPr="00AC6F9D">
        <w:rPr>
          <w:rFonts w:ascii="Arial" w:hAnsi="Arial" w:cs="Arial"/>
          <w:sz w:val="20"/>
          <w:szCs w:val="20"/>
        </w:rPr>
        <w:t>based sealing</w:t>
      </w:r>
      <w:proofErr w:type="gramEnd"/>
      <w:r w:rsidRPr="00AC6F9D">
        <w:rPr>
          <w:rFonts w:ascii="Arial" w:hAnsi="Arial" w:cs="Arial"/>
          <w:sz w:val="20"/>
          <w:szCs w:val="20"/>
        </w:rPr>
        <w:t xml:space="preserve"> or hose application used across several </w:t>
      </w:r>
      <w:proofErr w:type="gramStart"/>
      <w:r w:rsidRPr="00AC6F9D">
        <w:rPr>
          <w:rFonts w:ascii="Arial" w:hAnsi="Arial" w:cs="Arial"/>
          <w:sz w:val="20"/>
          <w:szCs w:val="20"/>
        </w:rPr>
        <w:t>nonroad</w:t>
      </w:r>
      <w:proofErr w:type="gramEnd"/>
      <w:r w:rsidRPr="00AC6F9D">
        <w:rPr>
          <w:rFonts w:ascii="Arial" w:hAnsi="Arial" w:cs="Arial"/>
          <w:sz w:val="20"/>
          <w:szCs w:val="20"/>
        </w:rPr>
        <w:t xml:space="preserve"> equipment categories). Allowing consolidated requests will reduce duplicative filings, lower administrative burden for both applicants and the agency, and promote consistent outcomes across similarly situated products.</w:t>
      </w:r>
    </w:p>
    <w:p w14:paraId="6848D5BA" w14:textId="77777777" w:rsidR="001126BF" w:rsidRDefault="001126BF" w:rsidP="001126BF">
      <w:pPr>
        <w:rPr>
          <w:rFonts w:ascii="Arial" w:hAnsi="Arial" w:cs="Arial"/>
          <w:sz w:val="20"/>
          <w:szCs w:val="20"/>
        </w:rPr>
      </w:pPr>
    </w:p>
    <w:p w14:paraId="4A2303C9" w14:textId="475F2AA6" w:rsidR="008D6206" w:rsidRDefault="008D6206" w:rsidP="001126BF">
      <w:r>
        <w:rPr>
          <w:rFonts w:ascii="Arial" w:hAnsi="Arial" w:cs="Arial"/>
          <w:sz w:val="20"/>
          <w:szCs w:val="20"/>
        </w:rPr>
        <w:t xml:space="preserve">MPCA should also explicitly allow a single request to list multiple </w:t>
      </w:r>
      <w:r w:rsidRPr="001126BF">
        <w:rPr>
          <w:rFonts w:ascii="Arial" w:hAnsi="Arial" w:cs="Arial"/>
          <w:sz w:val="20"/>
          <w:szCs w:val="20"/>
        </w:rPr>
        <w:t>machine forms</w:t>
      </w:r>
      <w:r>
        <w:rPr>
          <w:rFonts w:ascii="Arial" w:hAnsi="Arial" w:cs="Arial"/>
          <w:sz w:val="20"/>
          <w:szCs w:val="20"/>
        </w:rPr>
        <w:t xml:space="preserve"> (e.g., equipment platforms, configurations, sizes, and attachments/implements) where the PFAS-containing component and supporting evidence are the same. Importantly, MPCA should treat multi-form submissions as </w:t>
      </w:r>
      <w:r w:rsidRPr="001126BF">
        <w:rPr>
          <w:rFonts w:ascii="Arial" w:hAnsi="Arial" w:cs="Arial"/>
          <w:sz w:val="20"/>
          <w:szCs w:val="20"/>
        </w:rPr>
        <w:t>severable</w:t>
      </w:r>
      <w:r>
        <w:rPr>
          <w:rFonts w:ascii="Arial" w:hAnsi="Arial" w:cs="Arial"/>
          <w:sz w:val="20"/>
          <w:szCs w:val="20"/>
        </w:rPr>
        <w:t xml:space="preserve">: if MPCA concludes that one listed machine form does not meet the CUU criteria, that finding should not derail the entire request for other machine forms that are supported by the record. </w:t>
      </w:r>
    </w:p>
    <w:p w14:paraId="3DFE0344" w14:textId="77777777" w:rsidR="000625C1" w:rsidRPr="00AC6F9D" w:rsidRDefault="000625C1" w:rsidP="002E2B18">
      <w:pPr>
        <w:ind w:left="360"/>
        <w:rPr>
          <w:rFonts w:ascii="Arial" w:hAnsi="Arial" w:cs="Arial"/>
          <w:sz w:val="20"/>
          <w:szCs w:val="20"/>
        </w:rPr>
      </w:pPr>
    </w:p>
    <w:p w14:paraId="33BA6A17" w14:textId="77777777" w:rsidR="0065238A" w:rsidRDefault="000625C1" w:rsidP="002E2B18">
      <w:pPr>
        <w:rPr>
          <w:rFonts w:ascii="Arial" w:hAnsi="Arial" w:cs="Arial"/>
          <w:sz w:val="20"/>
          <w:szCs w:val="20"/>
        </w:rPr>
      </w:pPr>
      <w:r w:rsidRPr="00AC6F9D">
        <w:rPr>
          <w:rFonts w:ascii="Arial" w:hAnsi="Arial" w:cs="Arial"/>
          <w:sz w:val="20"/>
          <w:szCs w:val="20"/>
        </w:rPr>
        <w:t xml:space="preserve">To preserve clarity and ensure the record supports category-specific determinations, MPCA could require that multi-category submissions: </w:t>
      </w:r>
    </w:p>
    <w:p w14:paraId="39C1ED9D" w14:textId="77777777" w:rsidR="0065238A" w:rsidRDefault="0065238A" w:rsidP="0065238A">
      <w:pPr>
        <w:ind w:firstLine="360"/>
        <w:rPr>
          <w:rFonts w:ascii="Arial" w:hAnsi="Arial" w:cs="Arial"/>
          <w:sz w:val="20"/>
          <w:szCs w:val="20"/>
        </w:rPr>
      </w:pPr>
    </w:p>
    <w:p w14:paraId="33FE6DC6" w14:textId="77777777" w:rsidR="0065238A" w:rsidRDefault="000625C1" w:rsidP="0065238A">
      <w:pPr>
        <w:ind w:firstLine="360"/>
        <w:rPr>
          <w:rFonts w:ascii="Arial" w:hAnsi="Arial" w:cs="Arial"/>
          <w:sz w:val="20"/>
          <w:szCs w:val="20"/>
        </w:rPr>
      </w:pPr>
      <w:r w:rsidRPr="00AC6F9D">
        <w:rPr>
          <w:rFonts w:ascii="Arial" w:hAnsi="Arial" w:cs="Arial"/>
          <w:sz w:val="20"/>
          <w:szCs w:val="20"/>
        </w:rPr>
        <w:t>1</w:t>
      </w:r>
      <w:r w:rsidR="0065238A">
        <w:rPr>
          <w:rFonts w:ascii="Arial" w:hAnsi="Arial" w:cs="Arial"/>
          <w:sz w:val="20"/>
          <w:szCs w:val="20"/>
        </w:rPr>
        <w:t>.</w:t>
      </w:r>
      <w:r w:rsidRPr="00AC6F9D">
        <w:rPr>
          <w:rFonts w:ascii="Arial" w:hAnsi="Arial" w:cs="Arial"/>
          <w:sz w:val="20"/>
          <w:szCs w:val="20"/>
        </w:rPr>
        <w:t xml:space="preserve"> identify a primary product category and list additional categories </w:t>
      </w:r>
      <w:proofErr w:type="gramStart"/>
      <w:r w:rsidRPr="00AC6F9D">
        <w:rPr>
          <w:rFonts w:ascii="Arial" w:hAnsi="Arial" w:cs="Arial"/>
          <w:sz w:val="20"/>
          <w:szCs w:val="20"/>
        </w:rPr>
        <w:t>covered;</w:t>
      </w:r>
      <w:proofErr w:type="gramEnd"/>
      <w:r w:rsidRPr="00AC6F9D">
        <w:rPr>
          <w:rFonts w:ascii="Arial" w:hAnsi="Arial" w:cs="Arial"/>
          <w:sz w:val="20"/>
          <w:szCs w:val="20"/>
        </w:rPr>
        <w:t xml:space="preserve"> </w:t>
      </w:r>
    </w:p>
    <w:p w14:paraId="04E3D52D" w14:textId="77777777" w:rsidR="0065238A" w:rsidRDefault="000625C1" w:rsidP="0065238A">
      <w:pPr>
        <w:ind w:left="360"/>
        <w:rPr>
          <w:rFonts w:ascii="Arial" w:hAnsi="Arial" w:cs="Arial"/>
          <w:sz w:val="20"/>
          <w:szCs w:val="20"/>
        </w:rPr>
      </w:pPr>
      <w:r w:rsidRPr="00AC6F9D">
        <w:rPr>
          <w:rFonts w:ascii="Arial" w:hAnsi="Arial" w:cs="Arial"/>
          <w:sz w:val="20"/>
          <w:szCs w:val="20"/>
        </w:rPr>
        <w:t>2</w:t>
      </w:r>
      <w:r w:rsidR="0065238A">
        <w:rPr>
          <w:rFonts w:ascii="Arial" w:hAnsi="Arial" w:cs="Arial"/>
          <w:sz w:val="20"/>
          <w:szCs w:val="20"/>
        </w:rPr>
        <w:t>.</w:t>
      </w:r>
      <w:r w:rsidRPr="00AC6F9D">
        <w:rPr>
          <w:rFonts w:ascii="Arial" w:hAnsi="Arial" w:cs="Arial"/>
          <w:sz w:val="20"/>
          <w:szCs w:val="20"/>
        </w:rPr>
        <w:t xml:space="preserve"> provide category-specific information where duty cycles, exposure conditions, or applicable standards differ; and </w:t>
      </w:r>
    </w:p>
    <w:p w14:paraId="1C0325FD" w14:textId="2E49A72F" w:rsidR="000625C1" w:rsidRPr="00AC6F9D" w:rsidRDefault="000625C1" w:rsidP="0065238A">
      <w:pPr>
        <w:ind w:firstLine="360"/>
        <w:rPr>
          <w:rFonts w:ascii="Arial" w:hAnsi="Arial" w:cs="Arial"/>
          <w:sz w:val="20"/>
          <w:szCs w:val="20"/>
        </w:rPr>
      </w:pPr>
      <w:r w:rsidRPr="00AC6F9D">
        <w:rPr>
          <w:rFonts w:ascii="Arial" w:hAnsi="Arial" w:cs="Arial"/>
          <w:sz w:val="20"/>
          <w:szCs w:val="20"/>
        </w:rPr>
        <w:t>3</w:t>
      </w:r>
      <w:r w:rsidR="0065238A">
        <w:rPr>
          <w:rFonts w:ascii="Arial" w:hAnsi="Arial" w:cs="Arial"/>
          <w:sz w:val="20"/>
          <w:szCs w:val="20"/>
        </w:rPr>
        <w:t>.</w:t>
      </w:r>
      <w:r w:rsidRPr="00AC6F9D">
        <w:rPr>
          <w:rFonts w:ascii="Arial" w:hAnsi="Arial" w:cs="Arial"/>
          <w:sz w:val="20"/>
          <w:szCs w:val="20"/>
        </w:rPr>
        <w:t xml:space="preserve"> allow MPCA to approve the CUU determination on a category-by-category basis. </w:t>
      </w:r>
    </w:p>
    <w:p w14:paraId="33EEBD66" w14:textId="77777777" w:rsidR="009770D4" w:rsidRPr="00AC6F9D" w:rsidRDefault="009770D4" w:rsidP="002E2B18">
      <w:pPr>
        <w:autoSpaceDE w:val="0"/>
        <w:autoSpaceDN w:val="0"/>
        <w:adjustRightInd w:val="0"/>
        <w:rPr>
          <w:rFonts w:ascii="Arial" w:eastAsia="Arial" w:hAnsi="Arial" w:cs="Arial"/>
          <w:b/>
          <w:bCs/>
          <w:sz w:val="20"/>
          <w:szCs w:val="20"/>
        </w:rPr>
      </w:pPr>
    </w:p>
    <w:p w14:paraId="29AA1842" w14:textId="74B0C92A" w:rsidR="00FA4EB1" w:rsidRPr="00AC6F9D" w:rsidRDefault="00FA4EB1"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What safety or other standards require the use of PFAS in a product? (Please include the specific citation)</w:t>
      </w:r>
    </w:p>
    <w:p w14:paraId="56FE862B" w14:textId="77777777" w:rsidR="00FA4EB1" w:rsidRPr="00AC6F9D" w:rsidRDefault="00FA4EB1" w:rsidP="002E2B18">
      <w:pPr>
        <w:autoSpaceDE w:val="0"/>
        <w:autoSpaceDN w:val="0"/>
        <w:adjustRightInd w:val="0"/>
        <w:rPr>
          <w:rFonts w:ascii="Arial" w:eastAsia="Arial" w:hAnsi="Arial" w:cs="Arial"/>
          <w:b/>
          <w:bCs/>
          <w:sz w:val="20"/>
          <w:szCs w:val="20"/>
          <w:u w:val="single"/>
        </w:rPr>
      </w:pPr>
    </w:p>
    <w:p w14:paraId="50614125" w14:textId="7588DCD6" w:rsidR="00CD3743" w:rsidRPr="00AC6F9D" w:rsidRDefault="00CD3743" w:rsidP="002E2B18">
      <w:pPr>
        <w:rPr>
          <w:rFonts w:ascii="Arial" w:hAnsi="Arial" w:cs="Arial"/>
          <w:sz w:val="20"/>
          <w:szCs w:val="20"/>
        </w:rPr>
      </w:pPr>
      <w:r w:rsidRPr="00AC6F9D">
        <w:rPr>
          <w:rFonts w:ascii="Arial" w:hAnsi="Arial" w:cs="Arial"/>
          <w:sz w:val="20"/>
          <w:szCs w:val="20"/>
        </w:rPr>
        <w:t xml:space="preserve">In many cases, PFAS are not specified by name in a single universal “safety standard.” Instead, PFAS chemistries (e.g., fluoropolymers and </w:t>
      </w:r>
      <w:proofErr w:type="spellStart"/>
      <w:r w:rsidRPr="00AC6F9D">
        <w:rPr>
          <w:rFonts w:ascii="Arial" w:hAnsi="Arial" w:cs="Arial"/>
          <w:sz w:val="20"/>
          <w:szCs w:val="20"/>
        </w:rPr>
        <w:t>fluoroelastomers</w:t>
      </w:r>
      <w:proofErr w:type="spellEnd"/>
      <w:r w:rsidRPr="00AC6F9D">
        <w:rPr>
          <w:rFonts w:ascii="Arial" w:hAnsi="Arial" w:cs="Arial"/>
          <w:sz w:val="20"/>
          <w:szCs w:val="20"/>
        </w:rPr>
        <w:t xml:space="preserve">) are often used because they are necessary to meet performance and reliability requirements that are foundational to </w:t>
      </w:r>
      <w:r w:rsidR="0042614F">
        <w:rPr>
          <w:rFonts w:ascii="Arial" w:hAnsi="Arial" w:cs="Arial"/>
          <w:sz w:val="20"/>
          <w:szCs w:val="20"/>
        </w:rPr>
        <w:t xml:space="preserve">the </w:t>
      </w:r>
      <w:r w:rsidRPr="00AC6F9D">
        <w:rPr>
          <w:rFonts w:ascii="Arial" w:hAnsi="Arial" w:cs="Arial"/>
          <w:sz w:val="20"/>
          <w:szCs w:val="20"/>
        </w:rPr>
        <w:t>safety</w:t>
      </w:r>
      <w:r w:rsidR="0042614F">
        <w:rPr>
          <w:rFonts w:ascii="Arial" w:hAnsi="Arial" w:cs="Arial"/>
          <w:sz w:val="20"/>
          <w:szCs w:val="20"/>
        </w:rPr>
        <w:t xml:space="preserve"> of a machine</w:t>
      </w:r>
      <w:r w:rsidR="00282E64">
        <w:rPr>
          <w:rFonts w:ascii="Arial" w:hAnsi="Arial" w:cs="Arial"/>
          <w:sz w:val="20"/>
          <w:szCs w:val="20"/>
        </w:rPr>
        <w:t xml:space="preserve">, </w:t>
      </w:r>
      <w:r w:rsidRPr="00AC6F9D">
        <w:rPr>
          <w:rFonts w:ascii="Arial" w:hAnsi="Arial" w:cs="Arial"/>
          <w:sz w:val="20"/>
          <w:szCs w:val="20"/>
        </w:rPr>
        <w:t xml:space="preserve">such as maintaining hydraulic </w:t>
      </w:r>
      <w:proofErr w:type="gramStart"/>
      <w:r w:rsidRPr="00AC6F9D">
        <w:rPr>
          <w:rFonts w:ascii="Arial" w:hAnsi="Arial" w:cs="Arial"/>
          <w:sz w:val="20"/>
          <w:szCs w:val="20"/>
        </w:rPr>
        <w:t>sealing integrity</w:t>
      </w:r>
      <w:proofErr w:type="gramEnd"/>
      <w:r w:rsidRPr="00AC6F9D">
        <w:rPr>
          <w:rFonts w:ascii="Arial" w:hAnsi="Arial" w:cs="Arial"/>
          <w:sz w:val="20"/>
          <w:szCs w:val="20"/>
        </w:rPr>
        <w:t xml:space="preserve"> under high pressure and extreme temperature cycling, resisting chemical </w:t>
      </w:r>
      <w:r w:rsidR="00DB6614">
        <w:rPr>
          <w:rFonts w:ascii="Arial" w:hAnsi="Arial" w:cs="Arial"/>
          <w:sz w:val="20"/>
          <w:szCs w:val="20"/>
        </w:rPr>
        <w:t>degradation</w:t>
      </w:r>
      <w:r w:rsidRPr="00AC6F9D">
        <w:rPr>
          <w:rFonts w:ascii="Arial" w:hAnsi="Arial" w:cs="Arial"/>
          <w:sz w:val="20"/>
          <w:szCs w:val="20"/>
        </w:rPr>
        <w:t xml:space="preserve"> from fuels and hydraulic fluids, and meeting durability expectations over long product lifecycles. For </w:t>
      </w:r>
      <w:r w:rsidR="0042614F">
        <w:rPr>
          <w:rFonts w:ascii="Arial" w:hAnsi="Arial" w:cs="Arial"/>
          <w:sz w:val="20"/>
          <w:szCs w:val="20"/>
        </w:rPr>
        <w:t>non</w:t>
      </w:r>
      <w:r w:rsidRPr="00AC6F9D">
        <w:rPr>
          <w:rFonts w:ascii="Arial" w:hAnsi="Arial" w:cs="Arial"/>
          <w:sz w:val="20"/>
          <w:szCs w:val="20"/>
        </w:rPr>
        <w:t>-road equipment, these requirements</w:t>
      </w:r>
      <w:r w:rsidR="0042614F">
        <w:rPr>
          <w:rFonts w:ascii="Arial" w:hAnsi="Arial" w:cs="Arial"/>
          <w:sz w:val="20"/>
          <w:szCs w:val="20"/>
        </w:rPr>
        <w:t xml:space="preserve"> must be met and</w:t>
      </w:r>
      <w:r w:rsidRPr="00AC6F9D">
        <w:rPr>
          <w:rFonts w:ascii="Arial" w:hAnsi="Arial" w:cs="Arial"/>
          <w:sz w:val="20"/>
          <w:szCs w:val="20"/>
        </w:rPr>
        <w:t xml:space="preserve"> are commonly embedded in a combination of OEM engineering specifications and consensus standards and test methods (e.g., SAE/ISO/ASTM) for hoses, seals, gaskets, and related components.</w:t>
      </w:r>
    </w:p>
    <w:p w14:paraId="0DC52382" w14:textId="77777777" w:rsidR="008C316C" w:rsidRDefault="008C316C" w:rsidP="008C316C">
      <w:pPr>
        <w:rPr>
          <w:rFonts w:ascii="Arial" w:hAnsi="Arial" w:cs="Arial"/>
          <w:sz w:val="20"/>
          <w:szCs w:val="20"/>
        </w:rPr>
      </w:pPr>
    </w:p>
    <w:p w14:paraId="3D225F2F" w14:textId="1FDBF201" w:rsidR="002914D1" w:rsidRDefault="008C316C" w:rsidP="008C316C">
      <w:pPr>
        <w:rPr>
          <w:rFonts w:ascii="Arial" w:hAnsi="Arial" w:cs="Arial"/>
          <w:sz w:val="20"/>
          <w:szCs w:val="20"/>
        </w:rPr>
      </w:pPr>
      <w:r>
        <w:rPr>
          <w:rFonts w:ascii="Arial" w:hAnsi="Arial" w:cs="Arial"/>
          <w:sz w:val="20"/>
          <w:szCs w:val="20"/>
        </w:rPr>
        <w:t>As an example</w:t>
      </w:r>
      <w:r w:rsidR="003962ED">
        <w:rPr>
          <w:rFonts w:ascii="Arial" w:hAnsi="Arial" w:cs="Arial"/>
          <w:sz w:val="20"/>
          <w:szCs w:val="20"/>
        </w:rPr>
        <w:t xml:space="preserve">, safe hydraulic system design and operation </w:t>
      </w:r>
      <w:proofErr w:type="gramStart"/>
      <w:r w:rsidR="003962ED">
        <w:rPr>
          <w:rFonts w:ascii="Arial" w:hAnsi="Arial" w:cs="Arial"/>
          <w:sz w:val="20"/>
          <w:szCs w:val="20"/>
        </w:rPr>
        <w:t>is</w:t>
      </w:r>
      <w:proofErr w:type="gramEnd"/>
      <w:r w:rsidR="003962ED">
        <w:rPr>
          <w:rFonts w:ascii="Arial" w:hAnsi="Arial" w:cs="Arial"/>
          <w:sz w:val="20"/>
          <w:szCs w:val="20"/>
        </w:rPr>
        <w:t xml:space="preserve"> typically governed by a combination of risk-based machinery safety standards and hydraulic-specific safety requirements</w:t>
      </w:r>
      <w:r w:rsidR="000556B5">
        <w:rPr>
          <w:rFonts w:ascii="Arial" w:hAnsi="Arial" w:cs="Arial"/>
          <w:sz w:val="20"/>
          <w:szCs w:val="20"/>
        </w:rPr>
        <w:t>.</w:t>
      </w:r>
      <w:r w:rsidR="002914D1">
        <w:rPr>
          <w:rFonts w:ascii="Arial" w:hAnsi="Arial" w:cs="Arial"/>
          <w:sz w:val="20"/>
          <w:szCs w:val="20"/>
        </w:rPr>
        <w:t xml:space="preserve"> Thes standards may include</w:t>
      </w:r>
      <w:r w:rsidR="00F870A9">
        <w:rPr>
          <w:rFonts w:ascii="Arial" w:hAnsi="Arial" w:cs="Arial"/>
          <w:sz w:val="20"/>
          <w:szCs w:val="20"/>
        </w:rPr>
        <w:t xml:space="preserve"> (but are not limited to)</w:t>
      </w:r>
      <w:r w:rsidR="002914D1">
        <w:rPr>
          <w:rFonts w:ascii="Arial" w:hAnsi="Arial" w:cs="Arial"/>
          <w:sz w:val="20"/>
          <w:szCs w:val="20"/>
        </w:rPr>
        <w:t xml:space="preserve"> the following:</w:t>
      </w:r>
    </w:p>
    <w:p w14:paraId="25365B22" w14:textId="77777777" w:rsidR="002914D1" w:rsidRDefault="002914D1" w:rsidP="008C316C">
      <w:pPr>
        <w:rPr>
          <w:rFonts w:ascii="Arial" w:hAnsi="Arial" w:cs="Arial"/>
          <w:sz w:val="20"/>
          <w:szCs w:val="20"/>
        </w:rPr>
      </w:pPr>
    </w:p>
    <w:p w14:paraId="538D7E15" w14:textId="70D4C082" w:rsidR="002914D1" w:rsidRDefault="002914D1" w:rsidP="002914D1">
      <w:pPr>
        <w:pStyle w:val="ListParagraph"/>
        <w:numPr>
          <w:ilvl w:val="0"/>
          <w:numId w:val="49"/>
        </w:numPr>
        <w:rPr>
          <w:rFonts w:cs="Arial"/>
          <w:sz w:val="20"/>
          <w:szCs w:val="20"/>
        </w:rPr>
      </w:pPr>
      <w:r>
        <w:rPr>
          <w:rFonts w:cs="Arial"/>
          <w:sz w:val="20"/>
          <w:szCs w:val="20"/>
        </w:rPr>
        <w:t>ISO 4413 – Hydraulic system safety requirements</w:t>
      </w:r>
    </w:p>
    <w:p w14:paraId="2F5E8F13" w14:textId="156A351E" w:rsidR="002914D1" w:rsidRDefault="002914D1" w:rsidP="002914D1">
      <w:pPr>
        <w:pStyle w:val="ListParagraph"/>
        <w:numPr>
          <w:ilvl w:val="0"/>
          <w:numId w:val="49"/>
        </w:numPr>
        <w:rPr>
          <w:rFonts w:cs="Arial"/>
          <w:sz w:val="20"/>
          <w:szCs w:val="20"/>
        </w:rPr>
      </w:pPr>
      <w:r>
        <w:rPr>
          <w:rFonts w:cs="Arial"/>
          <w:sz w:val="20"/>
          <w:szCs w:val="20"/>
        </w:rPr>
        <w:t>ISO 13849 – Functional safety for control systems</w:t>
      </w:r>
    </w:p>
    <w:p w14:paraId="44E01DCD" w14:textId="4A2F635D" w:rsidR="002914D1" w:rsidRDefault="002914D1" w:rsidP="002914D1">
      <w:pPr>
        <w:pStyle w:val="ListParagraph"/>
        <w:numPr>
          <w:ilvl w:val="0"/>
          <w:numId w:val="49"/>
        </w:numPr>
        <w:rPr>
          <w:rFonts w:cs="Arial"/>
          <w:sz w:val="20"/>
          <w:szCs w:val="20"/>
        </w:rPr>
      </w:pPr>
      <w:r>
        <w:rPr>
          <w:rFonts w:cs="Arial"/>
          <w:sz w:val="20"/>
          <w:szCs w:val="20"/>
        </w:rPr>
        <w:t xml:space="preserve">ISO 12100 </w:t>
      </w:r>
      <w:r w:rsidR="00F870A9">
        <w:rPr>
          <w:rFonts w:cs="Arial"/>
          <w:sz w:val="20"/>
          <w:szCs w:val="20"/>
        </w:rPr>
        <w:t>- Risk</w:t>
      </w:r>
      <w:r>
        <w:rPr>
          <w:rFonts w:cs="Arial"/>
          <w:sz w:val="20"/>
          <w:szCs w:val="20"/>
        </w:rPr>
        <w:t xml:space="preserve"> assessment</w:t>
      </w:r>
    </w:p>
    <w:p w14:paraId="096C19AA" w14:textId="77777777" w:rsidR="00F870A9" w:rsidRPr="002914D1" w:rsidRDefault="00F870A9" w:rsidP="00F870A9">
      <w:pPr>
        <w:pStyle w:val="ListParagraph"/>
        <w:rPr>
          <w:rFonts w:cs="Arial"/>
          <w:sz w:val="20"/>
          <w:szCs w:val="20"/>
        </w:rPr>
      </w:pPr>
    </w:p>
    <w:p w14:paraId="65C02D85" w14:textId="77777777" w:rsidR="000D0529" w:rsidRDefault="003962ED" w:rsidP="008C316C">
      <w:pPr>
        <w:rPr>
          <w:rFonts w:ascii="Arial" w:hAnsi="Arial" w:cs="Arial"/>
          <w:sz w:val="20"/>
          <w:szCs w:val="20"/>
        </w:rPr>
      </w:pPr>
      <w:r>
        <w:rPr>
          <w:rFonts w:ascii="Arial" w:hAnsi="Arial" w:cs="Arial"/>
          <w:sz w:val="20"/>
          <w:szCs w:val="20"/>
        </w:rPr>
        <w:t xml:space="preserve">In practice, </w:t>
      </w:r>
      <w:r w:rsidR="00404E39">
        <w:rPr>
          <w:rFonts w:ascii="Arial" w:hAnsi="Arial" w:cs="Arial"/>
          <w:sz w:val="20"/>
          <w:szCs w:val="20"/>
        </w:rPr>
        <w:t>ensuring</w:t>
      </w:r>
      <w:r>
        <w:rPr>
          <w:rFonts w:ascii="Arial" w:hAnsi="Arial" w:cs="Arial"/>
          <w:sz w:val="20"/>
          <w:szCs w:val="20"/>
        </w:rPr>
        <w:t xml:space="preserve"> a hydraulic system is operating safely requires validat</w:t>
      </w:r>
      <w:r w:rsidR="00404E39">
        <w:rPr>
          <w:rFonts w:ascii="Arial" w:hAnsi="Arial" w:cs="Arial"/>
          <w:sz w:val="20"/>
          <w:szCs w:val="20"/>
        </w:rPr>
        <w:t>ing the</w:t>
      </w:r>
      <w:r>
        <w:rPr>
          <w:rFonts w:ascii="Arial" w:hAnsi="Arial" w:cs="Arial"/>
          <w:sz w:val="20"/>
          <w:szCs w:val="20"/>
        </w:rPr>
        <w:t xml:space="preserve"> performance of safety-critical elements</w:t>
      </w:r>
      <w:r w:rsidR="00404E39">
        <w:rPr>
          <w:rFonts w:ascii="Arial" w:hAnsi="Arial" w:cs="Arial"/>
          <w:sz w:val="20"/>
          <w:szCs w:val="20"/>
        </w:rPr>
        <w:t xml:space="preserve">, including </w:t>
      </w:r>
      <w:r>
        <w:rPr>
          <w:rFonts w:ascii="Arial" w:hAnsi="Arial" w:cs="Arial"/>
          <w:sz w:val="20"/>
          <w:szCs w:val="20"/>
        </w:rPr>
        <w:t>pressure relief</w:t>
      </w:r>
      <w:r w:rsidR="00404E39">
        <w:rPr>
          <w:rFonts w:ascii="Arial" w:hAnsi="Arial" w:cs="Arial"/>
          <w:sz w:val="20"/>
          <w:szCs w:val="20"/>
        </w:rPr>
        <w:t xml:space="preserve"> and </w:t>
      </w:r>
      <w:r>
        <w:rPr>
          <w:rFonts w:ascii="Arial" w:hAnsi="Arial" w:cs="Arial"/>
          <w:sz w:val="20"/>
          <w:szCs w:val="20"/>
        </w:rPr>
        <w:t>overpressure protection, hose and fitting integrity</w:t>
      </w:r>
      <w:r w:rsidR="00404E39">
        <w:rPr>
          <w:rFonts w:ascii="Arial" w:hAnsi="Arial" w:cs="Arial"/>
          <w:sz w:val="20"/>
          <w:szCs w:val="20"/>
        </w:rPr>
        <w:t xml:space="preserve"> (</w:t>
      </w:r>
      <w:r>
        <w:rPr>
          <w:rFonts w:ascii="Arial" w:hAnsi="Arial" w:cs="Arial"/>
          <w:sz w:val="20"/>
          <w:szCs w:val="20"/>
        </w:rPr>
        <w:t>including impulse and burst performance), leak-tight sealing across temperature</w:t>
      </w:r>
      <w:r w:rsidR="00404E39">
        <w:rPr>
          <w:rFonts w:ascii="Arial" w:hAnsi="Arial" w:cs="Arial"/>
          <w:sz w:val="20"/>
          <w:szCs w:val="20"/>
        </w:rPr>
        <w:t xml:space="preserve"> and </w:t>
      </w:r>
      <w:r>
        <w:rPr>
          <w:rFonts w:ascii="Arial" w:hAnsi="Arial" w:cs="Arial"/>
          <w:sz w:val="20"/>
          <w:szCs w:val="20"/>
        </w:rPr>
        <w:t>chemical exposure, proper filtration</w:t>
      </w:r>
      <w:r w:rsidR="00404E39">
        <w:rPr>
          <w:rFonts w:ascii="Arial" w:hAnsi="Arial" w:cs="Arial"/>
          <w:sz w:val="20"/>
          <w:szCs w:val="20"/>
        </w:rPr>
        <w:t xml:space="preserve"> and </w:t>
      </w:r>
      <w:r>
        <w:rPr>
          <w:rFonts w:ascii="Arial" w:hAnsi="Arial" w:cs="Arial"/>
          <w:sz w:val="20"/>
          <w:szCs w:val="20"/>
        </w:rPr>
        <w:t>contamination control, guarding and routing to prevent abrasion and hose whip, and clear service procedures to manage stored energy (including lockout/tagout and depressurization).</w:t>
      </w:r>
      <w:r w:rsidR="000556B5">
        <w:rPr>
          <w:rFonts w:ascii="Arial" w:hAnsi="Arial" w:cs="Arial"/>
          <w:sz w:val="20"/>
          <w:szCs w:val="20"/>
        </w:rPr>
        <w:t xml:space="preserve"> Based on these requirements, component manufacturers will specify materials from their </w:t>
      </w:r>
      <w:r w:rsidR="0092116B">
        <w:rPr>
          <w:rFonts w:ascii="Arial" w:hAnsi="Arial" w:cs="Arial"/>
          <w:sz w:val="20"/>
          <w:szCs w:val="20"/>
        </w:rPr>
        <w:t xml:space="preserve">suppliers to ensure the materials used meet these requirements. </w:t>
      </w:r>
    </w:p>
    <w:p w14:paraId="2D20BDAF" w14:textId="77777777" w:rsidR="000D0529" w:rsidRDefault="000D0529" w:rsidP="008C316C">
      <w:pPr>
        <w:rPr>
          <w:rFonts w:ascii="Arial" w:hAnsi="Arial" w:cs="Arial"/>
          <w:sz w:val="20"/>
          <w:szCs w:val="20"/>
        </w:rPr>
      </w:pPr>
    </w:p>
    <w:p w14:paraId="4C376EC4" w14:textId="33098A3A" w:rsidR="00210C93" w:rsidRPr="00210C93" w:rsidRDefault="0092116B" w:rsidP="000D0529">
      <w:pPr>
        <w:rPr>
          <w:rFonts w:ascii="Arial" w:eastAsia="Arial" w:hAnsi="Arial" w:cs="Arial"/>
          <w:sz w:val="20"/>
          <w:szCs w:val="20"/>
        </w:rPr>
      </w:pPr>
      <w:r>
        <w:rPr>
          <w:rFonts w:ascii="Arial" w:hAnsi="Arial" w:cs="Arial"/>
          <w:sz w:val="20"/>
          <w:szCs w:val="20"/>
        </w:rPr>
        <w:t>No</w:t>
      </w:r>
      <w:r w:rsidR="00AB6A51">
        <w:rPr>
          <w:rFonts w:ascii="Arial" w:hAnsi="Arial" w:cs="Arial"/>
          <w:sz w:val="20"/>
          <w:szCs w:val="20"/>
        </w:rPr>
        <w:t xml:space="preserve"> standard</w:t>
      </w:r>
      <w:r w:rsidR="00F870A9">
        <w:rPr>
          <w:rFonts w:ascii="Arial" w:hAnsi="Arial" w:cs="Arial"/>
          <w:sz w:val="20"/>
          <w:szCs w:val="20"/>
        </w:rPr>
        <w:t xml:space="preserve"> state</w:t>
      </w:r>
      <w:r w:rsidR="00AB6A51">
        <w:rPr>
          <w:rFonts w:ascii="Arial" w:hAnsi="Arial" w:cs="Arial"/>
          <w:sz w:val="20"/>
          <w:szCs w:val="20"/>
        </w:rPr>
        <w:t>s</w:t>
      </w:r>
      <w:r w:rsidR="00F870A9">
        <w:rPr>
          <w:rFonts w:ascii="Arial" w:hAnsi="Arial" w:cs="Arial"/>
          <w:sz w:val="20"/>
          <w:szCs w:val="20"/>
        </w:rPr>
        <w:t xml:space="preserve"> that </w:t>
      </w:r>
      <w:r w:rsidR="00AB6A51">
        <w:rPr>
          <w:rFonts w:ascii="Arial" w:hAnsi="Arial" w:cs="Arial"/>
          <w:sz w:val="20"/>
          <w:szCs w:val="20"/>
        </w:rPr>
        <w:t xml:space="preserve">a </w:t>
      </w:r>
      <w:r w:rsidR="00F870A9">
        <w:rPr>
          <w:rFonts w:ascii="Arial" w:hAnsi="Arial" w:cs="Arial"/>
          <w:sz w:val="20"/>
          <w:szCs w:val="20"/>
        </w:rPr>
        <w:t xml:space="preserve">PFAS </w:t>
      </w:r>
      <w:r w:rsidR="00AB6A51">
        <w:rPr>
          <w:rFonts w:ascii="Arial" w:hAnsi="Arial" w:cs="Arial"/>
          <w:sz w:val="20"/>
          <w:szCs w:val="20"/>
        </w:rPr>
        <w:t xml:space="preserve">chemical </w:t>
      </w:r>
      <w:r w:rsidR="00F870A9">
        <w:rPr>
          <w:rFonts w:ascii="Arial" w:hAnsi="Arial" w:cs="Arial"/>
          <w:sz w:val="20"/>
          <w:szCs w:val="20"/>
        </w:rPr>
        <w:t>is needed to meet these requirements</w:t>
      </w:r>
      <w:r w:rsidR="008512B1">
        <w:rPr>
          <w:rFonts w:ascii="Arial" w:hAnsi="Arial" w:cs="Arial"/>
          <w:sz w:val="20"/>
          <w:szCs w:val="20"/>
        </w:rPr>
        <w:t xml:space="preserve">, merely that the materials needed to ensure a system operates </w:t>
      </w:r>
      <w:proofErr w:type="gramStart"/>
      <w:r w:rsidR="008512B1">
        <w:rPr>
          <w:rFonts w:ascii="Arial" w:hAnsi="Arial" w:cs="Arial"/>
          <w:sz w:val="20"/>
          <w:szCs w:val="20"/>
        </w:rPr>
        <w:t>safety</w:t>
      </w:r>
      <w:proofErr w:type="gramEnd"/>
      <w:r w:rsidR="008512B1">
        <w:rPr>
          <w:rFonts w:ascii="Arial" w:hAnsi="Arial" w:cs="Arial"/>
          <w:sz w:val="20"/>
          <w:szCs w:val="20"/>
        </w:rPr>
        <w:t xml:space="preserve"> </w:t>
      </w:r>
      <w:r w:rsidR="003A6E00">
        <w:rPr>
          <w:rFonts w:ascii="Arial" w:hAnsi="Arial" w:cs="Arial"/>
          <w:sz w:val="20"/>
          <w:szCs w:val="20"/>
        </w:rPr>
        <w:t xml:space="preserve">need to meet certain operating parameters. In this instance, PFAS is the only known substance that can meet these requirements </w:t>
      </w:r>
      <w:r w:rsidR="002B139C">
        <w:rPr>
          <w:rFonts w:ascii="Arial" w:hAnsi="Arial" w:cs="Arial"/>
          <w:sz w:val="20"/>
          <w:szCs w:val="20"/>
        </w:rPr>
        <w:t>simultaneously.</w:t>
      </w:r>
      <w:r w:rsidR="000D0529">
        <w:rPr>
          <w:rFonts w:ascii="Arial" w:hAnsi="Arial" w:cs="Arial"/>
          <w:sz w:val="20"/>
          <w:szCs w:val="20"/>
        </w:rPr>
        <w:t xml:space="preserve"> </w:t>
      </w:r>
      <w:r w:rsidR="00210C93">
        <w:rPr>
          <w:rFonts w:ascii="Arial" w:hAnsi="Arial" w:cs="Arial"/>
          <w:sz w:val="20"/>
          <w:szCs w:val="20"/>
        </w:rPr>
        <w:t xml:space="preserve">Over time, the incorporation of PFAS-enabled materials (including fluoropolymers and </w:t>
      </w:r>
      <w:proofErr w:type="spellStart"/>
      <w:r w:rsidR="00210C93">
        <w:rPr>
          <w:rFonts w:ascii="Arial" w:hAnsi="Arial" w:cs="Arial"/>
          <w:sz w:val="20"/>
          <w:szCs w:val="20"/>
        </w:rPr>
        <w:t>fluoroelastomers</w:t>
      </w:r>
      <w:proofErr w:type="spellEnd"/>
      <w:r w:rsidR="00210C93">
        <w:rPr>
          <w:rFonts w:ascii="Arial" w:hAnsi="Arial" w:cs="Arial"/>
          <w:sz w:val="20"/>
          <w:szCs w:val="20"/>
        </w:rPr>
        <w:t xml:space="preserve">) has helped </w:t>
      </w:r>
      <w:r w:rsidR="00210C93">
        <w:rPr>
          <w:rFonts w:ascii="Arial" w:hAnsi="Arial" w:cs="Arial"/>
          <w:sz w:val="20"/>
          <w:szCs w:val="20"/>
        </w:rPr>
        <w:lastRenderedPageBreak/>
        <w:t>advance the safety and performance characteristics of modern equipment. While earlier generations of machines were built without PFAS, today’s equipment platforms have been engineered around higher-performing materials that can better withstand heat, pressure, aggressive fluids, and demanding duty cycles</w:t>
      </w:r>
      <w:r w:rsidR="006F701D">
        <w:rPr>
          <w:rFonts w:ascii="Arial" w:hAnsi="Arial" w:cs="Arial"/>
          <w:sz w:val="20"/>
          <w:szCs w:val="20"/>
        </w:rPr>
        <w:t xml:space="preserve">, </w:t>
      </w:r>
      <w:r w:rsidR="00210C93">
        <w:rPr>
          <w:rFonts w:ascii="Arial" w:hAnsi="Arial" w:cs="Arial"/>
          <w:sz w:val="20"/>
          <w:szCs w:val="20"/>
        </w:rPr>
        <w:t>supporting safer operation, improved durability, and higher overall performance.</w:t>
      </w:r>
    </w:p>
    <w:p w14:paraId="3617E75F" w14:textId="77777777" w:rsidR="008C316C" w:rsidRPr="00AC6F9D" w:rsidRDefault="008C316C" w:rsidP="008C316C">
      <w:pPr>
        <w:rPr>
          <w:rFonts w:ascii="Arial" w:hAnsi="Arial" w:cs="Arial"/>
          <w:sz w:val="20"/>
          <w:szCs w:val="20"/>
        </w:rPr>
      </w:pPr>
    </w:p>
    <w:p w14:paraId="73A0BA27" w14:textId="48187189" w:rsidR="00CD3743" w:rsidRPr="00AC6F9D" w:rsidRDefault="00CD3743" w:rsidP="002E2B18">
      <w:pPr>
        <w:rPr>
          <w:rFonts w:ascii="Arial" w:hAnsi="Arial" w:cs="Arial"/>
          <w:sz w:val="20"/>
          <w:szCs w:val="20"/>
        </w:rPr>
      </w:pPr>
      <w:r w:rsidRPr="00AC6F9D">
        <w:rPr>
          <w:rFonts w:ascii="Arial" w:hAnsi="Arial" w:cs="Arial"/>
          <w:sz w:val="20"/>
          <w:szCs w:val="20"/>
        </w:rPr>
        <w:t>Because applicable standard</w:t>
      </w:r>
      <w:r w:rsidR="002B139C">
        <w:rPr>
          <w:rFonts w:ascii="Arial" w:hAnsi="Arial" w:cs="Arial"/>
          <w:sz w:val="20"/>
          <w:szCs w:val="20"/>
        </w:rPr>
        <w:t>s</w:t>
      </w:r>
      <w:r w:rsidRPr="00AC6F9D">
        <w:rPr>
          <w:rFonts w:ascii="Arial" w:hAnsi="Arial" w:cs="Arial"/>
          <w:sz w:val="20"/>
          <w:szCs w:val="20"/>
        </w:rPr>
        <w:t xml:space="preserve"> depend on the specific component and application, AEM recommends that MPCA allow applicants</w:t>
      </w:r>
      <w:r w:rsidR="003C3DE5">
        <w:rPr>
          <w:rFonts w:ascii="Arial" w:hAnsi="Arial" w:cs="Arial"/>
          <w:sz w:val="20"/>
          <w:szCs w:val="20"/>
        </w:rPr>
        <w:t xml:space="preserve"> </w:t>
      </w:r>
      <w:proofErr w:type="gramStart"/>
      <w:r w:rsidR="003C3DE5">
        <w:rPr>
          <w:rFonts w:ascii="Arial" w:hAnsi="Arial" w:cs="Arial"/>
          <w:sz w:val="20"/>
          <w:szCs w:val="20"/>
        </w:rPr>
        <w:t>the flexibility</w:t>
      </w:r>
      <w:proofErr w:type="gramEnd"/>
      <w:r w:rsidRPr="00AC6F9D">
        <w:rPr>
          <w:rFonts w:ascii="Arial" w:hAnsi="Arial" w:cs="Arial"/>
          <w:sz w:val="20"/>
          <w:szCs w:val="20"/>
        </w:rPr>
        <w:t xml:space="preserve"> to cite the relevant performance specifications and test standards that drive the material choice (for example, standards addressing pressure/impulse testing and permeation for hoses, compression set and chemical compatibility for seals, and flammability/fire risk mitigation where applicable). Applicants may also need to reference regulatory compliance constraints that limit redesign or substitutions (e.g., certified engine/emissions-related systems where material changes can trigger revalidation or recertification). AEM recommends that MPCA avoid requiring a citation that explicitly “requires PFAS,” and instead accept citations demonstrating the safety/engineering requirement that PFAS is currently needed to satisfy.</w:t>
      </w:r>
    </w:p>
    <w:p w14:paraId="68445E01" w14:textId="77777777" w:rsidR="00FA4EB1" w:rsidRPr="00AC6F9D" w:rsidRDefault="00FA4EB1" w:rsidP="002E2B18">
      <w:pPr>
        <w:autoSpaceDE w:val="0"/>
        <w:autoSpaceDN w:val="0"/>
        <w:adjustRightInd w:val="0"/>
        <w:rPr>
          <w:rFonts w:ascii="Arial" w:eastAsia="Arial" w:hAnsi="Arial" w:cs="Arial"/>
          <w:b/>
          <w:bCs/>
          <w:sz w:val="20"/>
          <w:szCs w:val="20"/>
          <w:u w:val="single"/>
        </w:rPr>
      </w:pPr>
    </w:p>
    <w:p w14:paraId="7B3E57AC" w14:textId="77777777" w:rsidR="00602CAC" w:rsidRPr="00AC6F9D" w:rsidRDefault="00602CAC"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The agency is seeking feedback on the potential that the initial positive CUU determination duration for existing products will expire eight years from the date of issuance regardless of product category. This is intended to stagger renewal deadlines and ease the administrative burden of processing renewals.</w:t>
      </w:r>
    </w:p>
    <w:p w14:paraId="09ACB40A" w14:textId="77777777" w:rsidR="008F109F" w:rsidRPr="00AC6F9D" w:rsidRDefault="008F109F" w:rsidP="002E2B18">
      <w:pPr>
        <w:pStyle w:val="ListParagraph"/>
        <w:autoSpaceDE w:val="0"/>
        <w:autoSpaceDN w:val="0"/>
        <w:adjustRightInd w:val="0"/>
        <w:ind w:left="360"/>
        <w:rPr>
          <w:rFonts w:eastAsia="Arial" w:cs="Arial"/>
          <w:b/>
          <w:bCs/>
          <w:sz w:val="20"/>
          <w:szCs w:val="20"/>
        </w:rPr>
      </w:pPr>
    </w:p>
    <w:p w14:paraId="0038C09D" w14:textId="68CE89B7" w:rsidR="00602CAC" w:rsidRPr="00AC6F9D" w:rsidRDefault="00602CAC"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Do you have any concerns about unintended consequences with this proposal? </w:t>
      </w:r>
    </w:p>
    <w:p w14:paraId="7090BB9C" w14:textId="77777777" w:rsidR="008F109F" w:rsidRPr="00AC6F9D" w:rsidRDefault="008F109F" w:rsidP="002E2B18">
      <w:pPr>
        <w:pStyle w:val="ListParagraph"/>
        <w:autoSpaceDE w:val="0"/>
        <w:autoSpaceDN w:val="0"/>
        <w:adjustRightInd w:val="0"/>
        <w:ind w:left="1440"/>
        <w:rPr>
          <w:rFonts w:eastAsia="Arial" w:cs="Arial"/>
          <w:b/>
          <w:bCs/>
          <w:sz w:val="20"/>
          <w:szCs w:val="20"/>
        </w:rPr>
      </w:pPr>
    </w:p>
    <w:p w14:paraId="4F81DEF9" w14:textId="119C99DF" w:rsidR="00EB4A9E" w:rsidRPr="00AC6F9D" w:rsidRDefault="00EB4A9E" w:rsidP="002E2B18">
      <w:pPr>
        <w:rPr>
          <w:rFonts w:ascii="Arial" w:hAnsi="Arial" w:cs="Arial"/>
          <w:sz w:val="20"/>
          <w:szCs w:val="20"/>
        </w:rPr>
      </w:pPr>
      <w:r w:rsidRPr="00AC6F9D">
        <w:rPr>
          <w:rFonts w:ascii="Arial" w:hAnsi="Arial" w:cs="Arial"/>
          <w:sz w:val="20"/>
          <w:szCs w:val="20"/>
        </w:rPr>
        <w:t xml:space="preserve">AEM </w:t>
      </w:r>
      <w:r w:rsidR="003C677E">
        <w:rPr>
          <w:rFonts w:ascii="Arial" w:hAnsi="Arial" w:cs="Arial"/>
          <w:sz w:val="20"/>
          <w:szCs w:val="20"/>
        </w:rPr>
        <w:t>understands</w:t>
      </w:r>
      <w:r w:rsidRPr="00AC6F9D">
        <w:rPr>
          <w:rFonts w:ascii="Arial" w:hAnsi="Arial" w:cs="Arial"/>
          <w:sz w:val="20"/>
          <w:szCs w:val="20"/>
        </w:rPr>
        <w:t xml:space="preserve"> MPCA’s goal of staggering renewal workloads, but we have concerns that a uniform “eight years from issuance” expiration for all existing products</w:t>
      </w:r>
      <w:r w:rsidR="003C677E">
        <w:rPr>
          <w:rFonts w:ascii="Arial" w:hAnsi="Arial" w:cs="Arial"/>
          <w:sz w:val="20"/>
          <w:szCs w:val="20"/>
        </w:rPr>
        <w:t xml:space="preserve">, </w:t>
      </w:r>
      <w:r w:rsidRPr="00AC6F9D">
        <w:rPr>
          <w:rFonts w:ascii="Arial" w:hAnsi="Arial" w:cs="Arial"/>
          <w:sz w:val="20"/>
          <w:szCs w:val="20"/>
        </w:rPr>
        <w:t>regardless of product category</w:t>
      </w:r>
      <w:r w:rsidR="003C677E">
        <w:rPr>
          <w:rFonts w:ascii="Arial" w:hAnsi="Arial" w:cs="Arial"/>
          <w:sz w:val="20"/>
          <w:szCs w:val="20"/>
        </w:rPr>
        <w:t xml:space="preserve">, </w:t>
      </w:r>
      <w:r w:rsidRPr="00AC6F9D">
        <w:rPr>
          <w:rFonts w:ascii="Arial" w:hAnsi="Arial" w:cs="Arial"/>
          <w:sz w:val="20"/>
          <w:szCs w:val="20"/>
        </w:rPr>
        <w:t>could create unintended cliff effects for complex equipment with long lifecycles and global supply chains. Off-road equipment platforms and their service parts remain in commerce for decades, and PFAS substitutions can require multi-year design, validation, and recertification cycles. If many determinations are issued in a similar timeframe, an eight-year fixed sunset could concentrate renewal demands, create uncertainty for OEM production planning and parts support, and risk supply disruptions if renewal processing timelines do not align with procurement and manufacturing lead times. A uniform deadline may also disadvantage categories with substantially longer validation timelines or higher safety-criticality, even where the underlying PFAS use and technical justification remain unchanged.</w:t>
      </w:r>
    </w:p>
    <w:p w14:paraId="3DA6AEFD" w14:textId="77777777" w:rsidR="002677FB" w:rsidRDefault="002677FB" w:rsidP="002677FB">
      <w:pPr>
        <w:rPr>
          <w:rFonts w:ascii="Arial" w:hAnsi="Arial" w:cs="Arial"/>
          <w:sz w:val="20"/>
          <w:szCs w:val="20"/>
        </w:rPr>
      </w:pPr>
    </w:p>
    <w:p w14:paraId="62B69A8C" w14:textId="1253DD7B" w:rsidR="002677FB" w:rsidRDefault="002677FB" w:rsidP="002677FB">
      <w:pPr>
        <w:rPr>
          <w:rFonts w:ascii="Arial" w:hAnsi="Arial" w:cs="Arial"/>
          <w:sz w:val="20"/>
          <w:szCs w:val="20"/>
        </w:rPr>
      </w:pPr>
      <w:r>
        <w:rPr>
          <w:rFonts w:ascii="Arial" w:hAnsi="Arial" w:cs="Arial"/>
          <w:sz w:val="20"/>
          <w:szCs w:val="20"/>
        </w:rPr>
        <w:t xml:space="preserve">By way of comparison, EPA’s implementation of TSCA’s PBT restrictions for </w:t>
      </w:r>
      <w:r>
        <w:rPr>
          <w:rFonts w:ascii="Arial" w:hAnsi="Arial" w:cs="Arial"/>
          <w:i/>
          <w:iCs/>
          <w:sz w:val="20"/>
          <w:szCs w:val="20"/>
        </w:rPr>
        <w:t>one</w:t>
      </w:r>
      <w:r>
        <w:rPr>
          <w:rFonts w:ascii="Arial" w:hAnsi="Arial" w:cs="Arial"/>
          <w:sz w:val="20"/>
          <w:szCs w:val="20"/>
        </w:rPr>
        <w:t xml:space="preserve"> chemical, phenol, </w:t>
      </w:r>
      <w:proofErr w:type="spellStart"/>
      <w:r>
        <w:rPr>
          <w:rFonts w:ascii="Arial" w:hAnsi="Arial" w:cs="Arial"/>
          <w:sz w:val="20"/>
          <w:szCs w:val="20"/>
        </w:rPr>
        <w:t>isopropylated</w:t>
      </w:r>
      <w:proofErr w:type="spellEnd"/>
      <w:r>
        <w:rPr>
          <w:rFonts w:ascii="Arial" w:hAnsi="Arial" w:cs="Arial"/>
          <w:sz w:val="20"/>
          <w:szCs w:val="20"/>
        </w:rPr>
        <w:t xml:space="preserve"> phosphate (3:1) (PIP (3:1)), recognized the practical realities of redesign and validation for complex equipment supply chains. In EPA’s final rule, the prohibition for PIP (3:1) used in parts for new motor vehicles, including heavy motorized machinery, was structured with a </w:t>
      </w:r>
      <w:r w:rsidRPr="002677FB">
        <w:rPr>
          <w:rFonts w:ascii="Arial" w:hAnsi="Arial" w:cs="Arial"/>
          <w:sz w:val="20"/>
          <w:szCs w:val="20"/>
        </w:rPr>
        <w:t>15</w:t>
      </w:r>
      <w:r w:rsidRPr="002677FB">
        <w:rPr>
          <w:rFonts w:ascii="Arial" w:hAnsi="Arial" w:cs="Arial"/>
          <w:sz w:val="20"/>
          <w:szCs w:val="20"/>
        </w:rPr>
        <w:noBreakHyphen/>
        <w:t>year phase</w:t>
      </w:r>
      <w:r w:rsidRPr="002677FB">
        <w:rPr>
          <w:rFonts w:ascii="Arial" w:hAnsi="Arial" w:cs="Arial"/>
          <w:sz w:val="20"/>
          <w:szCs w:val="20"/>
        </w:rPr>
        <w:noBreakHyphen/>
        <w:t>in</w:t>
      </w:r>
      <w:r>
        <w:rPr>
          <w:rFonts w:ascii="Arial" w:hAnsi="Arial" w:cs="Arial"/>
          <w:sz w:val="20"/>
          <w:szCs w:val="20"/>
        </w:rPr>
        <w:t xml:space="preserve"> (through November 21, 2039). This federal precedent underscores that even a single-chemical transition in safety- and performance</w:t>
      </w:r>
      <w:r>
        <w:rPr>
          <w:rFonts w:ascii="Arial" w:hAnsi="Arial" w:cs="Arial"/>
          <w:sz w:val="20"/>
          <w:szCs w:val="20"/>
        </w:rPr>
        <w:noBreakHyphen/>
        <w:t>critical applications can require multi</w:t>
      </w:r>
      <w:r>
        <w:rPr>
          <w:rFonts w:ascii="Arial" w:hAnsi="Arial" w:cs="Arial"/>
          <w:sz w:val="20"/>
          <w:szCs w:val="20"/>
        </w:rPr>
        <w:noBreakHyphen/>
        <w:t>year engineering, qualification, and field</w:t>
      </w:r>
      <w:r>
        <w:rPr>
          <w:rFonts w:ascii="Arial" w:hAnsi="Arial" w:cs="Arial"/>
          <w:sz w:val="20"/>
          <w:szCs w:val="20"/>
        </w:rPr>
        <w:noBreakHyphen/>
        <w:t>validation timelines, and MPCA’s CUU framework should be calibrated accordingly.</w:t>
      </w:r>
    </w:p>
    <w:p w14:paraId="73358E1C" w14:textId="77777777" w:rsidR="00910CBD" w:rsidRDefault="00910CBD" w:rsidP="002677FB">
      <w:pPr>
        <w:rPr>
          <w:rFonts w:ascii="Arial" w:hAnsi="Arial" w:cs="Arial"/>
          <w:sz w:val="20"/>
          <w:szCs w:val="20"/>
        </w:rPr>
      </w:pPr>
    </w:p>
    <w:p w14:paraId="797B5F1E" w14:textId="29626EB5" w:rsidR="00FA4EB1" w:rsidRPr="00AC6F9D" w:rsidRDefault="00602CAC"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Do you have any alternative recommendations to stagger renewal deadlines?</w:t>
      </w:r>
    </w:p>
    <w:p w14:paraId="18C4DFF6" w14:textId="77777777" w:rsidR="004B6149" w:rsidRPr="00AC6F9D" w:rsidRDefault="004B6149" w:rsidP="002E2B18">
      <w:pPr>
        <w:pStyle w:val="ListParagraph"/>
        <w:autoSpaceDE w:val="0"/>
        <w:autoSpaceDN w:val="0"/>
        <w:adjustRightInd w:val="0"/>
        <w:ind w:left="1440"/>
        <w:rPr>
          <w:rFonts w:eastAsia="Arial" w:cs="Arial"/>
          <w:sz w:val="20"/>
          <w:szCs w:val="20"/>
        </w:rPr>
      </w:pPr>
    </w:p>
    <w:p w14:paraId="0ACC7CF9" w14:textId="77777777" w:rsidR="002677FB" w:rsidRDefault="00EB4A9E" w:rsidP="002E2B18">
      <w:pPr>
        <w:rPr>
          <w:rFonts w:ascii="Arial" w:hAnsi="Arial" w:cs="Arial"/>
          <w:sz w:val="20"/>
          <w:szCs w:val="20"/>
        </w:rPr>
      </w:pPr>
      <w:r w:rsidRPr="00AC6F9D">
        <w:rPr>
          <w:rFonts w:ascii="Arial" w:hAnsi="Arial" w:cs="Arial"/>
          <w:sz w:val="20"/>
          <w:szCs w:val="20"/>
        </w:rPr>
        <w:t xml:space="preserve">As an alternative, MPCA could stagger renewal deadlines using an approach that is more predictable and better aligned with product lifecycles, such as: </w:t>
      </w:r>
    </w:p>
    <w:p w14:paraId="610C1CCB" w14:textId="77777777" w:rsidR="002677FB" w:rsidRDefault="002677FB" w:rsidP="002E2B18">
      <w:pPr>
        <w:rPr>
          <w:rFonts w:ascii="Arial" w:hAnsi="Arial" w:cs="Arial"/>
          <w:sz w:val="20"/>
          <w:szCs w:val="20"/>
        </w:rPr>
      </w:pPr>
    </w:p>
    <w:p w14:paraId="0635D9B5" w14:textId="77777777" w:rsidR="002677FB" w:rsidRDefault="002677FB" w:rsidP="002677FB">
      <w:pPr>
        <w:pStyle w:val="ListParagraph"/>
        <w:numPr>
          <w:ilvl w:val="0"/>
          <w:numId w:val="48"/>
        </w:numPr>
        <w:rPr>
          <w:rFonts w:cs="Arial"/>
          <w:sz w:val="20"/>
          <w:szCs w:val="20"/>
        </w:rPr>
      </w:pPr>
      <w:r>
        <w:rPr>
          <w:rFonts w:cs="Arial"/>
          <w:sz w:val="20"/>
          <w:szCs w:val="20"/>
        </w:rPr>
        <w:t>E</w:t>
      </w:r>
      <w:r w:rsidR="00EB4A9E" w:rsidRPr="002677FB">
        <w:rPr>
          <w:rFonts w:cs="Arial"/>
          <w:sz w:val="20"/>
          <w:szCs w:val="20"/>
        </w:rPr>
        <w:t xml:space="preserve">stablishing renewal cohorts by product category (or by PFAS use type) with a published </w:t>
      </w:r>
      <w:proofErr w:type="gramStart"/>
      <w:r w:rsidR="00EB4A9E" w:rsidRPr="002677FB">
        <w:rPr>
          <w:rFonts w:cs="Arial"/>
          <w:sz w:val="20"/>
          <w:szCs w:val="20"/>
        </w:rPr>
        <w:t>schedule;</w:t>
      </w:r>
      <w:proofErr w:type="gramEnd"/>
    </w:p>
    <w:p w14:paraId="740F4929" w14:textId="77777777" w:rsidR="002677FB" w:rsidRDefault="002677FB" w:rsidP="002677FB">
      <w:pPr>
        <w:pStyle w:val="ListParagraph"/>
        <w:numPr>
          <w:ilvl w:val="0"/>
          <w:numId w:val="48"/>
        </w:numPr>
        <w:rPr>
          <w:rFonts w:cs="Arial"/>
          <w:sz w:val="20"/>
          <w:szCs w:val="20"/>
        </w:rPr>
      </w:pPr>
      <w:r>
        <w:rPr>
          <w:rFonts w:cs="Arial"/>
          <w:sz w:val="20"/>
          <w:szCs w:val="20"/>
        </w:rPr>
        <w:t>U</w:t>
      </w:r>
      <w:r w:rsidR="00EB4A9E" w:rsidRPr="002677FB">
        <w:rPr>
          <w:rFonts w:cs="Arial"/>
          <w:sz w:val="20"/>
          <w:szCs w:val="20"/>
        </w:rPr>
        <w:t>sing tiered initial terms (e.g., longer terms for safety-critical, long-lived equipment and service parts; shorter terms where alternatives are actively emerging</w:t>
      </w:r>
      <w:proofErr w:type="gramStart"/>
      <w:r w:rsidR="00EB4A9E" w:rsidRPr="002677FB">
        <w:rPr>
          <w:rFonts w:cs="Arial"/>
          <w:sz w:val="20"/>
          <w:szCs w:val="20"/>
        </w:rPr>
        <w:t>);</w:t>
      </w:r>
      <w:proofErr w:type="gramEnd"/>
      <w:r w:rsidR="00EB4A9E" w:rsidRPr="002677FB">
        <w:rPr>
          <w:rFonts w:cs="Arial"/>
          <w:sz w:val="20"/>
          <w:szCs w:val="20"/>
        </w:rPr>
        <w:t xml:space="preserve"> </w:t>
      </w:r>
    </w:p>
    <w:p w14:paraId="2A922FBC" w14:textId="77777777" w:rsidR="002677FB" w:rsidRDefault="002677FB" w:rsidP="002677FB">
      <w:pPr>
        <w:pStyle w:val="ListParagraph"/>
        <w:numPr>
          <w:ilvl w:val="0"/>
          <w:numId w:val="48"/>
        </w:numPr>
        <w:rPr>
          <w:rFonts w:cs="Arial"/>
          <w:sz w:val="20"/>
          <w:szCs w:val="20"/>
        </w:rPr>
      </w:pPr>
      <w:r>
        <w:rPr>
          <w:rFonts w:cs="Arial"/>
          <w:sz w:val="20"/>
          <w:szCs w:val="20"/>
        </w:rPr>
        <w:t>C</w:t>
      </w:r>
      <w:r w:rsidR="00EB4A9E" w:rsidRPr="002677FB">
        <w:rPr>
          <w:rFonts w:cs="Arial"/>
          <w:sz w:val="20"/>
          <w:szCs w:val="20"/>
        </w:rPr>
        <w:t xml:space="preserve">reating rolling renewal windows based on the year of product introduction or last material change; and/or </w:t>
      </w:r>
    </w:p>
    <w:p w14:paraId="15FBD48A" w14:textId="76FE8BEC" w:rsidR="00EB4A9E" w:rsidRPr="002677FB" w:rsidRDefault="002677FB" w:rsidP="002677FB">
      <w:pPr>
        <w:pStyle w:val="ListParagraph"/>
        <w:numPr>
          <w:ilvl w:val="0"/>
          <w:numId w:val="48"/>
        </w:numPr>
        <w:rPr>
          <w:rFonts w:cs="Arial"/>
          <w:sz w:val="20"/>
          <w:szCs w:val="20"/>
        </w:rPr>
      </w:pPr>
      <w:r>
        <w:rPr>
          <w:rFonts w:cs="Arial"/>
          <w:sz w:val="20"/>
          <w:szCs w:val="20"/>
        </w:rPr>
        <w:t>P</w:t>
      </w:r>
      <w:r w:rsidR="00EB4A9E" w:rsidRPr="002677FB">
        <w:rPr>
          <w:rFonts w:cs="Arial"/>
          <w:sz w:val="20"/>
          <w:szCs w:val="20"/>
        </w:rPr>
        <w:t>roviding an automatic administrative extension (e.g., 12–24 months) when a complete renewal petition is submitted on time, to avoid disruptions while MPCA completes review. MPCA could also consider “evergreen” CUU determinations subject to periodic review triggers (e.g., material changes, credible new alternative data, or scheduled check-ins) rather than a hard stop date that may not reflect technical reality.</w:t>
      </w:r>
    </w:p>
    <w:p w14:paraId="02896CF3" w14:textId="77777777" w:rsidR="00FA4EB1" w:rsidRPr="00AC6F9D" w:rsidRDefault="00FA4EB1" w:rsidP="002E2B18">
      <w:pPr>
        <w:autoSpaceDE w:val="0"/>
        <w:autoSpaceDN w:val="0"/>
        <w:adjustRightInd w:val="0"/>
        <w:rPr>
          <w:rFonts w:ascii="Arial" w:eastAsia="Arial" w:hAnsi="Arial" w:cs="Arial"/>
          <w:b/>
          <w:bCs/>
          <w:sz w:val="20"/>
          <w:szCs w:val="20"/>
          <w:u w:val="single"/>
        </w:rPr>
      </w:pPr>
    </w:p>
    <w:p w14:paraId="4F3A0878" w14:textId="77777777" w:rsidR="00FA4EB1" w:rsidRPr="00AC6F9D" w:rsidRDefault="00FA4EB1" w:rsidP="002E2B18">
      <w:pPr>
        <w:autoSpaceDE w:val="0"/>
        <w:autoSpaceDN w:val="0"/>
        <w:adjustRightInd w:val="0"/>
        <w:rPr>
          <w:rFonts w:ascii="Arial" w:eastAsia="Arial" w:hAnsi="Arial" w:cs="Arial"/>
          <w:b/>
          <w:bCs/>
          <w:sz w:val="20"/>
          <w:szCs w:val="20"/>
        </w:rPr>
      </w:pPr>
    </w:p>
    <w:p w14:paraId="7A3B5455" w14:textId="77777777" w:rsidR="0034451C" w:rsidRPr="00AC6F9D" w:rsidRDefault="0034451C"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The MPCA has developed a preliminary list of potentially eligible data categories that may be considered for trade secret requests. (Please review the list of potentially eligible data prior to answering) </w:t>
      </w:r>
    </w:p>
    <w:p w14:paraId="6794042A" w14:textId="77777777" w:rsidR="0034451C" w:rsidRPr="00AC6F9D" w:rsidRDefault="0034451C" w:rsidP="002E2B18">
      <w:pPr>
        <w:pStyle w:val="ListParagraph"/>
        <w:autoSpaceDE w:val="0"/>
        <w:autoSpaceDN w:val="0"/>
        <w:adjustRightInd w:val="0"/>
        <w:ind w:left="360"/>
        <w:rPr>
          <w:rFonts w:eastAsia="Arial" w:cs="Arial"/>
          <w:b/>
          <w:bCs/>
          <w:sz w:val="20"/>
          <w:szCs w:val="20"/>
        </w:rPr>
      </w:pPr>
    </w:p>
    <w:p w14:paraId="0CCF800F" w14:textId="77777777" w:rsidR="0034451C" w:rsidRPr="00AC6F9D" w:rsidRDefault="0034451C"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Do you have any concerns about unintended consequences with this proposal? </w:t>
      </w:r>
    </w:p>
    <w:p w14:paraId="1A133BA0" w14:textId="77777777" w:rsidR="0034451C" w:rsidRPr="00AC6F9D" w:rsidRDefault="0034451C" w:rsidP="002E2B18">
      <w:pPr>
        <w:pStyle w:val="ListParagraph"/>
        <w:autoSpaceDE w:val="0"/>
        <w:autoSpaceDN w:val="0"/>
        <w:adjustRightInd w:val="0"/>
        <w:ind w:left="1440"/>
        <w:rPr>
          <w:rFonts w:eastAsia="Arial" w:cs="Arial"/>
          <w:b/>
          <w:bCs/>
          <w:sz w:val="20"/>
          <w:szCs w:val="20"/>
          <w:u w:val="single"/>
        </w:rPr>
      </w:pPr>
    </w:p>
    <w:p w14:paraId="29660761" w14:textId="64E01ED4" w:rsidR="007501BC" w:rsidRPr="00AC6F9D" w:rsidRDefault="007501BC" w:rsidP="002E2B18">
      <w:pPr>
        <w:rPr>
          <w:rFonts w:ascii="Arial" w:hAnsi="Arial" w:cs="Arial"/>
          <w:sz w:val="20"/>
          <w:szCs w:val="20"/>
        </w:rPr>
      </w:pPr>
      <w:r w:rsidRPr="00AC6F9D">
        <w:rPr>
          <w:rFonts w:ascii="Arial" w:hAnsi="Arial" w:cs="Arial"/>
          <w:sz w:val="20"/>
          <w:szCs w:val="20"/>
        </w:rPr>
        <w:t>AEM’s primary concern is that an overly narrow view of what may qualify as trade secret/confidential business information (CBI) could discourage complete, accurate submissions and reduce participation in the CUU process. For complex equipment with multi-tier global supply chains, information needed to substantiate a CUU request</w:t>
      </w:r>
      <w:r w:rsidR="00346F81">
        <w:rPr>
          <w:rFonts w:ascii="Arial" w:hAnsi="Arial" w:cs="Arial"/>
          <w:sz w:val="20"/>
          <w:szCs w:val="20"/>
        </w:rPr>
        <w:t xml:space="preserve">, </w:t>
      </w:r>
      <w:r w:rsidRPr="00AC6F9D">
        <w:rPr>
          <w:rFonts w:ascii="Arial" w:hAnsi="Arial" w:cs="Arial"/>
          <w:sz w:val="20"/>
          <w:szCs w:val="20"/>
        </w:rPr>
        <w:t>such as specific material formulations, CAS-level identities, supplier names, and part-level bills of material</w:t>
      </w:r>
      <w:r w:rsidR="00346F81">
        <w:rPr>
          <w:rFonts w:ascii="Arial" w:hAnsi="Arial" w:cs="Arial"/>
          <w:sz w:val="20"/>
          <w:szCs w:val="20"/>
        </w:rPr>
        <w:t xml:space="preserve">, </w:t>
      </w:r>
      <w:r w:rsidRPr="00AC6F9D">
        <w:rPr>
          <w:rFonts w:ascii="Arial" w:hAnsi="Arial" w:cs="Arial"/>
          <w:sz w:val="20"/>
          <w:szCs w:val="20"/>
        </w:rPr>
        <w:t>often constitutes trade secrets of suppliers and/or proprietary OEM sourcing and design information. If applicants cannot protect this information, they may be unable to obtain it from upstream suppliers or may be forced to submit incomplete data, undermining MPCA’s ability to make timely, well-supported determinations. There is also risk of competitive harm if sensitive information is disclosed (even inadvertently), including revealing sourcing strategies, component designs, and supply chain structure.</w:t>
      </w:r>
    </w:p>
    <w:p w14:paraId="712605F7" w14:textId="77777777" w:rsidR="007501BC" w:rsidRPr="00AC6F9D" w:rsidRDefault="007501BC" w:rsidP="002E2B18">
      <w:pPr>
        <w:ind w:left="1440"/>
        <w:rPr>
          <w:rFonts w:ascii="Arial" w:hAnsi="Arial" w:cs="Arial"/>
          <w:sz w:val="20"/>
          <w:szCs w:val="20"/>
        </w:rPr>
      </w:pPr>
    </w:p>
    <w:p w14:paraId="25B5C3A8" w14:textId="7E3D32B7" w:rsidR="002372C8" w:rsidRPr="00AC6F9D" w:rsidRDefault="0034451C"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Do you have any alternative recommendations for data that should or should not be eligible for trade secret requests?</w:t>
      </w:r>
    </w:p>
    <w:p w14:paraId="6E872A8C" w14:textId="77777777" w:rsidR="007501BC" w:rsidRPr="00AC6F9D" w:rsidRDefault="007501BC" w:rsidP="002E2B18">
      <w:pPr>
        <w:pStyle w:val="ListParagraph"/>
        <w:autoSpaceDE w:val="0"/>
        <w:autoSpaceDN w:val="0"/>
        <w:adjustRightInd w:val="0"/>
        <w:ind w:left="1440"/>
        <w:rPr>
          <w:rFonts w:eastAsia="Arial" w:cs="Arial"/>
          <w:b/>
          <w:bCs/>
          <w:sz w:val="20"/>
          <w:szCs w:val="20"/>
          <w:u w:val="single"/>
        </w:rPr>
      </w:pPr>
    </w:p>
    <w:p w14:paraId="3EDC1FA3" w14:textId="080D47DD" w:rsidR="007501BC" w:rsidRPr="00AC6F9D" w:rsidRDefault="007501BC" w:rsidP="002E2B18">
      <w:pPr>
        <w:rPr>
          <w:rFonts w:ascii="Arial" w:hAnsi="Arial" w:cs="Arial"/>
          <w:sz w:val="20"/>
          <w:szCs w:val="20"/>
        </w:rPr>
      </w:pPr>
      <w:r w:rsidRPr="00AC6F9D">
        <w:rPr>
          <w:rFonts w:ascii="Arial" w:hAnsi="Arial" w:cs="Arial"/>
          <w:sz w:val="20"/>
          <w:szCs w:val="20"/>
        </w:rPr>
        <w:t>AEM recommends that MPCA: (1) align its approach with Minnesota’s existing trade secret protections and clearly state that MPCA will protect qualifying CBI from public disclosure; (2) treat certain categories as presumptively eligible for trade secret requests</w:t>
      </w:r>
      <w:r w:rsidR="000942F0">
        <w:rPr>
          <w:rFonts w:ascii="Arial" w:hAnsi="Arial" w:cs="Arial"/>
          <w:sz w:val="20"/>
          <w:szCs w:val="20"/>
        </w:rPr>
        <w:t xml:space="preserve">, </w:t>
      </w:r>
      <w:r w:rsidRPr="00AC6F9D">
        <w:rPr>
          <w:rFonts w:ascii="Arial" w:hAnsi="Arial" w:cs="Arial"/>
          <w:sz w:val="20"/>
          <w:szCs w:val="20"/>
        </w:rPr>
        <w:t>subject to case-specific justification, including supplier/manufacturer identities, material and additive formulations</w:t>
      </w:r>
      <w:r w:rsidR="000942F0">
        <w:rPr>
          <w:rFonts w:ascii="Arial" w:hAnsi="Arial" w:cs="Arial"/>
          <w:sz w:val="20"/>
          <w:szCs w:val="20"/>
        </w:rPr>
        <w:t>,</w:t>
      </w:r>
      <w:r w:rsidRPr="00AC6F9D">
        <w:rPr>
          <w:rFonts w:ascii="Arial" w:hAnsi="Arial" w:cs="Arial"/>
          <w:sz w:val="20"/>
          <w:szCs w:val="20"/>
        </w:rPr>
        <w:t xml:space="preserve"> process/manufacturing parameters, part numbers and BOM, and detailed performance test reports where they reveal proprietary designs; (3) provide a standardized CBI marking and redaction protocol</w:t>
      </w:r>
      <w:r w:rsidR="00D34E52">
        <w:rPr>
          <w:rFonts w:ascii="Arial" w:hAnsi="Arial" w:cs="Arial"/>
          <w:sz w:val="20"/>
          <w:szCs w:val="20"/>
        </w:rPr>
        <w:t xml:space="preserve">, </w:t>
      </w:r>
      <w:r w:rsidRPr="00AC6F9D">
        <w:rPr>
          <w:rFonts w:ascii="Arial" w:hAnsi="Arial" w:cs="Arial"/>
          <w:sz w:val="20"/>
          <w:szCs w:val="20"/>
        </w:rPr>
        <w:t>and allow applicants to submit a non-confidential public summary that supports transparency without revealing protected details; and (4) implement administrative safeguards (restricted access, secure portals, and clear retention rules) so suppliers have confidence sharing sensitive information for CUU purposes.</w:t>
      </w:r>
    </w:p>
    <w:p w14:paraId="625CFB55" w14:textId="77777777" w:rsidR="0034451C" w:rsidRPr="00AC6F9D" w:rsidRDefault="0034451C" w:rsidP="002E2B18">
      <w:pPr>
        <w:autoSpaceDE w:val="0"/>
        <w:autoSpaceDN w:val="0"/>
        <w:adjustRightInd w:val="0"/>
        <w:rPr>
          <w:rFonts w:ascii="Arial" w:eastAsia="Arial" w:hAnsi="Arial" w:cs="Arial"/>
          <w:b/>
          <w:bCs/>
          <w:sz w:val="20"/>
          <w:szCs w:val="20"/>
          <w:u w:val="single"/>
        </w:rPr>
      </w:pPr>
    </w:p>
    <w:p w14:paraId="70D7AB68" w14:textId="77777777" w:rsidR="0034451C" w:rsidRPr="00AC6F9D" w:rsidRDefault="0034451C" w:rsidP="002E2B18">
      <w:pPr>
        <w:autoSpaceDE w:val="0"/>
        <w:autoSpaceDN w:val="0"/>
        <w:adjustRightInd w:val="0"/>
        <w:rPr>
          <w:rFonts w:ascii="Arial" w:eastAsia="Arial" w:hAnsi="Arial" w:cs="Arial"/>
          <w:b/>
          <w:bCs/>
          <w:sz w:val="20"/>
          <w:szCs w:val="20"/>
        </w:rPr>
      </w:pPr>
    </w:p>
    <w:p w14:paraId="1DA63C2E" w14:textId="1E15559E" w:rsidR="00625931" w:rsidRPr="00AC6F9D" w:rsidRDefault="00625931"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What are the potential ongoing costs to society if the commissioner issues a positive currently unavoidable use determination for the continued use of PFAS within a product or product category? (For example: environmental, human health, or remediation costs)</w:t>
      </w:r>
    </w:p>
    <w:p w14:paraId="77ACB338" w14:textId="77777777" w:rsidR="00625931" w:rsidRPr="00AC6F9D" w:rsidRDefault="00625931" w:rsidP="002E2B18">
      <w:pPr>
        <w:autoSpaceDE w:val="0"/>
        <w:autoSpaceDN w:val="0"/>
        <w:adjustRightInd w:val="0"/>
        <w:rPr>
          <w:rFonts w:ascii="Arial" w:eastAsia="Arial" w:hAnsi="Arial" w:cs="Arial"/>
          <w:b/>
          <w:bCs/>
          <w:sz w:val="20"/>
          <w:szCs w:val="20"/>
          <w:u w:val="single"/>
        </w:rPr>
      </w:pPr>
    </w:p>
    <w:p w14:paraId="288FCC7F" w14:textId="0832EF4F" w:rsidR="00C84627" w:rsidRPr="00AC6F9D" w:rsidRDefault="006E5A87" w:rsidP="002E2B18">
      <w:pPr>
        <w:rPr>
          <w:rFonts w:ascii="Arial" w:hAnsi="Arial" w:cs="Arial"/>
          <w:sz w:val="20"/>
          <w:szCs w:val="20"/>
        </w:rPr>
      </w:pPr>
      <w:r>
        <w:rPr>
          <w:rFonts w:ascii="Arial" w:hAnsi="Arial" w:cs="Arial"/>
          <w:sz w:val="20"/>
          <w:szCs w:val="20"/>
        </w:rPr>
        <w:t>T</w:t>
      </w:r>
      <w:r w:rsidR="00C84627" w:rsidRPr="00AC6F9D">
        <w:rPr>
          <w:rFonts w:ascii="Arial" w:hAnsi="Arial" w:cs="Arial"/>
          <w:sz w:val="20"/>
          <w:szCs w:val="20"/>
        </w:rPr>
        <w:t xml:space="preserve">he magnitude of these potential costs depends heavily on the specific PFAS chemistry, the application, and the exposure/release pathway. For many off-road equipment uses (e.g., fluoropolymers and </w:t>
      </w:r>
      <w:proofErr w:type="spellStart"/>
      <w:r w:rsidR="00C84627" w:rsidRPr="00AC6F9D">
        <w:rPr>
          <w:rFonts w:ascii="Arial" w:hAnsi="Arial" w:cs="Arial"/>
          <w:sz w:val="20"/>
          <w:szCs w:val="20"/>
        </w:rPr>
        <w:t>fluoroelastomers</w:t>
      </w:r>
      <w:proofErr w:type="spellEnd"/>
      <w:r w:rsidR="00C84627" w:rsidRPr="00AC6F9D">
        <w:rPr>
          <w:rFonts w:ascii="Arial" w:hAnsi="Arial" w:cs="Arial"/>
          <w:sz w:val="20"/>
          <w:szCs w:val="20"/>
        </w:rPr>
        <w:t xml:space="preserve"> in durable seals, gaskets, hoses, and other enclosed components), PFAS are incorporated into engineered articles designed to operate for </w:t>
      </w:r>
      <w:r w:rsidRPr="00AC6F9D">
        <w:rPr>
          <w:rFonts w:ascii="Arial" w:hAnsi="Arial" w:cs="Arial"/>
          <w:sz w:val="20"/>
          <w:szCs w:val="20"/>
        </w:rPr>
        <w:t>decades and</w:t>
      </w:r>
      <w:r w:rsidR="00C84627" w:rsidRPr="00AC6F9D">
        <w:rPr>
          <w:rFonts w:ascii="Arial" w:hAnsi="Arial" w:cs="Arial"/>
          <w:sz w:val="20"/>
          <w:szCs w:val="20"/>
        </w:rPr>
        <w:t xml:space="preserve"> are not intended to be released during normal use. In these contexts, the primary societal objective should be minimizing releases through robust design, preventive maintenance, and end-of-life management.</w:t>
      </w:r>
    </w:p>
    <w:p w14:paraId="6F3C6BCD" w14:textId="77777777" w:rsidR="00C84627" w:rsidRPr="00AC6F9D" w:rsidRDefault="00C84627" w:rsidP="002E2B18">
      <w:pPr>
        <w:ind w:left="360"/>
        <w:rPr>
          <w:rFonts w:ascii="Arial" w:hAnsi="Arial" w:cs="Arial"/>
          <w:sz w:val="20"/>
          <w:szCs w:val="20"/>
        </w:rPr>
      </w:pPr>
    </w:p>
    <w:p w14:paraId="7B472A65" w14:textId="29DCF378" w:rsidR="00C84627" w:rsidRPr="00AC6F9D" w:rsidRDefault="00C84627" w:rsidP="002E2B18">
      <w:pPr>
        <w:rPr>
          <w:rFonts w:ascii="Arial" w:hAnsi="Arial" w:cs="Arial"/>
          <w:sz w:val="20"/>
          <w:szCs w:val="20"/>
        </w:rPr>
      </w:pPr>
      <w:r w:rsidRPr="00AC6F9D">
        <w:rPr>
          <w:rFonts w:ascii="Arial" w:hAnsi="Arial" w:cs="Arial"/>
          <w:sz w:val="20"/>
          <w:szCs w:val="20"/>
        </w:rPr>
        <w:t>AEM recommends that MPCA evaluate “ongoing costs” in a way that is proportional to expected real-world releases</w:t>
      </w:r>
      <w:r w:rsidR="00060D66">
        <w:rPr>
          <w:rFonts w:ascii="Arial" w:hAnsi="Arial" w:cs="Arial"/>
          <w:sz w:val="20"/>
          <w:szCs w:val="20"/>
        </w:rPr>
        <w:t xml:space="preserve">, </w:t>
      </w:r>
      <w:r w:rsidRPr="00AC6F9D">
        <w:rPr>
          <w:rFonts w:ascii="Arial" w:hAnsi="Arial" w:cs="Arial"/>
          <w:sz w:val="20"/>
          <w:szCs w:val="20"/>
        </w:rPr>
        <w:t>focusing on credible pathways such as leaks</w:t>
      </w:r>
      <w:r w:rsidR="00060D66">
        <w:rPr>
          <w:rFonts w:ascii="Arial" w:hAnsi="Arial" w:cs="Arial"/>
          <w:sz w:val="20"/>
          <w:szCs w:val="20"/>
        </w:rPr>
        <w:t xml:space="preserve"> and </w:t>
      </w:r>
      <w:r w:rsidRPr="00AC6F9D">
        <w:rPr>
          <w:rFonts w:ascii="Arial" w:hAnsi="Arial" w:cs="Arial"/>
          <w:sz w:val="20"/>
          <w:szCs w:val="20"/>
        </w:rPr>
        <w:t>spills from fluid systems, emissions from certain manufacturing or servicing activities, and end-of-life handling and disposal. MPCA should also account for the countervailing societal costs that could result from denying CUU where no viable alternatives exist, including increased rates of fluid leaks and spills due to premature seal/hose failures, higher safety risks on jobsites, shorter equipment lifetimes and greater waste generation, and disruption to remanufacturing and recycling systems. A pathway-based approach</w:t>
      </w:r>
      <w:r w:rsidR="00060D66">
        <w:rPr>
          <w:rFonts w:ascii="Arial" w:hAnsi="Arial" w:cs="Arial"/>
          <w:sz w:val="20"/>
          <w:szCs w:val="20"/>
        </w:rPr>
        <w:t xml:space="preserve">, </w:t>
      </w:r>
      <w:r w:rsidRPr="00AC6F9D">
        <w:rPr>
          <w:rFonts w:ascii="Arial" w:hAnsi="Arial" w:cs="Arial"/>
          <w:sz w:val="20"/>
          <w:szCs w:val="20"/>
        </w:rPr>
        <w:t>paired with practical mitigation measures (e.g., leak-prevention design, service best practices, responsible collection/recycling where feasible)</w:t>
      </w:r>
      <w:r w:rsidR="00060D66">
        <w:rPr>
          <w:rFonts w:ascii="Arial" w:hAnsi="Arial" w:cs="Arial"/>
          <w:sz w:val="20"/>
          <w:szCs w:val="20"/>
        </w:rPr>
        <w:t xml:space="preserve">, </w:t>
      </w:r>
      <w:r w:rsidRPr="00AC6F9D">
        <w:rPr>
          <w:rFonts w:ascii="Arial" w:hAnsi="Arial" w:cs="Arial"/>
          <w:sz w:val="20"/>
          <w:szCs w:val="20"/>
        </w:rPr>
        <w:t>will better protect public health and the environment than assuming uniform costs across all PFAS-containing products.</w:t>
      </w:r>
    </w:p>
    <w:p w14:paraId="1CDE4B69" w14:textId="77777777" w:rsidR="00625931" w:rsidRPr="00AC6F9D" w:rsidRDefault="00625931" w:rsidP="002E2B18">
      <w:pPr>
        <w:autoSpaceDE w:val="0"/>
        <w:autoSpaceDN w:val="0"/>
        <w:adjustRightInd w:val="0"/>
        <w:rPr>
          <w:rFonts w:ascii="Arial" w:eastAsia="Arial" w:hAnsi="Arial" w:cs="Arial"/>
          <w:b/>
          <w:bCs/>
          <w:sz w:val="20"/>
          <w:szCs w:val="20"/>
          <w:u w:val="single"/>
        </w:rPr>
      </w:pPr>
    </w:p>
    <w:p w14:paraId="07440C18" w14:textId="77777777" w:rsidR="00333BC2" w:rsidRPr="00AC6F9D" w:rsidRDefault="00333BC2"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For manufacturers: Administrative cost of requesting a CUU determination (Part 1 of 2). Please provide your best estimates or rough orders of magnitude (for example "approx. 200 hours"). Precise accounting data is not necessary to answer this question. If your company currently possesses information regarding intentionally added PFAS (to the CAS number level) for all </w:t>
      </w:r>
      <w:r w:rsidRPr="00AC6F9D">
        <w:rPr>
          <w:rFonts w:eastAsia="Arial" w:cs="Arial"/>
          <w:b/>
          <w:bCs/>
          <w:sz w:val="20"/>
          <w:szCs w:val="20"/>
        </w:rPr>
        <w:lastRenderedPageBreak/>
        <w:t xml:space="preserve">components in your product lines, please estimate the number of technical staff hours that were required to establish this baseline. </w:t>
      </w:r>
    </w:p>
    <w:p w14:paraId="3C14C9F8" w14:textId="77777777" w:rsidR="00333BC2" w:rsidRPr="00AC6F9D" w:rsidRDefault="00333BC2" w:rsidP="002E2B18">
      <w:pPr>
        <w:pStyle w:val="ListParagraph"/>
        <w:autoSpaceDE w:val="0"/>
        <w:autoSpaceDN w:val="0"/>
        <w:adjustRightInd w:val="0"/>
        <w:ind w:left="360"/>
        <w:rPr>
          <w:rFonts w:eastAsia="Arial" w:cs="Arial"/>
          <w:b/>
          <w:bCs/>
          <w:sz w:val="20"/>
          <w:szCs w:val="20"/>
        </w:rPr>
      </w:pPr>
    </w:p>
    <w:p w14:paraId="74A6BB6E" w14:textId="77777777"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Not applicable </w:t>
      </w:r>
    </w:p>
    <w:p w14:paraId="6F640EEE" w14:textId="77777777"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Less than 40 hours </w:t>
      </w:r>
    </w:p>
    <w:p w14:paraId="4E77AF6E" w14:textId="77777777"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40 to 100 hours </w:t>
      </w:r>
    </w:p>
    <w:p w14:paraId="4DA03951" w14:textId="77777777"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101 to 500 hours </w:t>
      </w:r>
    </w:p>
    <w:p w14:paraId="715998C1" w14:textId="77777777"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More than 500 hours </w:t>
      </w:r>
    </w:p>
    <w:p w14:paraId="283063DA" w14:textId="0E370F7B" w:rsidR="00333BC2" w:rsidRPr="00AC6F9D" w:rsidRDefault="00333BC2"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Other (please specify)</w:t>
      </w:r>
    </w:p>
    <w:p w14:paraId="61CFC9A9" w14:textId="77777777" w:rsidR="00333BC2" w:rsidRPr="00AC6F9D" w:rsidRDefault="00333BC2" w:rsidP="002E2B18">
      <w:pPr>
        <w:autoSpaceDE w:val="0"/>
        <w:autoSpaceDN w:val="0"/>
        <w:adjustRightInd w:val="0"/>
        <w:rPr>
          <w:rFonts w:ascii="Arial" w:eastAsia="Arial" w:hAnsi="Arial" w:cs="Arial"/>
          <w:b/>
          <w:bCs/>
          <w:sz w:val="20"/>
          <w:szCs w:val="20"/>
          <w:u w:val="single"/>
        </w:rPr>
      </w:pPr>
    </w:p>
    <w:p w14:paraId="78B8FB8C" w14:textId="19E4F03C" w:rsidR="00333BC2" w:rsidRPr="00AC6F9D" w:rsidRDefault="00333BC2" w:rsidP="002E2B18">
      <w:pPr>
        <w:autoSpaceDE w:val="0"/>
        <w:autoSpaceDN w:val="0"/>
        <w:adjustRightInd w:val="0"/>
        <w:ind w:left="360"/>
        <w:rPr>
          <w:rFonts w:ascii="Arial" w:eastAsia="Arial" w:hAnsi="Arial" w:cs="Arial"/>
          <w:sz w:val="20"/>
          <w:szCs w:val="20"/>
        </w:rPr>
      </w:pPr>
    </w:p>
    <w:p w14:paraId="7653DB78" w14:textId="6DFB938B" w:rsidR="00B97411" w:rsidRDefault="00B97411" w:rsidP="002E2B18">
      <w:pPr>
        <w:rPr>
          <w:rFonts w:ascii="Arial" w:hAnsi="Arial" w:cs="Arial"/>
          <w:sz w:val="20"/>
          <w:szCs w:val="20"/>
        </w:rPr>
      </w:pPr>
      <w:r w:rsidRPr="00AC6F9D">
        <w:rPr>
          <w:rFonts w:ascii="Arial" w:hAnsi="Arial" w:cs="Arial"/>
          <w:sz w:val="20"/>
          <w:szCs w:val="20"/>
        </w:rPr>
        <w:t xml:space="preserve">AEM members generally do not possess CAS-level intentionally added PFAS information for all components across all product lines in a centralized, validated format. Establishing a defensible baseline typically requires a cross-functional effort (product compliance, materials engineering, purchasing/supply chain, and legal/CBI review) to survey thousands of parts and engage multiple supplier tiers. As a rough order of magnitude, developing an initial CAS-level PFAS baseline for a single complex product line can require hundreds to thousands of technical staff </w:t>
      </w:r>
      <w:r w:rsidR="002A6547">
        <w:rPr>
          <w:rFonts w:ascii="Arial" w:hAnsi="Arial" w:cs="Arial"/>
          <w:sz w:val="20"/>
          <w:szCs w:val="20"/>
        </w:rPr>
        <w:t>hours</w:t>
      </w:r>
      <w:r w:rsidR="00E504A2">
        <w:rPr>
          <w:rFonts w:ascii="Arial" w:hAnsi="Arial" w:cs="Arial"/>
          <w:sz w:val="20"/>
          <w:szCs w:val="20"/>
        </w:rPr>
        <w:t>,</w:t>
      </w:r>
      <w:r w:rsidRPr="00AC6F9D">
        <w:rPr>
          <w:rFonts w:ascii="Arial" w:hAnsi="Arial" w:cs="Arial"/>
          <w:sz w:val="20"/>
          <w:szCs w:val="20"/>
        </w:rPr>
        <w:t xml:space="preserve"> depending on the number of unique parts, the depth of the supply chain, and the extent to which suppliers can provide complete data versus the need for follow-up and reconciliation.</w:t>
      </w:r>
    </w:p>
    <w:p w14:paraId="356C7C2C" w14:textId="77777777" w:rsidR="003C699C" w:rsidRPr="00AC6F9D" w:rsidRDefault="003C699C" w:rsidP="002E2B18">
      <w:pPr>
        <w:rPr>
          <w:rFonts w:ascii="Arial" w:hAnsi="Arial" w:cs="Arial"/>
          <w:sz w:val="20"/>
          <w:szCs w:val="20"/>
        </w:rPr>
      </w:pPr>
    </w:p>
    <w:p w14:paraId="27B8A2BD" w14:textId="5E567E47" w:rsidR="007049CB" w:rsidRPr="003C699C" w:rsidRDefault="001C7385" w:rsidP="003C699C">
      <w:pPr>
        <w:pStyle w:val="ListParagraph"/>
        <w:numPr>
          <w:ilvl w:val="0"/>
          <w:numId w:val="22"/>
        </w:numPr>
        <w:autoSpaceDE w:val="0"/>
        <w:autoSpaceDN w:val="0"/>
        <w:adjustRightInd w:val="0"/>
        <w:ind w:left="0"/>
        <w:rPr>
          <w:rFonts w:asciiTheme="minorHAnsi" w:eastAsia="Times New Roman" w:hAnsiTheme="minorHAnsi"/>
          <w:sz w:val="24"/>
          <w:szCs w:val="24"/>
        </w:rPr>
      </w:pPr>
      <w:r w:rsidRPr="003C699C">
        <w:rPr>
          <w:rFonts w:eastAsia="Arial" w:cs="Arial"/>
          <w:b/>
          <w:bCs/>
          <w:sz w:val="20"/>
          <w:szCs w:val="20"/>
        </w:rPr>
        <w:t xml:space="preserve">For manufacturers: Administrative cost of requesting a CUU determination (Part 2 of 2). Please provide your best estimates or rough orders of magnitude (for example "approx. 200 hours"). Precise accounting data is not necessary to answer this question. </w:t>
      </w:r>
    </w:p>
    <w:p w14:paraId="6ED2E059" w14:textId="77777777" w:rsidR="007049CB" w:rsidRPr="00AC6F9D" w:rsidRDefault="007049CB" w:rsidP="002E2B18">
      <w:pPr>
        <w:pStyle w:val="ListParagraph"/>
        <w:autoSpaceDE w:val="0"/>
        <w:autoSpaceDN w:val="0"/>
        <w:adjustRightInd w:val="0"/>
        <w:ind w:left="360"/>
        <w:rPr>
          <w:rFonts w:eastAsia="Arial" w:cs="Arial"/>
          <w:b/>
          <w:bCs/>
          <w:sz w:val="20"/>
          <w:szCs w:val="20"/>
        </w:rPr>
      </w:pPr>
    </w:p>
    <w:p w14:paraId="4B5AEE18" w14:textId="7147E96D" w:rsidR="001C7385" w:rsidRPr="00AC6F9D" w:rsidRDefault="001C7385" w:rsidP="002E2B18">
      <w:pPr>
        <w:pStyle w:val="ListParagraph"/>
        <w:autoSpaceDE w:val="0"/>
        <w:autoSpaceDN w:val="0"/>
        <w:adjustRightInd w:val="0"/>
        <w:ind w:left="360"/>
        <w:rPr>
          <w:rFonts w:eastAsia="Arial" w:cs="Arial"/>
          <w:b/>
          <w:bCs/>
          <w:sz w:val="20"/>
          <w:szCs w:val="20"/>
        </w:rPr>
      </w:pPr>
      <w:r w:rsidRPr="00AC6F9D">
        <w:rPr>
          <w:rFonts w:eastAsia="Arial" w:cs="Arial"/>
          <w:b/>
          <w:bCs/>
          <w:sz w:val="20"/>
          <w:szCs w:val="20"/>
        </w:rPr>
        <w:t>If your company does not possess information regarding intentionally added PFAS (to the CAS number level) for all components in your product lines, please estimate the number of technical staff hours needed to obtain this data from your Tier 2 or 3 suppliers for a single product line.</w:t>
      </w:r>
    </w:p>
    <w:p w14:paraId="5B29E469" w14:textId="77777777" w:rsidR="007049CB" w:rsidRPr="00AC6F9D" w:rsidRDefault="007049CB" w:rsidP="002E2B18">
      <w:pPr>
        <w:pStyle w:val="ListParagraph"/>
        <w:autoSpaceDE w:val="0"/>
        <w:autoSpaceDN w:val="0"/>
        <w:adjustRightInd w:val="0"/>
        <w:ind w:left="360"/>
        <w:rPr>
          <w:rFonts w:eastAsia="Arial" w:cs="Arial"/>
          <w:b/>
          <w:bCs/>
          <w:sz w:val="20"/>
          <w:szCs w:val="20"/>
        </w:rPr>
      </w:pPr>
    </w:p>
    <w:p w14:paraId="4D7BB00C" w14:textId="77777777"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Not applicable </w:t>
      </w:r>
    </w:p>
    <w:p w14:paraId="1ABF80FA" w14:textId="77777777"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Less than 40 hours </w:t>
      </w:r>
    </w:p>
    <w:p w14:paraId="4AB9D534" w14:textId="77777777"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40 to 100 hours </w:t>
      </w:r>
    </w:p>
    <w:p w14:paraId="680D972E" w14:textId="77777777"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101 to 500 hours </w:t>
      </w:r>
    </w:p>
    <w:p w14:paraId="6555CBB9" w14:textId="77777777"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More than 500 hours </w:t>
      </w:r>
    </w:p>
    <w:p w14:paraId="2D858D3F" w14:textId="795FA54F" w:rsidR="007049CB" w:rsidRPr="00AC6F9D" w:rsidRDefault="007049C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Other (please specify)</w:t>
      </w:r>
    </w:p>
    <w:p w14:paraId="5BD19EC7" w14:textId="4FCDFB83" w:rsidR="001C7385" w:rsidRPr="00AC6F9D" w:rsidRDefault="001C7385" w:rsidP="002E2B18">
      <w:pPr>
        <w:autoSpaceDE w:val="0"/>
        <w:autoSpaceDN w:val="0"/>
        <w:adjustRightInd w:val="0"/>
        <w:rPr>
          <w:rFonts w:ascii="Arial" w:eastAsia="Arial" w:hAnsi="Arial" w:cs="Arial"/>
          <w:sz w:val="20"/>
          <w:szCs w:val="20"/>
        </w:rPr>
      </w:pPr>
    </w:p>
    <w:p w14:paraId="76A5FC1F" w14:textId="27F0E576" w:rsidR="00E1036F" w:rsidRPr="00AC6F9D" w:rsidRDefault="00E1036F" w:rsidP="002E2B18">
      <w:pPr>
        <w:rPr>
          <w:rFonts w:ascii="Arial" w:hAnsi="Arial" w:cs="Arial"/>
          <w:sz w:val="20"/>
          <w:szCs w:val="20"/>
        </w:rPr>
      </w:pPr>
      <w:r w:rsidRPr="00AC6F9D">
        <w:rPr>
          <w:rFonts w:ascii="Arial" w:hAnsi="Arial" w:cs="Arial"/>
          <w:sz w:val="20"/>
          <w:szCs w:val="20"/>
        </w:rPr>
        <w:t>For a single complex product line, obtaining CAS-level “intentionally added PFAS” information from Tier 2 and Tier 3 suppliers typically requires a substantial, iterative outreach and validation effort. This work often includes identifying the relevant suppliers and sub-suppliers for each targeted component, developing standardized data request templates, educating suppliers on definitions and reporting expectations, conducting follow-up to resolve incomplete or inconsistent responses, and reconciling supplier-provided data to part numbers and engineering specifications. As a rough order of magnitude, AEM expects this supplier data</w:t>
      </w:r>
      <w:r w:rsidRPr="00AC6F9D">
        <w:rPr>
          <w:rFonts w:ascii="Arial" w:hAnsi="Arial" w:cs="Arial"/>
          <w:sz w:val="20"/>
          <w:szCs w:val="20"/>
        </w:rPr>
        <w:noBreakHyphen/>
        <w:t>collection effort to require 500+ technical staff hours for many product lines, and it can reach thousands of hours where the product contains large numbers of unique parts and where supply chains are deep and fragmented.</w:t>
      </w:r>
    </w:p>
    <w:p w14:paraId="3E684293" w14:textId="77777777" w:rsidR="001C7385" w:rsidRPr="00AC6F9D" w:rsidRDefault="001C7385" w:rsidP="002E2B18">
      <w:pPr>
        <w:pStyle w:val="ListParagraph"/>
        <w:autoSpaceDE w:val="0"/>
        <w:autoSpaceDN w:val="0"/>
        <w:adjustRightInd w:val="0"/>
        <w:ind w:left="360"/>
        <w:rPr>
          <w:rFonts w:eastAsia="Arial" w:cs="Arial"/>
          <w:b/>
          <w:bCs/>
          <w:sz w:val="20"/>
          <w:szCs w:val="20"/>
          <w:u w:val="single"/>
        </w:rPr>
      </w:pPr>
    </w:p>
    <w:p w14:paraId="58013800" w14:textId="77777777" w:rsidR="003D5718" w:rsidRPr="00AC6F9D" w:rsidRDefault="003D5718"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For manufacturers: Expenditure considerations when seeking non-PFAS alternatives (Part 1 of 2). Please provide your best estimates or rough orders of magnitude (for example "primary cost is </w:t>
      </w:r>
      <w:proofErr w:type="spellStart"/>
      <w:r w:rsidRPr="00AC6F9D">
        <w:rPr>
          <w:rFonts w:eastAsia="Arial" w:cs="Arial"/>
          <w:b/>
          <w:bCs/>
          <w:sz w:val="20"/>
          <w:szCs w:val="20"/>
        </w:rPr>
        <w:t>CapEx</w:t>
      </w:r>
      <w:proofErr w:type="spellEnd"/>
      <w:r w:rsidRPr="00AC6F9D">
        <w:rPr>
          <w:rFonts w:eastAsia="Arial" w:cs="Arial"/>
          <w:b/>
          <w:bCs/>
          <w:sz w:val="20"/>
          <w:szCs w:val="20"/>
        </w:rPr>
        <w:t xml:space="preserve">"). Precise accounting data is not necessary to answer this question. </w:t>
      </w:r>
    </w:p>
    <w:p w14:paraId="1F690A9F" w14:textId="77777777" w:rsidR="003D5718" w:rsidRPr="00AC6F9D" w:rsidRDefault="003D5718" w:rsidP="002E2B18">
      <w:pPr>
        <w:pStyle w:val="ListParagraph"/>
        <w:autoSpaceDE w:val="0"/>
        <w:autoSpaceDN w:val="0"/>
        <w:adjustRightInd w:val="0"/>
        <w:ind w:left="360"/>
        <w:rPr>
          <w:rFonts w:eastAsia="Arial" w:cs="Arial"/>
          <w:b/>
          <w:bCs/>
          <w:sz w:val="20"/>
          <w:szCs w:val="20"/>
        </w:rPr>
      </w:pPr>
    </w:p>
    <w:p w14:paraId="42F245CE" w14:textId="77777777" w:rsidR="00922FBD" w:rsidRPr="00AC6F9D" w:rsidRDefault="003D5718" w:rsidP="002E2B18">
      <w:pPr>
        <w:pStyle w:val="ListParagraph"/>
        <w:autoSpaceDE w:val="0"/>
        <w:autoSpaceDN w:val="0"/>
        <w:adjustRightInd w:val="0"/>
        <w:ind w:left="360"/>
        <w:rPr>
          <w:rFonts w:eastAsia="Arial" w:cs="Arial"/>
          <w:b/>
          <w:bCs/>
          <w:sz w:val="20"/>
          <w:szCs w:val="20"/>
        </w:rPr>
      </w:pPr>
      <w:r w:rsidRPr="00AC6F9D">
        <w:rPr>
          <w:rFonts w:eastAsia="Arial" w:cs="Arial"/>
          <w:b/>
          <w:bCs/>
          <w:sz w:val="20"/>
          <w:szCs w:val="20"/>
        </w:rPr>
        <w:t xml:space="preserve">If you have identified a technically viable non-PFAS alternative for one of your products that contains intentionally added PFAS, does implementing this alternative require Capital Expenditure (such as purchasing new molds, retooling machinery) or primarily Operational Expenditure (such as purchasing more expensive raw materials)? </w:t>
      </w:r>
    </w:p>
    <w:p w14:paraId="19BA019F" w14:textId="77777777" w:rsidR="00922FBD" w:rsidRPr="00AC6F9D" w:rsidRDefault="00922FBD" w:rsidP="002E2B18">
      <w:pPr>
        <w:autoSpaceDE w:val="0"/>
        <w:autoSpaceDN w:val="0"/>
        <w:adjustRightInd w:val="0"/>
        <w:rPr>
          <w:rFonts w:ascii="Arial" w:eastAsia="Arial" w:hAnsi="Arial" w:cs="Arial"/>
          <w:b/>
          <w:bCs/>
          <w:sz w:val="20"/>
          <w:szCs w:val="20"/>
        </w:rPr>
      </w:pPr>
    </w:p>
    <w:p w14:paraId="48D3BA04" w14:textId="0151422D" w:rsidR="003D5718" w:rsidRPr="00AC6F9D" w:rsidRDefault="003D5718"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Please estimate the ratio of Cap.</w:t>
      </w:r>
    </w:p>
    <w:p w14:paraId="0D2794EA" w14:textId="77777777" w:rsidR="003D5718" w:rsidRPr="00AC6F9D" w:rsidRDefault="003D5718" w:rsidP="002E2B18">
      <w:pPr>
        <w:pStyle w:val="ListParagraph"/>
        <w:autoSpaceDE w:val="0"/>
        <w:autoSpaceDN w:val="0"/>
        <w:adjustRightInd w:val="0"/>
        <w:ind w:left="360"/>
        <w:rPr>
          <w:rFonts w:eastAsia="Arial" w:cs="Arial"/>
          <w:b/>
          <w:bCs/>
          <w:sz w:val="20"/>
          <w:szCs w:val="20"/>
          <w:u w:val="single"/>
        </w:rPr>
      </w:pPr>
    </w:p>
    <w:p w14:paraId="203E74D3" w14:textId="180F0975" w:rsidR="00BA2B73" w:rsidRPr="00AC6F9D" w:rsidRDefault="00BA2B73" w:rsidP="002E2B18">
      <w:pPr>
        <w:rPr>
          <w:rFonts w:ascii="Arial" w:hAnsi="Arial" w:cs="Arial"/>
          <w:sz w:val="20"/>
          <w:szCs w:val="20"/>
        </w:rPr>
      </w:pPr>
      <w:r w:rsidRPr="00AC6F9D">
        <w:rPr>
          <w:rFonts w:ascii="Arial" w:hAnsi="Arial" w:cs="Arial"/>
          <w:sz w:val="20"/>
          <w:szCs w:val="20"/>
        </w:rPr>
        <w:t xml:space="preserve">For many off-road equipment applications, implementing a technically viable non-PFAS alternative typically requires both significant up-front </w:t>
      </w:r>
      <w:r w:rsidR="00597931">
        <w:rPr>
          <w:rFonts w:ascii="Arial" w:hAnsi="Arial" w:cs="Arial"/>
          <w:sz w:val="20"/>
          <w:szCs w:val="20"/>
        </w:rPr>
        <w:t xml:space="preserve">operational expenditures, such as </w:t>
      </w:r>
      <w:r w:rsidRPr="00AC6F9D">
        <w:rPr>
          <w:rFonts w:ascii="Arial" w:hAnsi="Arial" w:cs="Arial"/>
          <w:sz w:val="20"/>
          <w:szCs w:val="20"/>
        </w:rPr>
        <w:t>engineering</w:t>
      </w:r>
      <w:r w:rsidR="00597931">
        <w:rPr>
          <w:rFonts w:ascii="Arial" w:hAnsi="Arial" w:cs="Arial"/>
          <w:sz w:val="20"/>
          <w:szCs w:val="20"/>
        </w:rPr>
        <w:t>,</w:t>
      </w:r>
      <w:r w:rsidRPr="00AC6F9D">
        <w:rPr>
          <w:rFonts w:ascii="Arial" w:hAnsi="Arial" w:cs="Arial"/>
          <w:sz w:val="20"/>
          <w:szCs w:val="20"/>
        </w:rPr>
        <w:t xml:space="preserve"> supplier engagement</w:t>
      </w:r>
      <w:r w:rsidR="00597931">
        <w:rPr>
          <w:rFonts w:ascii="Arial" w:hAnsi="Arial" w:cs="Arial"/>
          <w:sz w:val="20"/>
          <w:szCs w:val="20"/>
        </w:rPr>
        <w:t xml:space="preserve">, </w:t>
      </w:r>
      <w:r w:rsidR="00597931">
        <w:rPr>
          <w:rFonts w:ascii="Arial" w:hAnsi="Arial" w:cs="Arial"/>
          <w:sz w:val="20"/>
          <w:szCs w:val="20"/>
        </w:rPr>
        <w:lastRenderedPageBreak/>
        <w:t>component</w:t>
      </w:r>
      <w:r w:rsidRPr="00AC6F9D">
        <w:rPr>
          <w:rFonts w:ascii="Arial" w:hAnsi="Arial" w:cs="Arial"/>
          <w:sz w:val="20"/>
          <w:szCs w:val="20"/>
        </w:rPr>
        <w:t xml:space="preserve"> qualification</w:t>
      </w:r>
      <w:r w:rsidR="00597931">
        <w:rPr>
          <w:rFonts w:ascii="Arial" w:hAnsi="Arial" w:cs="Arial"/>
          <w:sz w:val="20"/>
          <w:szCs w:val="20"/>
        </w:rPr>
        <w:t>,</w:t>
      </w:r>
      <w:r w:rsidRPr="00AC6F9D">
        <w:rPr>
          <w:rFonts w:ascii="Arial" w:hAnsi="Arial" w:cs="Arial"/>
          <w:sz w:val="20"/>
          <w:szCs w:val="20"/>
        </w:rPr>
        <w:t xml:space="preserve"> material screening</w:t>
      </w:r>
      <w:r w:rsidR="00597931">
        <w:rPr>
          <w:rFonts w:ascii="Arial" w:hAnsi="Arial" w:cs="Arial"/>
          <w:sz w:val="20"/>
          <w:szCs w:val="20"/>
        </w:rPr>
        <w:t>,</w:t>
      </w:r>
      <w:r w:rsidRPr="00AC6F9D">
        <w:rPr>
          <w:rFonts w:ascii="Arial" w:hAnsi="Arial" w:cs="Arial"/>
          <w:sz w:val="20"/>
          <w:szCs w:val="20"/>
        </w:rPr>
        <w:t xml:space="preserve"> prototype builds</w:t>
      </w:r>
      <w:r w:rsidR="00597931">
        <w:rPr>
          <w:rFonts w:ascii="Arial" w:hAnsi="Arial" w:cs="Arial"/>
          <w:sz w:val="20"/>
          <w:szCs w:val="20"/>
        </w:rPr>
        <w:t xml:space="preserve">, </w:t>
      </w:r>
      <w:r w:rsidRPr="00AC6F9D">
        <w:rPr>
          <w:rFonts w:ascii="Arial" w:hAnsi="Arial" w:cs="Arial"/>
          <w:sz w:val="20"/>
          <w:szCs w:val="20"/>
        </w:rPr>
        <w:t>safety validation</w:t>
      </w:r>
      <w:r w:rsidR="00597931">
        <w:rPr>
          <w:rFonts w:ascii="Arial" w:hAnsi="Arial" w:cs="Arial"/>
          <w:sz w:val="20"/>
          <w:szCs w:val="20"/>
        </w:rPr>
        <w:t>,</w:t>
      </w:r>
      <w:r w:rsidRPr="00AC6F9D">
        <w:rPr>
          <w:rFonts w:ascii="Arial" w:hAnsi="Arial" w:cs="Arial"/>
          <w:sz w:val="20"/>
          <w:szCs w:val="20"/>
        </w:rPr>
        <w:t xml:space="preserve"> field testing</w:t>
      </w:r>
      <w:r w:rsidR="00597931">
        <w:rPr>
          <w:rFonts w:ascii="Arial" w:hAnsi="Arial" w:cs="Arial"/>
          <w:sz w:val="20"/>
          <w:szCs w:val="20"/>
        </w:rPr>
        <w:t>,</w:t>
      </w:r>
      <w:r w:rsidRPr="00AC6F9D">
        <w:rPr>
          <w:rFonts w:ascii="Arial" w:hAnsi="Arial" w:cs="Arial"/>
          <w:sz w:val="20"/>
          <w:szCs w:val="20"/>
        </w:rPr>
        <w:t xml:space="preserve"> documentation and compliance updates</w:t>
      </w:r>
      <w:r w:rsidR="00E072DA">
        <w:rPr>
          <w:rFonts w:ascii="Arial" w:hAnsi="Arial" w:cs="Arial"/>
          <w:sz w:val="20"/>
          <w:szCs w:val="20"/>
        </w:rPr>
        <w:t>. After this is completed, manufacturers capital expenditures would include</w:t>
      </w:r>
      <w:r w:rsidRPr="00AC6F9D">
        <w:rPr>
          <w:rFonts w:ascii="Arial" w:hAnsi="Arial" w:cs="Arial"/>
          <w:sz w:val="20"/>
          <w:szCs w:val="20"/>
        </w:rPr>
        <w:t xml:space="preserve"> </w:t>
      </w:r>
      <w:r w:rsidR="001F1331">
        <w:rPr>
          <w:rFonts w:ascii="Arial" w:hAnsi="Arial" w:cs="Arial"/>
          <w:sz w:val="20"/>
          <w:szCs w:val="20"/>
        </w:rPr>
        <w:t xml:space="preserve">things like </w:t>
      </w:r>
      <w:r w:rsidRPr="00AC6F9D">
        <w:rPr>
          <w:rFonts w:ascii="Arial" w:hAnsi="Arial" w:cs="Arial"/>
          <w:sz w:val="20"/>
          <w:szCs w:val="20"/>
        </w:rPr>
        <w:t>new molds</w:t>
      </w:r>
      <w:r w:rsidR="001F1331">
        <w:rPr>
          <w:rFonts w:ascii="Arial" w:hAnsi="Arial" w:cs="Arial"/>
          <w:sz w:val="20"/>
          <w:szCs w:val="20"/>
        </w:rPr>
        <w:t>,</w:t>
      </w:r>
      <w:r w:rsidRPr="00AC6F9D">
        <w:rPr>
          <w:rFonts w:ascii="Arial" w:hAnsi="Arial" w:cs="Arial"/>
          <w:sz w:val="20"/>
          <w:szCs w:val="20"/>
        </w:rPr>
        <w:t xml:space="preserve"> retooling</w:t>
      </w:r>
      <w:r w:rsidR="001F1331">
        <w:rPr>
          <w:rFonts w:ascii="Arial" w:hAnsi="Arial" w:cs="Arial"/>
          <w:sz w:val="20"/>
          <w:szCs w:val="20"/>
        </w:rPr>
        <w:t>,</w:t>
      </w:r>
      <w:r w:rsidRPr="00AC6F9D">
        <w:rPr>
          <w:rFonts w:ascii="Arial" w:hAnsi="Arial" w:cs="Arial"/>
          <w:sz w:val="20"/>
          <w:szCs w:val="20"/>
        </w:rPr>
        <w:t xml:space="preserve"> process modifications</w:t>
      </w:r>
      <w:r w:rsidR="001F1331">
        <w:rPr>
          <w:rFonts w:ascii="Arial" w:hAnsi="Arial" w:cs="Arial"/>
          <w:sz w:val="20"/>
          <w:szCs w:val="20"/>
        </w:rPr>
        <w:t>,</w:t>
      </w:r>
      <w:r w:rsidRPr="00AC6F9D">
        <w:rPr>
          <w:rFonts w:ascii="Arial" w:hAnsi="Arial" w:cs="Arial"/>
          <w:sz w:val="20"/>
          <w:szCs w:val="20"/>
        </w:rPr>
        <w:t xml:space="preserve"> new test equipment</w:t>
      </w:r>
      <w:r w:rsidR="001F1331">
        <w:rPr>
          <w:rFonts w:ascii="Arial" w:hAnsi="Arial" w:cs="Arial"/>
          <w:sz w:val="20"/>
          <w:szCs w:val="20"/>
        </w:rPr>
        <w:t>, and</w:t>
      </w:r>
      <w:r w:rsidRPr="00AC6F9D">
        <w:rPr>
          <w:rFonts w:ascii="Arial" w:hAnsi="Arial" w:cs="Arial"/>
          <w:sz w:val="20"/>
          <w:szCs w:val="20"/>
        </w:rPr>
        <w:t xml:space="preserve"> changes to production lines. The balance between </w:t>
      </w:r>
      <w:r w:rsidR="00D52671">
        <w:rPr>
          <w:rFonts w:ascii="Arial" w:hAnsi="Arial" w:cs="Arial"/>
          <w:sz w:val="20"/>
          <w:szCs w:val="20"/>
        </w:rPr>
        <w:t xml:space="preserve">capital expenditures and operational expenditures will </w:t>
      </w:r>
      <w:r w:rsidRPr="00AC6F9D">
        <w:rPr>
          <w:rFonts w:ascii="Arial" w:hAnsi="Arial" w:cs="Arial"/>
          <w:sz w:val="20"/>
          <w:szCs w:val="20"/>
        </w:rPr>
        <w:t>var</w:t>
      </w:r>
      <w:r w:rsidR="00D52671">
        <w:rPr>
          <w:rFonts w:ascii="Arial" w:hAnsi="Arial" w:cs="Arial"/>
          <w:sz w:val="20"/>
          <w:szCs w:val="20"/>
        </w:rPr>
        <w:t>y</w:t>
      </w:r>
      <w:r w:rsidRPr="00AC6F9D">
        <w:rPr>
          <w:rFonts w:ascii="Arial" w:hAnsi="Arial" w:cs="Arial"/>
          <w:sz w:val="20"/>
          <w:szCs w:val="20"/>
        </w:rPr>
        <w:t xml:space="preserve"> widely by part type (e.g., molded seals vs. coated components), production volume, and whether the change cascades into adjacent components or systems.</w:t>
      </w:r>
    </w:p>
    <w:p w14:paraId="0B5145BA" w14:textId="77777777" w:rsidR="00BA2B73" w:rsidRPr="00AC6F9D" w:rsidRDefault="00BA2B73" w:rsidP="002E2B18">
      <w:pPr>
        <w:pStyle w:val="ListParagraph"/>
        <w:ind w:left="360"/>
        <w:rPr>
          <w:rFonts w:cs="Arial"/>
          <w:sz w:val="20"/>
          <w:szCs w:val="20"/>
        </w:rPr>
      </w:pPr>
    </w:p>
    <w:p w14:paraId="0702A00A" w14:textId="228BF369" w:rsidR="00786259" w:rsidRDefault="00BA2B73" w:rsidP="002E2B18">
      <w:pPr>
        <w:rPr>
          <w:rFonts w:ascii="Arial" w:hAnsi="Arial" w:cs="Arial"/>
          <w:sz w:val="20"/>
          <w:szCs w:val="20"/>
        </w:rPr>
      </w:pPr>
      <w:r w:rsidRPr="00AC6F9D">
        <w:rPr>
          <w:rFonts w:ascii="Arial" w:hAnsi="Arial" w:cs="Arial"/>
          <w:sz w:val="20"/>
          <w:szCs w:val="20"/>
        </w:rPr>
        <w:t xml:space="preserve">As a rough order of magnitude, for many substitutions the overall effort </w:t>
      </w:r>
      <w:r w:rsidR="00A941C8">
        <w:rPr>
          <w:rFonts w:ascii="Arial" w:hAnsi="Arial" w:cs="Arial"/>
          <w:sz w:val="20"/>
          <w:szCs w:val="20"/>
        </w:rPr>
        <w:t xml:space="preserve">includes a lot of administrative costs, where </w:t>
      </w:r>
      <w:r w:rsidRPr="00AC6F9D">
        <w:rPr>
          <w:rFonts w:ascii="Arial" w:hAnsi="Arial" w:cs="Arial"/>
          <w:sz w:val="20"/>
          <w:szCs w:val="20"/>
        </w:rPr>
        <w:t xml:space="preserve">the largest drivers are engineering and validation resources and iterative supplier requalification. However, for high-volume components that require extensive manufacturing changes (e.g., new molding tools across multiple suppliers or facilities), </w:t>
      </w:r>
      <w:r w:rsidR="00A941C8">
        <w:rPr>
          <w:rFonts w:ascii="Arial" w:hAnsi="Arial" w:cs="Arial"/>
          <w:sz w:val="20"/>
          <w:szCs w:val="20"/>
        </w:rPr>
        <w:t>capital expenditures may</w:t>
      </w:r>
      <w:r w:rsidRPr="00AC6F9D">
        <w:rPr>
          <w:rFonts w:ascii="Arial" w:hAnsi="Arial" w:cs="Arial"/>
          <w:sz w:val="20"/>
          <w:szCs w:val="20"/>
        </w:rPr>
        <w:t xml:space="preserve"> become a larger share</w:t>
      </w:r>
      <w:r w:rsidR="00620F75">
        <w:rPr>
          <w:rFonts w:ascii="Arial" w:hAnsi="Arial" w:cs="Arial"/>
          <w:sz w:val="20"/>
          <w:szCs w:val="20"/>
        </w:rPr>
        <w:t>.</w:t>
      </w:r>
      <w:r w:rsidRPr="00AC6F9D">
        <w:rPr>
          <w:rFonts w:ascii="Arial" w:hAnsi="Arial" w:cs="Arial"/>
          <w:sz w:val="20"/>
          <w:szCs w:val="20"/>
        </w:rPr>
        <w:t xml:space="preserve"> AEM recommends MPCA recognize this variability and avoid assuming a uniform cost profile across product categories and PFAS use cases.</w:t>
      </w:r>
    </w:p>
    <w:p w14:paraId="1D0C8F4E" w14:textId="77777777" w:rsidR="00216AA3" w:rsidRDefault="00216AA3" w:rsidP="002E2B18">
      <w:pPr>
        <w:rPr>
          <w:rFonts w:ascii="Arial" w:hAnsi="Arial" w:cs="Arial"/>
          <w:sz w:val="20"/>
          <w:szCs w:val="20"/>
        </w:rPr>
      </w:pPr>
    </w:p>
    <w:p w14:paraId="760251A3" w14:textId="315B23B1" w:rsidR="003C699C" w:rsidRDefault="003C699C" w:rsidP="003C699C">
      <w:pPr>
        <w:autoSpaceDE w:val="0"/>
        <w:autoSpaceDN w:val="0"/>
        <w:adjustRightInd w:val="0"/>
        <w:rPr>
          <w:rFonts w:ascii="Arial" w:hAnsi="Arial" w:cs="Arial"/>
          <w:sz w:val="20"/>
          <w:szCs w:val="20"/>
        </w:rPr>
      </w:pPr>
      <w:r>
        <w:rPr>
          <w:rFonts w:ascii="Arial" w:hAnsi="Arial" w:cs="Arial"/>
          <w:sz w:val="20"/>
          <w:szCs w:val="20"/>
        </w:rPr>
        <w:t xml:space="preserve">Consistent with cost estimates AEM previously provided to EPA in the PIP (3:1) rulemaking and in AEM’s prior PFAS comments, the effort to identify and document chemical content across a multi-tier off-road equipment supply chain can be extremely resource-intensive even for </w:t>
      </w:r>
      <w:r>
        <w:rPr>
          <w:rFonts w:ascii="Arial" w:hAnsi="Arial" w:cs="Arial"/>
          <w:i/>
          <w:iCs/>
          <w:sz w:val="20"/>
          <w:szCs w:val="20"/>
        </w:rPr>
        <w:t>a single substance</w:t>
      </w:r>
      <w:r>
        <w:rPr>
          <w:rFonts w:ascii="Arial" w:hAnsi="Arial" w:cs="Arial"/>
          <w:sz w:val="20"/>
          <w:szCs w:val="20"/>
        </w:rPr>
        <w:t>. As rough orders of magnitude (using EPA’s estimate of a technical professional labor rate of approximately $80.50/hour), AEM previously estimated:</w:t>
      </w:r>
    </w:p>
    <w:p w14:paraId="2A42A2AE" w14:textId="77777777" w:rsidR="003C699C" w:rsidRPr="00AC6F9D" w:rsidRDefault="003C699C" w:rsidP="003C699C">
      <w:pPr>
        <w:autoSpaceDE w:val="0"/>
        <w:autoSpaceDN w:val="0"/>
        <w:adjustRightInd w:val="0"/>
        <w:rPr>
          <w:rFonts w:ascii="Arial" w:eastAsia="Arial" w:hAnsi="Arial" w:cs="Arial"/>
          <w:b/>
          <w:bCs/>
          <w:sz w:val="20"/>
          <w:szCs w:val="20"/>
          <w:u w:val="single"/>
        </w:rPr>
      </w:pPr>
    </w:p>
    <w:p w14:paraId="5202D326" w14:textId="461EE6B0" w:rsidR="003C699C" w:rsidRPr="002A15C9" w:rsidRDefault="003C699C" w:rsidP="003C699C">
      <w:pPr>
        <w:numPr>
          <w:ilvl w:val="0"/>
          <w:numId w:val="50"/>
        </w:numPr>
        <w:tabs>
          <w:tab w:val="clear" w:pos="360"/>
          <w:tab w:val="num" w:pos="720"/>
        </w:tabs>
        <w:ind w:left="1530"/>
        <w:rPr>
          <w:rFonts w:eastAsia="Times New Roman"/>
        </w:rPr>
      </w:pPr>
      <w:r>
        <w:rPr>
          <w:rFonts w:ascii="Arial" w:eastAsia="Times New Roman" w:hAnsi="Arial" w:cs="Arial"/>
          <w:b/>
          <w:bCs/>
          <w:sz w:val="20"/>
          <w:szCs w:val="20"/>
        </w:rPr>
        <w:t>Supply-chain data collection (single chemical):</w:t>
      </w:r>
      <w:r>
        <w:rPr>
          <w:rFonts w:ascii="Arial" w:eastAsia="Times New Roman" w:hAnsi="Arial" w:cs="Arial"/>
          <w:sz w:val="20"/>
          <w:szCs w:val="20"/>
        </w:rPr>
        <w:t xml:space="preserve"> ~6,240 staff hours per firm (approximately 36 months for one full-time equivalent), or about </w:t>
      </w:r>
      <w:r>
        <w:rPr>
          <w:rFonts w:ascii="Arial" w:eastAsia="Times New Roman" w:hAnsi="Arial" w:cs="Arial"/>
          <w:b/>
          <w:bCs/>
          <w:sz w:val="20"/>
          <w:szCs w:val="20"/>
        </w:rPr>
        <w:t>$502,320 per firm</w:t>
      </w:r>
      <w:r>
        <w:rPr>
          <w:rFonts w:ascii="Arial" w:eastAsia="Times New Roman" w:hAnsi="Arial" w:cs="Arial"/>
          <w:sz w:val="20"/>
          <w:szCs w:val="20"/>
        </w:rPr>
        <w:t xml:space="preserve">; across an illustrative population of </w:t>
      </w:r>
      <w:r w:rsidR="002F2797">
        <w:rPr>
          <w:rFonts w:ascii="Arial" w:eastAsia="Times New Roman" w:hAnsi="Arial" w:cs="Arial"/>
          <w:sz w:val="20"/>
          <w:szCs w:val="20"/>
        </w:rPr>
        <w:t xml:space="preserve">roughly </w:t>
      </w:r>
      <w:r>
        <w:rPr>
          <w:rFonts w:ascii="Arial" w:eastAsia="Times New Roman" w:hAnsi="Arial" w:cs="Arial"/>
          <w:sz w:val="20"/>
          <w:szCs w:val="20"/>
        </w:rPr>
        <w:t xml:space="preserve">10,000 firms, this equates to on the order of </w:t>
      </w:r>
      <w:r>
        <w:rPr>
          <w:rFonts w:ascii="Arial" w:eastAsia="Times New Roman" w:hAnsi="Arial" w:cs="Arial"/>
          <w:b/>
          <w:bCs/>
          <w:sz w:val="20"/>
          <w:szCs w:val="20"/>
        </w:rPr>
        <w:t>$5 billion</w:t>
      </w:r>
      <w:r>
        <w:rPr>
          <w:rFonts w:ascii="Arial" w:eastAsia="Times New Roman" w:hAnsi="Arial" w:cs="Arial"/>
          <w:sz w:val="20"/>
          <w:szCs w:val="20"/>
        </w:rPr>
        <w:t xml:space="preserve"> in cumulative data-collection costs</w:t>
      </w:r>
      <w:r w:rsidR="002F2797">
        <w:rPr>
          <w:rFonts w:ascii="Arial" w:eastAsia="Times New Roman" w:hAnsi="Arial" w:cs="Arial"/>
          <w:sz w:val="20"/>
          <w:szCs w:val="20"/>
        </w:rPr>
        <w:t xml:space="preserve"> </w:t>
      </w:r>
      <w:r w:rsidR="002A15C9">
        <w:rPr>
          <w:rFonts w:ascii="Arial" w:eastAsia="Times New Roman" w:hAnsi="Arial" w:cs="Arial"/>
          <w:sz w:val="20"/>
          <w:szCs w:val="20"/>
        </w:rPr>
        <w:t>for a single chemical</w:t>
      </w:r>
      <w:r>
        <w:rPr>
          <w:rFonts w:ascii="Arial" w:eastAsia="Times New Roman" w:hAnsi="Arial" w:cs="Arial"/>
          <w:sz w:val="20"/>
          <w:szCs w:val="20"/>
        </w:rPr>
        <w:t>.</w:t>
      </w:r>
    </w:p>
    <w:p w14:paraId="42C2F109" w14:textId="77777777" w:rsidR="002A15C9" w:rsidRDefault="002A15C9" w:rsidP="002A15C9">
      <w:pPr>
        <w:ind w:left="1530"/>
        <w:rPr>
          <w:rFonts w:eastAsia="Times New Roman"/>
        </w:rPr>
      </w:pPr>
    </w:p>
    <w:p w14:paraId="516B393D" w14:textId="77777777" w:rsidR="003C699C" w:rsidRPr="003C699C" w:rsidRDefault="003C699C" w:rsidP="003C699C">
      <w:pPr>
        <w:numPr>
          <w:ilvl w:val="0"/>
          <w:numId w:val="50"/>
        </w:numPr>
        <w:tabs>
          <w:tab w:val="clear" w:pos="360"/>
          <w:tab w:val="num" w:pos="720"/>
        </w:tabs>
        <w:ind w:left="1530"/>
        <w:rPr>
          <w:rFonts w:eastAsia="Times New Roman"/>
        </w:rPr>
      </w:pPr>
      <w:r>
        <w:rPr>
          <w:rFonts w:ascii="Arial" w:eastAsia="Times New Roman" w:hAnsi="Arial" w:cs="Arial"/>
          <w:b/>
          <w:bCs/>
          <w:sz w:val="20"/>
          <w:szCs w:val="20"/>
        </w:rPr>
        <w:t>Laboratory testing fallback where supplier data is incomplete:</w:t>
      </w:r>
      <w:r>
        <w:rPr>
          <w:rFonts w:ascii="Arial" w:eastAsia="Times New Roman" w:hAnsi="Arial" w:cs="Arial"/>
          <w:sz w:val="20"/>
          <w:szCs w:val="20"/>
        </w:rPr>
        <w:t xml:space="preserve"> assuming ~100,000 unique parts per firm and an estimated </w:t>
      </w:r>
      <w:r>
        <w:rPr>
          <w:rFonts w:ascii="Arial" w:eastAsia="Times New Roman" w:hAnsi="Arial" w:cs="Arial"/>
          <w:b/>
          <w:bCs/>
          <w:sz w:val="20"/>
          <w:szCs w:val="20"/>
        </w:rPr>
        <w:t>$1,000</w:t>
      </w:r>
      <w:r>
        <w:rPr>
          <w:rFonts w:ascii="Arial" w:eastAsia="Times New Roman" w:hAnsi="Arial" w:cs="Arial"/>
          <w:sz w:val="20"/>
          <w:szCs w:val="20"/>
        </w:rPr>
        <w:t xml:space="preserve"> per part for analytical testing, the cost can reach </w:t>
      </w:r>
      <w:r>
        <w:rPr>
          <w:rFonts w:ascii="Arial" w:eastAsia="Times New Roman" w:hAnsi="Arial" w:cs="Arial"/>
          <w:b/>
          <w:bCs/>
          <w:sz w:val="20"/>
          <w:szCs w:val="20"/>
        </w:rPr>
        <w:t>$100 million per firm</w:t>
      </w:r>
      <w:r>
        <w:rPr>
          <w:rFonts w:ascii="Arial" w:eastAsia="Times New Roman" w:hAnsi="Arial" w:cs="Arial"/>
          <w:sz w:val="20"/>
          <w:szCs w:val="20"/>
        </w:rPr>
        <w:t xml:space="preserve"> and on the order of </w:t>
      </w:r>
      <w:r>
        <w:rPr>
          <w:rFonts w:ascii="Arial" w:eastAsia="Times New Roman" w:hAnsi="Arial" w:cs="Arial"/>
          <w:b/>
          <w:bCs/>
          <w:sz w:val="20"/>
          <w:szCs w:val="20"/>
        </w:rPr>
        <w:t>$1 trillion</w:t>
      </w:r>
      <w:r>
        <w:rPr>
          <w:rFonts w:ascii="Arial" w:eastAsia="Times New Roman" w:hAnsi="Arial" w:cs="Arial"/>
          <w:sz w:val="20"/>
          <w:szCs w:val="20"/>
        </w:rPr>
        <w:t xml:space="preserve"> across ~10,000 firms—before considering laboratory capacity constraints that would extend timelines.</w:t>
      </w:r>
    </w:p>
    <w:p w14:paraId="7AF90A29" w14:textId="77777777" w:rsidR="003C699C" w:rsidRDefault="003C699C" w:rsidP="003C699C">
      <w:pPr>
        <w:ind w:left="1530"/>
        <w:rPr>
          <w:rFonts w:eastAsia="Times New Roman"/>
        </w:rPr>
      </w:pPr>
    </w:p>
    <w:p w14:paraId="2F013A12" w14:textId="776C57DE" w:rsidR="00254A5B" w:rsidRPr="00AC6F9D" w:rsidRDefault="003C699C" w:rsidP="003C699C">
      <w:pPr>
        <w:rPr>
          <w:rFonts w:ascii="Arial" w:hAnsi="Arial" w:cs="Arial"/>
          <w:sz w:val="20"/>
          <w:szCs w:val="20"/>
        </w:rPr>
      </w:pPr>
      <w:r>
        <w:rPr>
          <w:rFonts w:ascii="Arial" w:hAnsi="Arial" w:cs="Arial"/>
          <w:sz w:val="20"/>
          <w:szCs w:val="20"/>
        </w:rPr>
        <w:t>For PFAS as a broad family of chemistries used across many components and applications, the overall burden is likely to be an order of magnitude higher. MPCA should calibrate CUU data expectations, timelines, and confidentiality protections accordingly, and should not presume that CAS-level information for all parts can be assembled quickly or at low cost across deep global supply chains.</w:t>
      </w:r>
    </w:p>
    <w:p w14:paraId="19A0E5A3" w14:textId="77777777" w:rsidR="003D5718" w:rsidRPr="00AC6F9D" w:rsidRDefault="003D5718" w:rsidP="002E2B18">
      <w:pPr>
        <w:pStyle w:val="ListParagraph"/>
        <w:autoSpaceDE w:val="0"/>
        <w:autoSpaceDN w:val="0"/>
        <w:adjustRightInd w:val="0"/>
        <w:ind w:left="360"/>
        <w:rPr>
          <w:rFonts w:eastAsia="Arial" w:cs="Arial"/>
          <w:b/>
          <w:bCs/>
          <w:sz w:val="20"/>
          <w:szCs w:val="20"/>
          <w:u w:val="single"/>
        </w:rPr>
      </w:pPr>
    </w:p>
    <w:p w14:paraId="39F8B2C7" w14:textId="77777777" w:rsidR="00543F5B" w:rsidRPr="00AC6F9D" w:rsidRDefault="00543F5B"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 xml:space="preserve">For manufacturers: Expenditure considerations when seeking non-PFAS alternatives (Part 2 of 2). If you have not identified a technically viable non-PFAS alternative for one of your products that contains intentionally added PFAS, have you conducted a Research &amp; Development (R&amp;D) feasibility study? </w:t>
      </w:r>
    </w:p>
    <w:p w14:paraId="3AA60099" w14:textId="77777777" w:rsidR="00543F5B" w:rsidRPr="00AC6F9D" w:rsidRDefault="00543F5B" w:rsidP="002E2B18">
      <w:pPr>
        <w:pStyle w:val="ListParagraph"/>
        <w:autoSpaceDE w:val="0"/>
        <w:autoSpaceDN w:val="0"/>
        <w:adjustRightInd w:val="0"/>
        <w:ind w:left="360"/>
        <w:rPr>
          <w:rFonts w:eastAsia="Arial" w:cs="Arial"/>
          <w:b/>
          <w:bCs/>
          <w:sz w:val="20"/>
          <w:szCs w:val="20"/>
        </w:rPr>
      </w:pPr>
    </w:p>
    <w:p w14:paraId="0DDC4F29" w14:textId="0CA89214" w:rsidR="00543F5B" w:rsidRPr="00AC6F9D" w:rsidRDefault="00543F5B"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If so, what was the cost of that study?</w:t>
      </w:r>
    </w:p>
    <w:p w14:paraId="3CD2F029" w14:textId="77777777" w:rsidR="00543F5B" w:rsidRDefault="00543F5B" w:rsidP="002E2B18">
      <w:pPr>
        <w:autoSpaceDE w:val="0"/>
        <w:autoSpaceDN w:val="0"/>
        <w:adjustRightInd w:val="0"/>
        <w:rPr>
          <w:rFonts w:ascii="Arial" w:hAnsi="Arial" w:cs="Arial"/>
          <w:sz w:val="20"/>
          <w:szCs w:val="20"/>
        </w:rPr>
      </w:pPr>
    </w:p>
    <w:p w14:paraId="20DF5B92" w14:textId="0D0CD1CA" w:rsidR="00E33DA9" w:rsidRDefault="00E33DA9" w:rsidP="00E33DA9">
      <w:pPr>
        <w:rPr>
          <w:rFonts w:ascii="Arial" w:eastAsia="Times New Roman" w:hAnsi="Arial" w:cs="Arial"/>
          <w:b/>
          <w:bCs/>
          <w:sz w:val="20"/>
          <w:szCs w:val="20"/>
        </w:rPr>
      </w:pPr>
      <w:r>
        <w:rPr>
          <w:rFonts w:ascii="Arial" w:hAnsi="Arial" w:cs="Arial"/>
          <w:sz w:val="20"/>
          <w:szCs w:val="20"/>
        </w:rPr>
        <w:t xml:space="preserve">MPCA should recognize that the </w:t>
      </w:r>
      <w:r w:rsidRPr="00E33DA9">
        <w:rPr>
          <w:rFonts w:ascii="Arial" w:hAnsi="Arial" w:cs="Arial"/>
          <w:sz w:val="20"/>
          <w:szCs w:val="20"/>
        </w:rPr>
        <w:t>most appropriate stakeholders to generate and verify</w:t>
      </w:r>
      <w:r>
        <w:rPr>
          <w:rFonts w:ascii="Arial" w:hAnsi="Arial" w:cs="Arial"/>
          <w:sz w:val="20"/>
          <w:szCs w:val="20"/>
        </w:rPr>
        <w:t xml:space="preserve"> many of these input</w:t>
      </w:r>
      <w:r>
        <w:rPr>
          <w:rFonts w:ascii="Arial" w:hAnsi="Arial" w:cs="Arial"/>
          <w:sz w:val="20"/>
          <w:szCs w:val="20"/>
        </w:rPr>
        <w:t xml:space="preserve"> costs, </w:t>
      </w:r>
      <w:r>
        <w:rPr>
          <w:rFonts w:ascii="Arial" w:hAnsi="Arial" w:cs="Arial"/>
          <w:sz w:val="20"/>
          <w:szCs w:val="20"/>
        </w:rPr>
        <w:t>particularly CAS-level chemical identity, formulation details, hazard data, and the technical feasibility of substitute chemistries</w:t>
      </w:r>
      <w:r>
        <w:rPr>
          <w:rFonts w:ascii="Arial" w:hAnsi="Arial" w:cs="Arial"/>
          <w:sz w:val="20"/>
          <w:szCs w:val="20"/>
        </w:rPr>
        <w:t xml:space="preserve">, </w:t>
      </w:r>
      <w:r>
        <w:rPr>
          <w:rFonts w:ascii="Arial" w:hAnsi="Arial" w:cs="Arial"/>
          <w:sz w:val="20"/>
          <w:szCs w:val="20"/>
        </w:rPr>
        <w:t xml:space="preserve">are often </w:t>
      </w:r>
      <w:r w:rsidRPr="00E33DA9">
        <w:rPr>
          <w:rFonts w:ascii="Arial" w:hAnsi="Arial" w:cs="Arial"/>
          <w:sz w:val="20"/>
          <w:szCs w:val="20"/>
        </w:rPr>
        <w:t>upstream in the supply chain</w:t>
      </w:r>
      <w:r>
        <w:rPr>
          <w:rFonts w:ascii="Arial" w:hAnsi="Arial" w:cs="Arial"/>
          <w:sz w:val="20"/>
          <w:szCs w:val="20"/>
        </w:rPr>
        <w:t xml:space="preserve"> (e.g., chemical manufacturers, polymer/resin producers, additive suppliers, and compounders/formulators), not the OEM at the end of a multi-tier chain. Accordingly, the burden of proof for demonstrating that a proposed substitute is well-characterized, consistently supplied, and broadly fit-for-purpose should rest primarily with those upstream entities that design and sell the chemistry. In addition, MPCA should account for the fact that upstream substitution decisions will create “ripples” downstream</w:t>
      </w:r>
      <w:r>
        <w:rPr>
          <w:rFonts w:ascii="Arial" w:hAnsi="Arial" w:cs="Arial"/>
          <w:sz w:val="20"/>
          <w:szCs w:val="20"/>
        </w:rPr>
        <w:t xml:space="preserve">, </w:t>
      </w:r>
      <w:r>
        <w:rPr>
          <w:rFonts w:ascii="Arial" w:hAnsi="Arial" w:cs="Arial"/>
          <w:sz w:val="20"/>
          <w:szCs w:val="20"/>
        </w:rPr>
        <w:t xml:space="preserve">solutions may be developed and qualified for </w:t>
      </w:r>
      <w:r>
        <w:rPr>
          <w:rFonts w:ascii="Arial" w:hAnsi="Arial" w:cs="Arial"/>
          <w:i/>
          <w:iCs/>
          <w:sz w:val="20"/>
          <w:szCs w:val="20"/>
        </w:rPr>
        <w:t>some</w:t>
      </w:r>
      <w:r>
        <w:rPr>
          <w:rFonts w:ascii="Arial" w:hAnsi="Arial" w:cs="Arial"/>
          <w:sz w:val="20"/>
          <w:szCs w:val="20"/>
        </w:rPr>
        <w:t xml:space="preserve"> applications or duty cycles but not others</w:t>
      </w:r>
      <w:r>
        <w:rPr>
          <w:rFonts w:ascii="Arial" w:hAnsi="Arial" w:cs="Arial"/>
          <w:sz w:val="20"/>
          <w:szCs w:val="20"/>
        </w:rPr>
        <w:t xml:space="preserve">, </w:t>
      </w:r>
      <w:r>
        <w:rPr>
          <w:rFonts w:ascii="Arial" w:hAnsi="Arial" w:cs="Arial"/>
          <w:sz w:val="20"/>
          <w:szCs w:val="20"/>
        </w:rPr>
        <w:t xml:space="preserve">so the agency should avoid </w:t>
      </w:r>
      <w:proofErr w:type="gramStart"/>
      <w:r>
        <w:rPr>
          <w:rFonts w:ascii="Arial" w:hAnsi="Arial" w:cs="Arial"/>
          <w:sz w:val="20"/>
          <w:szCs w:val="20"/>
        </w:rPr>
        <w:t>assuming that</w:t>
      </w:r>
      <w:proofErr w:type="gramEnd"/>
      <w:r>
        <w:rPr>
          <w:rFonts w:ascii="Arial" w:hAnsi="Arial" w:cs="Arial"/>
          <w:sz w:val="20"/>
          <w:szCs w:val="20"/>
        </w:rPr>
        <w:t xml:space="preserve"> the existence of an alternative in one application means it is reasonably available across all product categories and safety-critical uses.</w:t>
      </w:r>
    </w:p>
    <w:p w14:paraId="50C531A6" w14:textId="77777777" w:rsidR="00F72A47" w:rsidRPr="00AC6F9D" w:rsidRDefault="00F72A47" w:rsidP="002E2B18">
      <w:pPr>
        <w:autoSpaceDE w:val="0"/>
        <w:autoSpaceDN w:val="0"/>
        <w:adjustRightInd w:val="0"/>
        <w:rPr>
          <w:rFonts w:ascii="Arial" w:eastAsia="Arial" w:hAnsi="Arial" w:cs="Arial"/>
          <w:b/>
          <w:bCs/>
          <w:sz w:val="20"/>
          <w:szCs w:val="20"/>
          <w:u w:val="single"/>
        </w:rPr>
      </w:pPr>
    </w:p>
    <w:p w14:paraId="674EA8A1" w14:textId="77777777" w:rsidR="005D58C5" w:rsidRPr="00AC6F9D" w:rsidRDefault="005D58C5"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lastRenderedPageBreak/>
        <w:t xml:space="preserve">For manufacturers: Research and development safety validation cycles. • What is the typical duration of the R&amp;D and safety validation cycle for a reformulated product in your sector (from concept to market entry)? </w:t>
      </w:r>
    </w:p>
    <w:p w14:paraId="40A9E6F5" w14:textId="77777777" w:rsidR="00C07703" w:rsidRPr="00AC6F9D" w:rsidRDefault="00C07703" w:rsidP="002E2B18">
      <w:pPr>
        <w:pStyle w:val="ListParagraph"/>
        <w:autoSpaceDE w:val="0"/>
        <w:autoSpaceDN w:val="0"/>
        <w:adjustRightInd w:val="0"/>
        <w:ind w:left="360"/>
        <w:rPr>
          <w:rFonts w:eastAsia="Arial" w:cs="Arial"/>
          <w:b/>
          <w:bCs/>
          <w:sz w:val="20"/>
          <w:szCs w:val="20"/>
        </w:rPr>
      </w:pPr>
    </w:p>
    <w:p w14:paraId="7D092FB1" w14:textId="0DCC5CF9" w:rsidR="005D58C5" w:rsidRPr="00AC6F9D" w:rsidRDefault="005D58C5"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 xml:space="preserve">Does this cycle align with the 5-year renewal period typically associated with regulatory exemptions? </w:t>
      </w:r>
    </w:p>
    <w:p w14:paraId="22D6B7C4" w14:textId="77777777" w:rsidR="00C07703" w:rsidRPr="00AC6F9D" w:rsidRDefault="00C07703" w:rsidP="002E2B18">
      <w:pPr>
        <w:pStyle w:val="ListParagraph"/>
        <w:autoSpaceDE w:val="0"/>
        <w:autoSpaceDN w:val="0"/>
        <w:adjustRightInd w:val="0"/>
        <w:ind w:left="1440"/>
        <w:rPr>
          <w:rFonts w:eastAsia="Arial" w:cs="Arial"/>
          <w:b/>
          <w:bCs/>
          <w:sz w:val="20"/>
          <w:szCs w:val="20"/>
        </w:rPr>
      </w:pPr>
    </w:p>
    <w:p w14:paraId="1A0EE043" w14:textId="4FA80D0B" w:rsidR="005D58C5" w:rsidRPr="00AC6F9D" w:rsidRDefault="005D58C5" w:rsidP="002E2B18">
      <w:pPr>
        <w:pStyle w:val="ListParagraph"/>
        <w:numPr>
          <w:ilvl w:val="1"/>
          <w:numId w:val="22"/>
        </w:numPr>
        <w:autoSpaceDE w:val="0"/>
        <w:autoSpaceDN w:val="0"/>
        <w:adjustRightInd w:val="0"/>
        <w:rPr>
          <w:rFonts w:eastAsia="Arial" w:cs="Arial"/>
          <w:b/>
          <w:bCs/>
          <w:sz w:val="20"/>
          <w:szCs w:val="20"/>
        </w:rPr>
      </w:pPr>
      <w:r w:rsidRPr="00AC6F9D">
        <w:rPr>
          <w:rFonts w:eastAsia="Arial" w:cs="Arial"/>
          <w:b/>
          <w:bCs/>
          <w:sz w:val="20"/>
          <w:szCs w:val="20"/>
        </w:rPr>
        <w:t>If not, please explain the specific technical barriers that would require a longer validation period.</w:t>
      </w:r>
    </w:p>
    <w:p w14:paraId="709052B7" w14:textId="77777777" w:rsidR="005D58C5" w:rsidRPr="00AC6F9D" w:rsidRDefault="005D58C5" w:rsidP="002E2B18">
      <w:pPr>
        <w:autoSpaceDE w:val="0"/>
        <w:autoSpaceDN w:val="0"/>
        <w:adjustRightInd w:val="0"/>
        <w:rPr>
          <w:rFonts w:ascii="Arial" w:eastAsia="Arial" w:hAnsi="Arial" w:cs="Arial"/>
          <w:b/>
          <w:bCs/>
          <w:sz w:val="20"/>
          <w:szCs w:val="20"/>
        </w:rPr>
      </w:pPr>
    </w:p>
    <w:p w14:paraId="4962D5FE" w14:textId="0D092F4D" w:rsidR="005D58C5" w:rsidRPr="00AC6F9D" w:rsidRDefault="005D58C5" w:rsidP="002E2B18">
      <w:pPr>
        <w:autoSpaceDE w:val="0"/>
        <w:autoSpaceDN w:val="0"/>
        <w:adjustRightInd w:val="0"/>
        <w:rPr>
          <w:rFonts w:ascii="Arial" w:eastAsia="Arial" w:hAnsi="Arial" w:cs="Arial"/>
          <w:sz w:val="20"/>
          <w:szCs w:val="20"/>
        </w:rPr>
      </w:pPr>
    </w:p>
    <w:p w14:paraId="18F5110A" w14:textId="77777777" w:rsidR="00216AA3" w:rsidRDefault="00615803" w:rsidP="00910CBD">
      <w:pPr>
        <w:rPr>
          <w:rFonts w:ascii="Arial" w:hAnsi="Arial" w:cs="Arial"/>
          <w:sz w:val="20"/>
          <w:szCs w:val="20"/>
        </w:rPr>
      </w:pPr>
      <w:r w:rsidRPr="00AC6F9D">
        <w:rPr>
          <w:rFonts w:ascii="Arial" w:hAnsi="Arial" w:cs="Arial"/>
          <w:sz w:val="20"/>
          <w:szCs w:val="20"/>
        </w:rPr>
        <w:t>For nonroad equipment, the typical R&amp;D and safety validation cycle for a reformulated product or redesigned component is often multi-year and highly dependent on the component’s safety criticality, the severity of operating conditions, and whether the change triggers broader system impacts. For a limited-scope material change in a non-safety-critical component, the cycle from concept through qualification and market entry may be on the order of 2–5 years. For safety</w:t>
      </w:r>
      <w:r w:rsidRPr="00AC6F9D">
        <w:rPr>
          <w:rFonts w:ascii="Arial" w:hAnsi="Arial" w:cs="Arial"/>
          <w:sz w:val="20"/>
          <w:szCs w:val="20"/>
        </w:rPr>
        <w:noBreakHyphen/>
        <w:t xml:space="preserve">critical components (e.g., sealing elements in hydraulic, fuel, or thermal management systems) or where a change cascades into interfaces, manufacturing processes, or compliance documentation, the cycle commonly extends to </w:t>
      </w:r>
      <w:r w:rsidR="001C1C35">
        <w:rPr>
          <w:rFonts w:ascii="Arial" w:hAnsi="Arial" w:cs="Arial"/>
          <w:sz w:val="20"/>
          <w:szCs w:val="20"/>
        </w:rPr>
        <w:t>15</w:t>
      </w:r>
      <w:r w:rsidRPr="00AC6F9D">
        <w:rPr>
          <w:rFonts w:ascii="Arial" w:hAnsi="Arial" w:cs="Arial"/>
          <w:sz w:val="20"/>
          <w:szCs w:val="20"/>
        </w:rPr>
        <w:t xml:space="preserve"> years</w:t>
      </w:r>
      <w:r w:rsidR="007D0641">
        <w:rPr>
          <w:rFonts w:ascii="Arial" w:hAnsi="Arial" w:cs="Arial"/>
          <w:sz w:val="20"/>
          <w:szCs w:val="20"/>
        </w:rPr>
        <w:t xml:space="preserve"> or more for each substance</w:t>
      </w:r>
      <w:r w:rsidRPr="00AC6F9D">
        <w:rPr>
          <w:rFonts w:ascii="Arial" w:hAnsi="Arial" w:cs="Arial"/>
          <w:sz w:val="20"/>
          <w:szCs w:val="20"/>
        </w:rPr>
        <w:t xml:space="preserve"> due to the need for extensive durability and reliability testing, supplier qualification, and field validation under representative duty cycles.</w:t>
      </w:r>
      <w:r w:rsidR="007D0641">
        <w:rPr>
          <w:rFonts w:ascii="Arial" w:hAnsi="Arial" w:cs="Arial"/>
          <w:sz w:val="20"/>
          <w:szCs w:val="20"/>
        </w:rPr>
        <w:t xml:space="preserve"> </w:t>
      </w:r>
    </w:p>
    <w:p w14:paraId="43327C45" w14:textId="77777777" w:rsidR="00216AA3" w:rsidRDefault="00216AA3" w:rsidP="00910CBD">
      <w:pPr>
        <w:rPr>
          <w:rFonts w:ascii="Arial" w:hAnsi="Arial" w:cs="Arial"/>
          <w:sz w:val="20"/>
          <w:szCs w:val="20"/>
        </w:rPr>
      </w:pPr>
    </w:p>
    <w:p w14:paraId="6899C826" w14:textId="0C9B770A" w:rsidR="00910CBD" w:rsidRPr="00AC6F9D" w:rsidRDefault="00910CBD" w:rsidP="00910CBD">
      <w:pPr>
        <w:rPr>
          <w:rFonts w:ascii="Arial" w:hAnsi="Arial" w:cs="Arial"/>
          <w:sz w:val="20"/>
          <w:szCs w:val="20"/>
        </w:rPr>
      </w:pPr>
      <w:r>
        <w:rPr>
          <w:rFonts w:ascii="Arial" w:hAnsi="Arial" w:cs="Arial"/>
          <w:sz w:val="20"/>
          <w:szCs w:val="20"/>
        </w:rPr>
        <w:t>In addition, nonroad equipment is a long-lived asset: machines commonly remain in service for decades, and OEMs must support safe operation through continued availability of certified, like-for</w:t>
      </w:r>
      <w:r w:rsidRPr="00216AA3">
        <w:rPr>
          <w:rFonts w:ascii="Arial" w:hAnsi="Arial" w:cs="Arial"/>
          <w:sz w:val="20"/>
          <w:szCs w:val="20"/>
        </w:rPr>
        <w:t xml:space="preserve">-like replacement parts long after initial sale. As a practical matter, parts support often extends 30 years or </w:t>
      </w:r>
      <w:r>
        <w:rPr>
          <w:rFonts w:ascii="Arial" w:hAnsi="Arial" w:cs="Arial"/>
          <w:sz w:val="20"/>
          <w:szCs w:val="20"/>
        </w:rPr>
        <w:t>more across major platforms to ensure safe maintenance, prevent improvised repairs, and sustain fleet uptime. MPCA’s CUU timelines and renewal approach should explicitly account for this replacement-parts horizon; otherwise, restrictions could strand in-service equipment and create avoidable safety, environmental, and economic impacts.</w:t>
      </w:r>
    </w:p>
    <w:p w14:paraId="0C20A907" w14:textId="77777777" w:rsidR="00615803" w:rsidRPr="00AC6F9D" w:rsidRDefault="00615803" w:rsidP="00216AA3">
      <w:pPr>
        <w:rPr>
          <w:rFonts w:ascii="Arial" w:hAnsi="Arial" w:cs="Arial"/>
          <w:sz w:val="20"/>
          <w:szCs w:val="20"/>
        </w:rPr>
      </w:pPr>
    </w:p>
    <w:p w14:paraId="615FB0B6" w14:textId="29C7EF18" w:rsidR="00615803" w:rsidRPr="00AC6F9D" w:rsidRDefault="00615803" w:rsidP="002E2B18">
      <w:pPr>
        <w:rPr>
          <w:rFonts w:ascii="Arial" w:hAnsi="Arial" w:cs="Arial"/>
          <w:sz w:val="20"/>
          <w:szCs w:val="20"/>
        </w:rPr>
      </w:pPr>
      <w:r w:rsidRPr="00AC6F9D">
        <w:rPr>
          <w:rFonts w:ascii="Arial" w:hAnsi="Arial" w:cs="Arial"/>
          <w:sz w:val="20"/>
          <w:szCs w:val="20"/>
        </w:rPr>
        <w:t>These timelines often do not align with a 5-year renewal period because validation must demonstrate performance over long service lives and extreme conditions (temperature cycling, pressure/impulse, chemical compatibility with fuels and hydraulic fluids, vibration/shock, UV/weathering), and because testing and approval resources are constrained</w:t>
      </w:r>
      <w:r w:rsidR="002E2B18">
        <w:rPr>
          <w:rFonts w:ascii="Arial" w:hAnsi="Arial" w:cs="Arial"/>
          <w:sz w:val="20"/>
          <w:szCs w:val="20"/>
        </w:rPr>
        <w:t xml:space="preserve"> such as </w:t>
      </w:r>
      <w:r w:rsidRPr="00AC6F9D">
        <w:rPr>
          <w:rFonts w:ascii="Arial" w:hAnsi="Arial" w:cs="Arial"/>
          <w:sz w:val="20"/>
          <w:szCs w:val="20"/>
        </w:rPr>
        <w:t>limited test cells, lab capacity, and availability of qualified suppliers and tooling. In addition, for certain regulated or compliance-sensitive systems, a material change can require additional verification activities</w:t>
      </w:r>
      <w:r w:rsidR="002E2B18">
        <w:rPr>
          <w:rFonts w:ascii="Arial" w:hAnsi="Arial" w:cs="Arial"/>
          <w:sz w:val="20"/>
          <w:szCs w:val="20"/>
        </w:rPr>
        <w:t xml:space="preserve">, which </w:t>
      </w:r>
      <w:r w:rsidRPr="00AC6F9D">
        <w:rPr>
          <w:rFonts w:ascii="Arial" w:hAnsi="Arial" w:cs="Arial"/>
          <w:sz w:val="20"/>
          <w:szCs w:val="20"/>
        </w:rPr>
        <w:t>includ</w:t>
      </w:r>
      <w:r w:rsidR="002E2B18">
        <w:rPr>
          <w:rFonts w:ascii="Arial" w:hAnsi="Arial" w:cs="Arial"/>
          <w:sz w:val="20"/>
          <w:szCs w:val="20"/>
        </w:rPr>
        <w:t>e</w:t>
      </w:r>
      <w:r w:rsidRPr="00AC6F9D">
        <w:rPr>
          <w:rFonts w:ascii="Arial" w:hAnsi="Arial" w:cs="Arial"/>
          <w:sz w:val="20"/>
          <w:szCs w:val="20"/>
        </w:rPr>
        <w:t xml:space="preserve"> documentation updates and, where applicable, revalidation/recertification, and OEMs must also ensure continued availability and safety performance for service and replacement parts over decades. For these reasons, AEM recommends MPCA recognize that safety validation and market transition for PFAS alternatives can require longer, application-specific timeframes rather than a uniform five-year cycle.</w:t>
      </w:r>
    </w:p>
    <w:p w14:paraId="4D50132A" w14:textId="77777777" w:rsidR="005D58C5" w:rsidRPr="00AC6F9D" w:rsidRDefault="005D58C5" w:rsidP="002E2B18">
      <w:pPr>
        <w:autoSpaceDE w:val="0"/>
        <w:autoSpaceDN w:val="0"/>
        <w:adjustRightInd w:val="0"/>
        <w:rPr>
          <w:rFonts w:ascii="Arial" w:eastAsia="Arial" w:hAnsi="Arial" w:cs="Arial"/>
          <w:b/>
          <w:bCs/>
          <w:sz w:val="20"/>
          <w:szCs w:val="20"/>
        </w:rPr>
      </w:pPr>
    </w:p>
    <w:p w14:paraId="23B1BD1F" w14:textId="202F28D5" w:rsidR="00C07703" w:rsidRPr="00AC6F9D" w:rsidRDefault="00C07703"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Please provide any additional information or documentation needed to support your answers to any of the questions posed.</w:t>
      </w:r>
    </w:p>
    <w:p w14:paraId="7BDE8113" w14:textId="6DF8764F" w:rsidR="00C07703" w:rsidRPr="00AC6F9D" w:rsidRDefault="00C07703" w:rsidP="002E2B18">
      <w:pPr>
        <w:pStyle w:val="ListParagraph"/>
        <w:autoSpaceDE w:val="0"/>
        <w:autoSpaceDN w:val="0"/>
        <w:adjustRightInd w:val="0"/>
        <w:ind w:left="360"/>
        <w:rPr>
          <w:rFonts w:eastAsia="Arial" w:cs="Arial"/>
          <w:b/>
          <w:bCs/>
          <w:sz w:val="20"/>
          <w:szCs w:val="20"/>
        </w:rPr>
      </w:pPr>
    </w:p>
    <w:p w14:paraId="72854699" w14:textId="5F7A9B3E" w:rsidR="00C07703" w:rsidRPr="00AC6F9D" w:rsidRDefault="00332C1F" w:rsidP="002E2B18">
      <w:pPr>
        <w:pStyle w:val="ListParagraph"/>
        <w:autoSpaceDE w:val="0"/>
        <w:autoSpaceDN w:val="0"/>
        <w:adjustRightInd w:val="0"/>
        <w:ind w:left="360"/>
        <w:rPr>
          <w:rFonts w:eastAsia="Arial" w:cs="Arial"/>
          <w:sz w:val="20"/>
          <w:szCs w:val="20"/>
        </w:rPr>
      </w:pPr>
      <w:r w:rsidRPr="00AC6F9D">
        <w:rPr>
          <w:rFonts w:eastAsia="Arial" w:cs="Arial"/>
          <w:sz w:val="20"/>
          <w:szCs w:val="20"/>
        </w:rPr>
        <w:t>Expand</w:t>
      </w:r>
      <w:r w:rsidR="00BF6B88" w:rsidRPr="00AC6F9D">
        <w:rPr>
          <w:rFonts w:eastAsia="Arial" w:cs="Arial"/>
          <w:sz w:val="20"/>
          <w:szCs w:val="20"/>
        </w:rPr>
        <w:t xml:space="preserve"> if needed</w:t>
      </w:r>
    </w:p>
    <w:p w14:paraId="0CA901A3" w14:textId="77777777" w:rsidR="00C07703" w:rsidRPr="00AC6F9D" w:rsidRDefault="00C07703" w:rsidP="002E2B18">
      <w:pPr>
        <w:pStyle w:val="ListParagraph"/>
        <w:autoSpaceDE w:val="0"/>
        <w:autoSpaceDN w:val="0"/>
        <w:adjustRightInd w:val="0"/>
        <w:ind w:left="360"/>
        <w:rPr>
          <w:rFonts w:eastAsia="Arial" w:cs="Arial"/>
          <w:b/>
          <w:bCs/>
          <w:sz w:val="20"/>
          <w:szCs w:val="20"/>
        </w:rPr>
      </w:pPr>
    </w:p>
    <w:p w14:paraId="1392BECA" w14:textId="637607A4" w:rsidR="00332C1F" w:rsidRPr="00AC6F9D" w:rsidRDefault="00332C1F" w:rsidP="002E2B18">
      <w:pPr>
        <w:pStyle w:val="ListParagraph"/>
        <w:numPr>
          <w:ilvl w:val="0"/>
          <w:numId w:val="22"/>
        </w:numPr>
        <w:autoSpaceDE w:val="0"/>
        <w:autoSpaceDN w:val="0"/>
        <w:adjustRightInd w:val="0"/>
        <w:ind w:left="360"/>
        <w:rPr>
          <w:rFonts w:eastAsia="Arial" w:cs="Arial"/>
          <w:b/>
          <w:bCs/>
          <w:sz w:val="20"/>
          <w:szCs w:val="20"/>
        </w:rPr>
      </w:pPr>
      <w:r w:rsidRPr="00AC6F9D">
        <w:rPr>
          <w:rFonts w:eastAsia="Arial" w:cs="Arial"/>
          <w:b/>
          <w:bCs/>
          <w:sz w:val="20"/>
          <w:szCs w:val="20"/>
        </w:rPr>
        <w:t>Do you have any additional questions or comments regarding the PFAS in products: Currently unavoidable use rule? (Please note that we may be unable to respond to specific questions regarding rule content in this phase of the rulemaking process).</w:t>
      </w:r>
    </w:p>
    <w:p w14:paraId="32E38DED" w14:textId="77777777" w:rsidR="00332C1F" w:rsidRPr="00AC6F9D" w:rsidRDefault="00332C1F" w:rsidP="002E2B18">
      <w:pPr>
        <w:autoSpaceDE w:val="0"/>
        <w:autoSpaceDN w:val="0"/>
        <w:adjustRightInd w:val="0"/>
        <w:rPr>
          <w:rFonts w:ascii="Arial" w:eastAsia="Arial" w:hAnsi="Arial" w:cs="Arial"/>
          <w:b/>
          <w:bCs/>
          <w:sz w:val="20"/>
          <w:szCs w:val="20"/>
        </w:rPr>
      </w:pPr>
    </w:p>
    <w:p w14:paraId="5968AE0A" w14:textId="084EC569" w:rsidR="00033A2F" w:rsidRDefault="00033A2F">
      <w:pPr>
        <w:ind w:left="360"/>
        <w:rPr>
          <w:rFonts w:ascii="Arial" w:hAnsi="Arial" w:cs="Arial"/>
          <w:sz w:val="20"/>
          <w:szCs w:val="20"/>
        </w:rPr>
      </w:pPr>
      <w:bookmarkStart w:id="1" w:name="_Hlk90415050"/>
      <w:bookmarkEnd w:id="0"/>
      <w:r>
        <w:rPr>
          <w:rFonts w:ascii="Arial" w:hAnsi="Arial" w:cs="Arial"/>
          <w:sz w:val="20"/>
          <w:szCs w:val="20"/>
        </w:rPr>
        <w:t xml:space="preserve">MPCA should plan for substantial </w:t>
      </w:r>
      <w:r w:rsidRPr="00033A2F">
        <w:rPr>
          <w:rFonts w:ascii="Arial" w:hAnsi="Arial" w:cs="Arial"/>
          <w:sz w:val="20"/>
          <w:szCs w:val="20"/>
        </w:rPr>
        <w:t>administrative burden</w:t>
      </w:r>
      <w:r>
        <w:rPr>
          <w:rFonts w:ascii="Arial" w:hAnsi="Arial" w:cs="Arial"/>
          <w:sz w:val="20"/>
          <w:szCs w:val="20"/>
        </w:rPr>
        <w:t xml:space="preserve"> associated with implementing the CUU program, including intake and triage of a large volume </w:t>
      </w:r>
      <w:r w:rsidR="00584516">
        <w:rPr>
          <w:rFonts w:ascii="Arial" w:hAnsi="Arial" w:cs="Arial"/>
          <w:sz w:val="20"/>
          <w:szCs w:val="20"/>
        </w:rPr>
        <w:t xml:space="preserve">(likely thousands) </w:t>
      </w:r>
      <w:r>
        <w:rPr>
          <w:rFonts w:ascii="Arial" w:hAnsi="Arial" w:cs="Arial"/>
          <w:sz w:val="20"/>
          <w:szCs w:val="20"/>
        </w:rPr>
        <w:t>of petitions,</w:t>
      </w:r>
      <w:r w:rsidR="00C76985">
        <w:rPr>
          <w:rFonts w:ascii="Arial" w:hAnsi="Arial" w:cs="Arial"/>
          <w:sz w:val="20"/>
          <w:szCs w:val="20"/>
        </w:rPr>
        <w:t xml:space="preserve"> which will include</w:t>
      </w:r>
      <w:r>
        <w:rPr>
          <w:rFonts w:ascii="Arial" w:hAnsi="Arial" w:cs="Arial"/>
          <w:sz w:val="20"/>
          <w:szCs w:val="20"/>
        </w:rPr>
        <w:t xml:space="preserve"> technical review of complex engineering records, management of confidential business information across multi-tier supply chains, and ongoing processing of renewals and amendments as products evolve. The timing, staffing resources, and costs required to build and sustain this capacity will be immense, particularly if the rule implicitly expects rapid, part-level CAS reporting across complex equipment. MPCA should also recognize that OEMs generally do </w:t>
      </w:r>
      <w:r>
        <w:rPr>
          <w:rFonts w:ascii="Arial" w:hAnsi="Arial" w:cs="Arial"/>
          <w:b/>
          <w:bCs/>
          <w:sz w:val="20"/>
          <w:szCs w:val="20"/>
        </w:rPr>
        <w:t>not</w:t>
      </w:r>
      <w:r>
        <w:rPr>
          <w:rFonts w:ascii="Arial" w:hAnsi="Arial" w:cs="Arial"/>
          <w:sz w:val="20"/>
          <w:szCs w:val="20"/>
        </w:rPr>
        <w:t xml:space="preserve"> have perfect information on which PFAS chemistries are present in every component</w:t>
      </w:r>
      <w:r w:rsidR="00C76985">
        <w:rPr>
          <w:rFonts w:ascii="Arial" w:hAnsi="Arial" w:cs="Arial"/>
          <w:sz w:val="20"/>
          <w:szCs w:val="20"/>
        </w:rPr>
        <w:t xml:space="preserve">, </w:t>
      </w:r>
      <w:r>
        <w:rPr>
          <w:rFonts w:ascii="Arial" w:hAnsi="Arial" w:cs="Arial"/>
          <w:sz w:val="20"/>
          <w:szCs w:val="20"/>
        </w:rPr>
        <w:t xml:space="preserve">PFAS may be present in subcomponents, materials, or additive packages several </w:t>
      </w:r>
      <w:r>
        <w:rPr>
          <w:rFonts w:ascii="Arial" w:hAnsi="Arial" w:cs="Arial"/>
          <w:sz w:val="20"/>
          <w:szCs w:val="20"/>
        </w:rPr>
        <w:lastRenderedPageBreak/>
        <w:t>tiers upstream and subject to supplier trade-secret constraints and formulation changes. A workable program should therefore allow phased and representative submissions, rely where appropriate on upstream supplier attestations and standardized disclosure templates, and avoid assumptions that complete CAS-level information can be assembled quickly or without significant cost.</w:t>
      </w:r>
    </w:p>
    <w:p w14:paraId="1885B460" w14:textId="77777777" w:rsidR="00B04D23" w:rsidRDefault="00B04D23">
      <w:pPr>
        <w:ind w:left="360"/>
        <w:rPr>
          <w:rFonts w:ascii="Arial" w:hAnsi="Arial" w:cs="Arial"/>
          <w:sz w:val="20"/>
          <w:szCs w:val="20"/>
        </w:rPr>
      </w:pPr>
    </w:p>
    <w:p w14:paraId="04C40781" w14:textId="77777777" w:rsidR="00E232D2" w:rsidRDefault="00E232D2" w:rsidP="00E232D2">
      <w:pPr>
        <w:ind w:left="360"/>
      </w:pPr>
      <w:r>
        <w:rPr>
          <w:rFonts w:ascii="Arial" w:hAnsi="Arial" w:cs="Arial"/>
          <w:sz w:val="20"/>
          <w:szCs w:val="20"/>
        </w:rPr>
        <w:t xml:space="preserve">MPCA should also address a fundamental implementation question: </w:t>
      </w:r>
      <w:r>
        <w:rPr>
          <w:rFonts w:ascii="Arial" w:hAnsi="Arial" w:cs="Arial"/>
          <w:b/>
          <w:bCs/>
          <w:sz w:val="20"/>
          <w:szCs w:val="20"/>
        </w:rPr>
        <w:t>what happens if the agency is not able to complete CUU determinations before the applicable product</w:t>
      </w:r>
      <w:r>
        <w:rPr>
          <w:rFonts w:ascii="Arial" w:hAnsi="Arial" w:cs="Arial"/>
          <w:b/>
          <w:bCs/>
          <w:sz w:val="20"/>
          <w:szCs w:val="20"/>
        </w:rPr>
        <w:noBreakHyphen/>
        <w:t>ban deadline</w:t>
      </w:r>
      <w:r>
        <w:rPr>
          <w:rFonts w:ascii="Arial" w:hAnsi="Arial" w:cs="Arial"/>
          <w:sz w:val="20"/>
          <w:szCs w:val="20"/>
        </w:rPr>
        <w:t>? Given the expected volume and complexity of petitions, it is foreseeable that review timelines could extend beyond statutory compliance dates. Without a clear “bridge” mechanism, Minnesota could face abrupt disruption where products and replacement parts are effectively prohibited while a timely, good</w:t>
      </w:r>
      <w:r>
        <w:rPr>
          <w:rFonts w:ascii="Arial" w:hAnsi="Arial" w:cs="Arial"/>
          <w:sz w:val="20"/>
          <w:szCs w:val="20"/>
        </w:rPr>
        <w:noBreakHyphen/>
        <w:t>faith CUU petition is pending. AEM strongly recommends that MPCA adopt an automatic</w:t>
      </w:r>
      <w:r w:rsidRPr="00E232D2">
        <w:rPr>
          <w:rFonts w:ascii="Arial" w:hAnsi="Arial" w:cs="Arial"/>
          <w:sz w:val="20"/>
          <w:szCs w:val="20"/>
        </w:rPr>
        <w:t xml:space="preserve"> administrative extension/safe harbor for </w:t>
      </w:r>
      <w:r>
        <w:rPr>
          <w:rFonts w:ascii="Arial" w:hAnsi="Arial" w:cs="Arial"/>
          <w:sz w:val="20"/>
          <w:szCs w:val="20"/>
        </w:rPr>
        <w:t>applicants who submit a complete petition by a specified cutoff (e.g., 12–24 months before the ban date), allowing continued sale/distribution while MPCA completes its review. This approach would preserve enforceability, prevent unintended noncompliance, and avoid unnecessary supply-chain disruptions while still incentivizing early and complete submissions.</w:t>
      </w:r>
    </w:p>
    <w:p w14:paraId="3FD0D54D" w14:textId="77777777" w:rsidR="00B04D23" w:rsidRDefault="00B04D23" w:rsidP="00E232D2"/>
    <w:p w14:paraId="2197F8A3" w14:textId="77777777" w:rsidR="00402756" w:rsidRDefault="00B04D23" w:rsidP="00402756">
      <w:pPr>
        <w:ind w:left="360"/>
        <w:rPr>
          <w:rFonts w:ascii="Arial" w:hAnsi="Arial" w:cs="Arial"/>
          <w:sz w:val="20"/>
          <w:szCs w:val="20"/>
        </w:rPr>
      </w:pPr>
      <w:r>
        <w:rPr>
          <w:rFonts w:ascii="Arial" w:hAnsi="Arial" w:cs="Arial"/>
          <w:sz w:val="20"/>
          <w:szCs w:val="20"/>
        </w:rPr>
        <w:t xml:space="preserve">Finally, MPCA should recognize that prolonged </w:t>
      </w:r>
      <w:r w:rsidR="00E232D2">
        <w:rPr>
          <w:rFonts w:ascii="Arial" w:hAnsi="Arial" w:cs="Arial"/>
          <w:sz w:val="20"/>
          <w:szCs w:val="20"/>
        </w:rPr>
        <w:t xml:space="preserve">uncertainty, </w:t>
      </w:r>
      <w:r>
        <w:rPr>
          <w:rFonts w:ascii="Arial" w:hAnsi="Arial" w:cs="Arial"/>
          <w:sz w:val="20"/>
          <w:szCs w:val="20"/>
        </w:rPr>
        <w:t>particularly unclear evidentiary expectations, shifting interpretations across product categories, or unpredictable decision timelines—can create a strong disincentive to continue offering certain products, configurations, or service parts in Minnesota. For manufacturers and suppliers facing high compliance costs and potential liability exposure without a clear, stable pathway to approval, a rational business response may be to narrow offerings or exit the Minnesota market altogether. Such outcomes would reduce equipment and replacement-part availability for Minnesota customers and fleets, disrupt service networks, and undermine the statute’s goals by encouraging ad hoc sourcing rather than managed transitions. Clear standards, transparent timelines, and portable determinations that can be relied upon across similarly situated products will help avoid these unintended market impacts.</w:t>
      </w:r>
      <w:r w:rsidR="00402756">
        <w:rPr>
          <w:rFonts w:ascii="Arial" w:hAnsi="Arial" w:cs="Arial"/>
          <w:sz w:val="20"/>
          <w:szCs w:val="20"/>
        </w:rPr>
        <w:t xml:space="preserve"> </w:t>
      </w:r>
    </w:p>
    <w:p w14:paraId="199638E2" w14:textId="77777777" w:rsidR="00402756" w:rsidRDefault="00402756" w:rsidP="00402756">
      <w:pPr>
        <w:ind w:left="360"/>
        <w:rPr>
          <w:rFonts w:ascii="Arial" w:hAnsi="Arial" w:cs="Arial"/>
          <w:sz w:val="20"/>
          <w:szCs w:val="20"/>
        </w:rPr>
      </w:pPr>
    </w:p>
    <w:p w14:paraId="5FC1E9FF" w14:textId="1B89BF99" w:rsidR="00402756" w:rsidRPr="00402756" w:rsidRDefault="00402756" w:rsidP="00402756">
      <w:pPr>
        <w:ind w:left="360"/>
        <w:rPr>
          <w:rFonts w:ascii="Arial" w:hAnsi="Arial" w:cs="Arial"/>
          <w:sz w:val="20"/>
          <w:szCs w:val="20"/>
        </w:rPr>
      </w:pPr>
      <w:r>
        <w:rPr>
          <w:rFonts w:ascii="Arial" w:hAnsi="Arial" w:cs="Arial"/>
          <w:sz w:val="20"/>
          <w:szCs w:val="20"/>
        </w:rPr>
        <w:t xml:space="preserve">Maintaining access to </w:t>
      </w:r>
      <w:r w:rsidRPr="00402756">
        <w:rPr>
          <w:rFonts w:ascii="Arial" w:hAnsi="Arial" w:cs="Arial"/>
          <w:sz w:val="20"/>
          <w:szCs w:val="20"/>
        </w:rPr>
        <w:t>agricultural and construction equipment is</w:t>
      </w:r>
      <w:r>
        <w:rPr>
          <w:rFonts w:ascii="Arial" w:hAnsi="Arial" w:cs="Arial"/>
          <w:sz w:val="20"/>
          <w:szCs w:val="20"/>
        </w:rPr>
        <w:t xml:space="preserve"> also critical to serving the interests of Minnesota’s market and communities. Farmers, contractors, utilities, and local governments depend on reliable equipment and timely replacement parts to plant and harvest crops, build and maintain roads and bridges, support housing and commercial development, restore service after storms, and deliver other essential services. A CUU program that inadvertently constrains product availability or parts support</w:t>
      </w:r>
      <w:r w:rsidR="00B840A0">
        <w:rPr>
          <w:rFonts w:ascii="Arial" w:hAnsi="Arial" w:cs="Arial"/>
          <w:sz w:val="20"/>
          <w:szCs w:val="20"/>
        </w:rPr>
        <w:t xml:space="preserve">, </w:t>
      </w:r>
      <w:r>
        <w:rPr>
          <w:rFonts w:ascii="Arial" w:hAnsi="Arial" w:cs="Arial"/>
          <w:sz w:val="20"/>
          <w:szCs w:val="20"/>
        </w:rPr>
        <w:t>through uncertainty, inconsistent determinations, or misaligned timelines</w:t>
      </w:r>
      <w:r w:rsidR="00B840A0">
        <w:rPr>
          <w:rFonts w:ascii="Arial" w:hAnsi="Arial" w:cs="Arial"/>
          <w:sz w:val="20"/>
          <w:szCs w:val="20"/>
        </w:rPr>
        <w:t xml:space="preserve">, </w:t>
      </w:r>
      <w:r>
        <w:rPr>
          <w:rFonts w:ascii="Arial" w:hAnsi="Arial" w:cs="Arial"/>
          <w:sz w:val="20"/>
          <w:szCs w:val="20"/>
        </w:rPr>
        <w:t>would impose real downstream costs on Minnesota customers and could delay time-sensitive work across the state. MPCA should therefore implement the CUU framework in a manner that supports orderly transitions while preserving the availability of the equipment and service parts needed to keep these sectors operating safely and efficiently.</w:t>
      </w:r>
    </w:p>
    <w:p w14:paraId="6FB0FC5D" w14:textId="77777777" w:rsidR="00620AF5" w:rsidRPr="00AC6F9D" w:rsidRDefault="00620AF5" w:rsidP="00620AF5">
      <w:pPr>
        <w:rPr>
          <w:rFonts w:ascii="Arial" w:eastAsia="Arial" w:hAnsi="Arial" w:cs="Arial"/>
          <w:b/>
          <w:bCs/>
          <w:color w:val="000000" w:themeColor="text1"/>
          <w:sz w:val="20"/>
          <w:szCs w:val="20"/>
          <w:u w:val="single"/>
        </w:rPr>
      </w:pPr>
    </w:p>
    <w:p w14:paraId="73CE6A87" w14:textId="4AFFC8A4" w:rsidR="00620AF5" w:rsidRPr="00AC6F9D" w:rsidRDefault="00620AF5" w:rsidP="00620AF5">
      <w:pPr>
        <w:rPr>
          <w:rFonts w:ascii="Arial" w:eastAsia="Arial" w:hAnsi="Arial" w:cs="Arial"/>
          <w:sz w:val="20"/>
          <w:szCs w:val="20"/>
        </w:rPr>
      </w:pPr>
      <w:r w:rsidRPr="00AC6F9D">
        <w:rPr>
          <w:rFonts w:ascii="Arial" w:eastAsia="Arial" w:hAnsi="Arial" w:cs="Arial"/>
          <w:sz w:val="20"/>
          <w:szCs w:val="20"/>
        </w:rPr>
        <w:t xml:space="preserve">AEM </w:t>
      </w:r>
      <w:r w:rsidR="00BC3196" w:rsidRPr="00AC6F9D">
        <w:rPr>
          <w:rFonts w:ascii="Arial" w:eastAsia="Arial" w:hAnsi="Arial" w:cs="Arial"/>
          <w:sz w:val="20"/>
          <w:szCs w:val="20"/>
        </w:rPr>
        <w:t>a</w:t>
      </w:r>
      <w:r w:rsidRPr="00AC6F9D">
        <w:rPr>
          <w:rFonts w:ascii="Arial" w:eastAsia="Arial" w:hAnsi="Arial" w:cs="Arial"/>
          <w:sz w:val="20"/>
          <w:szCs w:val="20"/>
        </w:rPr>
        <w:t>ppreciates your consideration of these comments.</w:t>
      </w:r>
    </w:p>
    <w:p w14:paraId="50D9A8DD" w14:textId="77777777" w:rsidR="00620AF5" w:rsidRPr="00AC6F9D" w:rsidRDefault="00620AF5" w:rsidP="00620AF5">
      <w:pPr>
        <w:rPr>
          <w:rFonts w:ascii="Arial" w:eastAsia="Arial" w:hAnsi="Arial" w:cs="Arial"/>
          <w:sz w:val="20"/>
          <w:szCs w:val="20"/>
        </w:rPr>
      </w:pPr>
    </w:p>
    <w:p w14:paraId="49300ECF" w14:textId="77777777" w:rsidR="00620AF5" w:rsidRPr="00AC6F9D" w:rsidRDefault="00620AF5" w:rsidP="00620AF5">
      <w:pPr>
        <w:rPr>
          <w:rFonts w:ascii="Arial" w:eastAsia="Arial" w:hAnsi="Arial" w:cs="Arial"/>
          <w:sz w:val="20"/>
          <w:szCs w:val="20"/>
        </w:rPr>
      </w:pPr>
      <w:r w:rsidRPr="00AC6F9D">
        <w:rPr>
          <w:rFonts w:ascii="Arial" w:eastAsia="Arial" w:hAnsi="Arial" w:cs="Arial"/>
          <w:sz w:val="20"/>
          <w:szCs w:val="20"/>
        </w:rPr>
        <w:t xml:space="preserve">Please feel free to contact me at </w:t>
      </w:r>
      <w:hyperlink r:id="rId12" w:history="1">
        <w:r w:rsidRPr="00AC6F9D">
          <w:rPr>
            <w:rStyle w:val="Hyperlink"/>
            <w:rFonts w:ascii="Arial" w:eastAsia="Arial" w:hAnsi="Arial" w:cs="Arial"/>
            <w:sz w:val="20"/>
            <w:szCs w:val="20"/>
          </w:rPr>
          <w:t>Jmalcore@aem.org</w:t>
        </w:r>
      </w:hyperlink>
      <w:r w:rsidRPr="00AC6F9D">
        <w:rPr>
          <w:rFonts w:ascii="Arial" w:eastAsia="Arial" w:hAnsi="Arial" w:cs="Arial"/>
          <w:sz w:val="20"/>
          <w:szCs w:val="20"/>
        </w:rPr>
        <w:t xml:space="preserve"> if you have any questions or require any further information.</w:t>
      </w:r>
    </w:p>
    <w:p w14:paraId="53B503F3" w14:textId="77777777" w:rsidR="00620AF5" w:rsidRPr="00AC6F9D" w:rsidRDefault="00620AF5" w:rsidP="00620AF5">
      <w:pPr>
        <w:rPr>
          <w:rFonts w:ascii="Arial" w:eastAsia="Arial" w:hAnsi="Arial" w:cs="Arial"/>
          <w:sz w:val="20"/>
          <w:szCs w:val="20"/>
        </w:rPr>
      </w:pPr>
    </w:p>
    <w:p w14:paraId="62655891" w14:textId="77777777" w:rsidR="00620AF5" w:rsidRPr="00AC6F9D" w:rsidRDefault="00620AF5" w:rsidP="00620AF5">
      <w:pPr>
        <w:rPr>
          <w:rFonts w:ascii="Arial" w:eastAsia="Arial" w:hAnsi="Arial" w:cs="Arial"/>
          <w:sz w:val="20"/>
          <w:szCs w:val="20"/>
        </w:rPr>
      </w:pPr>
      <w:r w:rsidRPr="00AC6F9D">
        <w:rPr>
          <w:rFonts w:ascii="Arial" w:eastAsia="Arial" w:hAnsi="Arial" w:cs="Arial"/>
          <w:sz w:val="20"/>
          <w:szCs w:val="20"/>
        </w:rPr>
        <w:t>Best Regards,</w:t>
      </w:r>
    </w:p>
    <w:bookmarkEnd w:id="1"/>
    <w:p w14:paraId="6503A3F7" w14:textId="77777777" w:rsidR="00620AF5" w:rsidRPr="00AC6F9D" w:rsidRDefault="00620AF5" w:rsidP="00620AF5">
      <w:pPr>
        <w:rPr>
          <w:rFonts w:ascii="Arial" w:eastAsia="Arial" w:hAnsi="Arial" w:cs="Arial"/>
          <w:sz w:val="20"/>
          <w:szCs w:val="20"/>
        </w:rPr>
      </w:pPr>
      <w:r w:rsidRPr="00AC6F9D">
        <w:rPr>
          <w:rFonts w:ascii="Arial" w:hAnsi="Arial" w:cs="Arial"/>
          <w:noProof/>
          <w:sz w:val="20"/>
          <w:szCs w:val="20"/>
        </w:rPr>
        <w:drawing>
          <wp:inline distT="0" distB="0" distL="0" distR="0" wp14:anchorId="52EA74F6" wp14:editId="37ACEF82">
            <wp:extent cx="1518699" cy="516835"/>
            <wp:effectExtent l="0" t="0" r="5715"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700" cy="518877"/>
                    </a:xfrm>
                    <a:prstGeom prst="rect">
                      <a:avLst/>
                    </a:prstGeom>
                    <a:noFill/>
                    <a:ln>
                      <a:noFill/>
                    </a:ln>
                  </pic:spPr>
                </pic:pic>
              </a:graphicData>
            </a:graphic>
          </wp:inline>
        </w:drawing>
      </w:r>
    </w:p>
    <w:p w14:paraId="57B62D25" w14:textId="77777777" w:rsidR="00620AF5" w:rsidRPr="00AC6F9D" w:rsidRDefault="00620AF5" w:rsidP="00620AF5">
      <w:pPr>
        <w:rPr>
          <w:rFonts w:ascii="Arial" w:eastAsia="Arial" w:hAnsi="Arial" w:cs="Arial"/>
          <w:sz w:val="20"/>
          <w:szCs w:val="20"/>
        </w:rPr>
      </w:pPr>
      <w:r w:rsidRPr="00AC6F9D">
        <w:rPr>
          <w:rFonts w:ascii="Arial" w:eastAsia="Arial" w:hAnsi="Arial" w:cs="Arial"/>
          <w:sz w:val="20"/>
          <w:szCs w:val="20"/>
        </w:rPr>
        <w:t>Jason Malcore</w:t>
      </w:r>
    </w:p>
    <w:p w14:paraId="02EECC4C" w14:textId="12794102" w:rsidR="00620AF5" w:rsidRPr="00AC6F9D" w:rsidRDefault="00D177AF" w:rsidP="00620AF5">
      <w:pPr>
        <w:rPr>
          <w:rFonts w:ascii="Arial" w:eastAsia="Arial" w:hAnsi="Arial" w:cs="Arial"/>
          <w:sz w:val="20"/>
          <w:szCs w:val="20"/>
        </w:rPr>
      </w:pPr>
      <w:r w:rsidRPr="00AC6F9D">
        <w:rPr>
          <w:rFonts w:ascii="Arial" w:eastAsia="Arial" w:hAnsi="Arial" w:cs="Arial"/>
          <w:sz w:val="20"/>
          <w:szCs w:val="20"/>
        </w:rPr>
        <w:t xml:space="preserve">Senior </w:t>
      </w:r>
      <w:r w:rsidR="00620AF5" w:rsidRPr="00AC6F9D">
        <w:rPr>
          <w:rFonts w:ascii="Arial" w:eastAsia="Arial" w:hAnsi="Arial" w:cs="Arial"/>
          <w:sz w:val="20"/>
          <w:szCs w:val="20"/>
        </w:rPr>
        <w:t xml:space="preserve">Director, </w:t>
      </w:r>
      <w:r w:rsidRPr="00AC6F9D">
        <w:rPr>
          <w:rFonts w:ascii="Arial" w:eastAsia="Arial" w:hAnsi="Arial" w:cs="Arial"/>
          <w:sz w:val="20"/>
          <w:szCs w:val="20"/>
        </w:rPr>
        <w:t>Safety &amp; Product Leadership</w:t>
      </w:r>
    </w:p>
    <w:p w14:paraId="6F7B0ED0" w14:textId="7BFB8EEA" w:rsidR="00CD732D" w:rsidRPr="00AC6F9D" w:rsidRDefault="00620AF5">
      <w:pPr>
        <w:rPr>
          <w:rFonts w:ascii="Arial" w:hAnsi="Arial" w:cs="Arial"/>
          <w:sz w:val="20"/>
          <w:szCs w:val="20"/>
        </w:rPr>
      </w:pPr>
      <w:r w:rsidRPr="00AC6F9D">
        <w:rPr>
          <w:rFonts w:ascii="Arial" w:eastAsia="Arial" w:hAnsi="Arial" w:cs="Arial"/>
          <w:sz w:val="20"/>
          <w:szCs w:val="20"/>
        </w:rPr>
        <w:t>Association of Equipment Manufacturers (AEM</w:t>
      </w:r>
      <w:r w:rsidR="00EE39FA" w:rsidRPr="00AC6F9D">
        <w:rPr>
          <w:rFonts w:ascii="Arial" w:eastAsia="Arial" w:hAnsi="Arial" w:cs="Arial"/>
          <w:sz w:val="20"/>
          <w:szCs w:val="20"/>
        </w:rPr>
        <w:t>)</w:t>
      </w:r>
    </w:p>
    <w:sectPr w:rsidR="00CD732D" w:rsidRPr="00AC6F9D" w:rsidSect="00570210">
      <w:headerReference w:type="default" r:id="rId14"/>
      <w:headerReference w:type="first" r:id="rId15"/>
      <w:footerReference w:type="first" r:id="rId16"/>
      <w:pgSz w:w="12240" w:h="15840"/>
      <w:pgMar w:top="1152" w:right="1440" w:bottom="1440" w:left="1152"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18BE" w14:textId="77777777" w:rsidR="00DB4B0D" w:rsidRDefault="00DB4B0D" w:rsidP="00B25720">
      <w:r>
        <w:separator/>
      </w:r>
    </w:p>
  </w:endnote>
  <w:endnote w:type="continuationSeparator" w:id="0">
    <w:p w14:paraId="47A9819C" w14:textId="77777777" w:rsidR="00DB4B0D" w:rsidRDefault="00DB4B0D" w:rsidP="00B2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EC73" w14:textId="7E2FDEF2" w:rsidR="00B25720" w:rsidRDefault="00E302B7">
    <w:pPr>
      <w:pStyle w:val="Footer"/>
    </w:pPr>
    <w:r>
      <w:rPr>
        <w:noProof/>
      </w:rPr>
      <mc:AlternateContent>
        <mc:Choice Requires="wps">
          <w:drawing>
            <wp:anchor distT="0" distB="0" distL="114300" distR="114300" simplePos="0" relativeHeight="251659264" behindDoc="0" locked="0" layoutInCell="1" allowOverlap="1" wp14:anchorId="0D88F330" wp14:editId="667D05A6">
              <wp:simplePos x="0" y="0"/>
              <wp:positionH relativeFrom="page">
                <wp:align>center</wp:align>
              </wp:positionH>
              <wp:positionV relativeFrom="paragraph">
                <wp:posOffset>180975</wp:posOffset>
              </wp:positionV>
              <wp:extent cx="6949440" cy="59436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6949440" cy="594360"/>
                      </a:xfrm>
                      <a:prstGeom prst="rect">
                        <a:avLst/>
                      </a:prstGeom>
                      <a:solidFill>
                        <a:srgbClr val="FE3B1F"/>
                      </a:solidFill>
                      <a:ln w="6350">
                        <a:noFill/>
                      </a:ln>
                    </wps:spPr>
                    <wps:txbx>
                      <w:txbxContent>
                        <w:p w14:paraId="2915D274" w14:textId="77777777" w:rsidR="00E302B7" w:rsidRPr="005D11FA" w:rsidRDefault="00E302B7" w:rsidP="00E302B7">
                          <w:pPr>
                            <w:jc w:val="center"/>
                            <w:rPr>
                              <w:rFonts w:ascii="Arial" w:hAnsi="Arial" w:cs="Arial"/>
                              <w:b/>
                              <w:bCs/>
                              <w:color w:val="FFFFFF" w:themeColor="background1"/>
                              <w:sz w:val="16"/>
                              <w:szCs w:val="16"/>
                            </w:rPr>
                          </w:pPr>
                          <w:r w:rsidRPr="005D11FA">
                            <w:rPr>
                              <w:rFonts w:ascii="Arial" w:hAnsi="Arial" w:cs="Arial"/>
                              <w:b/>
                              <w:bCs/>
                              <w:color w:val="FFFFFF" w:themeColor="background1"/>
                              <w:sz w:val="16"/>
                              <w:szCs w:val="16"/>
                            </w:rPr>
                            <w:t>Offices: Milwaukee, WI | Washington, DC | Ottawa, Canada | Beijing, China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8F330" id="_x0000_t202" coordsize="21600,21600" o:spt="202" path="m,l,21600r21600,l21600,xe">
              <v:stroke joinstyle="miter"/>
              <v:path gradientshapeok="t" o:connecttype="rect"/>
            </v:shapetype>
            <v:shape id="Text Box 2" o:spid="_x0000_s1026" type="#_x0000_t202" style="position:absolute;margin-left:0;margin-top:14.25pt;width:547.2pt;height:46.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" fillcolor="#fe3b1f" stroked="f" strokeweight=".5pt">
              <v:textbox>
                <w:txbxContent>
                  <w:p w14:paraId="2915D274" w14:textId="77777777" w:rsidR="00E302B7" w:rsidRPr="005D11FA" w:rsidRDefault="00E302B7" w:rsidP="00E302B7">
                    <w:pPr>
                      <w:jc w:val="center"/>
                      <w:rPr>
                        <w:rFonts w:ascii="Arial" w:hAnsi="Arial" w:cs="Arial"/>
                        <w:b/>
                        <w:bCs/>
                        <w:color w:val="FFFFFF" w:themeColor="background1"/>
                        <w:sz w:val="16"/>
                        <w:szCs w:val="16"/>
                      </w:rPr>
                    </w:pPr>
                    <w:r w:rsidRPr="005D11FA">
                      <w:rPr>
                        <w:rFonts w:ascii="Arial" w:hAnsi="Arial" w:cs="Arial"/>
                        <w:b/>
                        <w:bCs/>
                        <w:color w:val="FFFFFF" w:themeColor="background1"/>
                        <w:sz w:val="16"/>
                        <w:szCs w:val="16"/>
                      </w:rPr>
                      <w:t>Offices: Milwaukee, WI | Washington, DC | Ottawa, Canada | Beijing, China</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C7E8" w14:textId="77777777" w:rsidR="00DB4B0D" w:rsidRDefault="00DB4B0D" w:rsidP="00B25720">
      <w:r>
        <w:separator/>
      </w:r>
    </w:p>
  </w:footnote>
  <w:footnote w:type="continuationSeparator" w:id="0">
    <w:p w14:paraId="40B8A2B7" w14:textId="77777777" w:rsidR="00DB4B0D" w:rsidRDefault="00DB4B0D" w:rsidP="00B2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439907"/>
      <w:docPartObj>
        <w:docPartGallery w:val="Page Numbers (Top of Page)"/>
        <w:docPartUnique/>
      </w:docPartObj>
    </w:sdtPr>
    <w:sdtEndPr>
      <w:rPr>
        <w:rFonts w:ascii="Arial" w:hAnsi="Arial" w:cs="Arial"/>
        <w:noProof/>
        <w:sz w:val="22"/>
        <w:szCs w:val="22"/>
      </w:rPr>
    </w:sdtEndPr>
    <w:sdtContent>
      <w:p w14:paraId="179B3B47" w14:textId="12A12E98" w:rsidR="00570210" w:rsidRPr="00570210" w:rsidRDefault="00570210">
        <w:pPr>
          <w:pStyle w:val="Header"/>
          <w:jc w:val="right"/>
          <w:rPr>
            <w:rFonts w:ascii="Arial" w:hAnsi="Arial" w:cs="Arial"/>
            <w:sz w:val="22"/>
            <w:szCs w:val="22"/>
          </w:rPr>
        </w:pPr>
        <w:r w:rsidRPr="00570210">
          <w:rPr>
            <w:rFonts w:ascii="Arial" w:hAnsi="Arial" w:cs="Arial"/>
            <w:sz w:val="22"/>
            <w:szCs w:val="22"/>
          </w:rPr>
          <w:fldChar w:fldCharType="begin"/>
        </w:r>
        <w:r w:rsidRPr="00570210">
          <w:rPr>
            <w:rFonts w:ascii="Arial" w:hAnsi="Arial" w:cs="Arial"/>
            <w:sz w:val="22"/>
            <w:szCs w:val="22"/>
          </w:rPr>
          <w:instrText xml:space="preserve"> PAGE   \* MERGEFORMAT </w:instrText>
        </w:r>
        <w:r w:rsidRPr="00570210">
          <w:rPr>
            <w:rFonts w:ascii="Arial" w:hAnsi="Arial" w:cs="Arial"/>
            <w:sz w:val="22"/>
            <w:szCs w:val="22"/>
          </w:rPr>
          <w:fldChar w:fldCharType="separate"/>
        </w:r>
        <w:r w:rsidRPr="00570210">
          <w:rPr>
            <w:rFonts w:ascii="Arial" w:hAnsi="Arial" w:cs="Arial"/>
            <w:noProof/>
            <w:sz w:val="22"/>
            <w:szCs w:val="22"/>
          </w:rPr>
          <w:t>2</w:t>
        </w:r>
        <w:r w:rsidRPr="00570210">
          <w:rPr>
            <w:rFonts w:ascii="Arial" w:hAnsi="Arial" w:cs="Arial"/>
            <w:noProof/>
            <w:sz w:val="22"/>
            <w:szCs w:val="22"/>
          </w:rPr>
          <w:fldChar w:fldCharType="end"/>
        </w:r>
      </w:p>
    </w:sdtContent>
  </w:sdt>
  <w:p w14:paraId="6AD3D9DE" w14:textId="77777777" w:rsidR="00993C73" w:rsidRPr="00570210" w:rsidRDefault="00993C73">
    <w:pPr>
      <w:pStyle w:val="Header"/>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C76F" w14:textId="376CD00B" w:rsidR="00993C73" w:rsidRPr="00570210" w:rsidRDefault="00570210">
    <w:pPr>
      <w:pStyle w:val="Header"/>
      <w:jc w:val="right"/>
      <w:rPr>
        <w:rFonts w:ascii="Arial" w:hAnsi="Arial" w:cs="Arial"/>
        <w:sz w:val="22"/>
        <w:szCs w:val="22"/>
      </w:rPr>
    </w:pPr>
    <w:r>
      <w:rPr>
        <w:noProof/>
      </w:rPr>
      <w:drawing>
        <wp:anchor distT="0" distB="0" distL="114300" distR="114300" simplePos="0" relativeHeight="251661312" behindDoc="1" locked="0" layoutInCell="1" allowOverlap="0" wp14:anchorId="6476100F" wp14:editId="2EB8DC84">
          <wp:simplePos x="0" y="0"/>
          <wp:positionH relativeFrom="page">
            <wp:align>center</wp:align>
          </wp:positionH>
          <wp:positionV relativeFrom="page">
            <wp:align>top</wp:align>
          </wp:positionV>
          <wp:extent cx="7772400" cy="1673352"/>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M_Letterhead_Milwaukee.jpg"/>
                  <pic:cNvPicPr/>
                </pic:nvPicPr>
                <pic:blipFill rotWithShape="1">
                  <a:blip r:embed="rId1">
                    <a:extLst>
                      <a:ext uri="{28A0092B-C50C-407E-A947-70E740481C1C}">
                        <a14:useLocalDpi xmlns:a14="http://schemas.microsoft.com/office/drawing/2010/main" val="0"/>
                      </a:ext>
                    </a:extLst>
                  </a:blip>
                  <a:srcRect t="-1" b="83316"/>
                  <a:stretch/>
                </pic:blipFill>
                <pic:spPr bwMode="auto">
                  <a:xfrm>
                    <a:off x="0" y="0"/>
                    <a:ext cx="7772400" cy="1673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7BCA5" w14:textId="77777777" w:rsidR="00993C73" w:rsidRPr="00570210" w:rsidRDefault="00993C73">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48F"/>
    <w:multiLevelType w:val="hybridMultilevel"/>
    <w:tmpl w:val="E968B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7801EA"/>
    <w:multiLevelType w:val="hybridMultilevel"/>
    <w:tmpl w:val="75C22E0A"/>
    <w:lvl w:ilvl="0" w:tplc="0FC8D7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C57B4"/>
    <w:multiLevelType w:val="multilevel"/>
    <w:tmpl w:val="AD9C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93870"/>
    <w:multiLevelType w:val="hybridMultilevel"/>
    <w:tmpl w:val="A3CE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C033F"/>
    <w:multiLevelType w:val="hybridMultilevel"/>
    <w:tmpl w:val="A542847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26029"/>
    <w:multiLevelType w:val="multilevel"/>
    <w:tmpl w:val="9326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D6A2C"/>
    <w:multiLevelType w:val="multilevel"/>
    <w:tmpl w:val="F4E48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4406E"/>
    <w:multiLevelType w:val="hybridMultilevel"/>
    <w:tmpl w:val="EAE290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514D2"/>
    <w:multiLevelType w:val="hybridMultilevel"/>
    <w:tmpl w:val="D8FA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53F7E"/>
    <w:multiLevelType w:val="hybridMultilevel"/>
    <w:tmpl w:val="2430B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E401D8"/>
    <w:multiLevelType w:val="hybridMultilevel"/>
    <w:tmpl w:val="FB86D3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527B7F"/>
    <w:multiLevelType w:val="hybridMultilevel"/>
    <w:tmpl w:val="4C1E6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6D7649"/>
    <w:multiLevelType w:val="hybridMultilevel"/>
    <w:tmpl w:val="20942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03C0E"/>
    <w:multiLevelType w:val="hybridMultilevel"/>
    <w:tmpl w:val="8BA4AB8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4F0469D"/>
    <w:multiLevelType w:val="hybridMultilevel"/>
    <w:tmpl w:val="F6A49D7E"/>
    <w:lvl w:ilvl="0" w:tplc="8ED63958">
      <w:start w:val="1"/>
      <w:numFmt w:val="decimal"/>
      <w:lvlText w:val="%1."/>
      <w:lvlJc w:val="left"/>
      <w:pPr>
        <w:ind w:left="720" w:hanging="360"/>
      </w:pPr>
      <w:rPr>
        <w:rFonts w:ascii="Arial" w:hAnsi="Arial" w:cs="Arial" w:hint="default"/>
      </w:rPr>
    </w:lvl>
    <w:lvl w:ilvl="1" w:tplc="15AA8E78">
      <w:start w:val="1"/>
      <w:numFmt w:val="lowerLetter"/>
      <w:lvlText w:val="%2."/>
      <w:lvlJc w:val="left"/>
      <w:pPr>
        <w:ind w:left="1440" w:hanging="360"/>
      </w:pPr>
    </w:lvl>
    <w:lvl w:ilvl="2" w:tplc="F27E845E">
      <w:start w:val="1"/>
      <w:numFmt w:val="lowerRoman"/>
      <w:lvlText w:val="%3."/>
      <w:lvlJc w:val="right"/>
      <w:pPr>
        <w:ind w:left="2160" w:hanging="180"/>
      </w:pPr>
    </w:lvl>
    <w:lvl w:ilvl="3" w:tplc="6A70E972">
      <w:start w:val="1"/>
      <w:numFmt w:val="decimal"/>
      <w:lvlText w:val="%4."/>
      <w:lvlJc w:val="left"/>
      <w:pPr>
        <w:ind w:left="2880" w:hanging="360"/>
      </w:pPr>
    </w:lvl>
    <w:lvl w:ilvl="4" w:tplc="5AACF4E4">
      <w:start w:val="1"/>
      <w:numFmt w:val="lowerLetter"/>
      <w:lvlText w:val="%5."/>
      <w:lvlJc w:val="left"/>
      <w:pPr>
        <w:ind w:left="3600" w:hanging="360"/>
      </w:pPr>
    </w:lvl>
    <w:lvl w:ilvl="5" w:tplc="74B81C38">
      <w:start w:val="1"/>
      <w:numFmt w:val="lowerRoman"/>
      <w:lvlText w:val="%6."/>
      <w:lvlJc w:val="right"/>
      <w:pPr>
        <w:ind w:left="4320" w:hanging="180"/>
      </w:pPr>
    </w:lvl>
    <w:lvl w:ilvl="6" w:tplc="F8E02AB6">
      <w:start w:val="1"/>
      <w:numFmt w:val="decimal"/>
      <w:lvlText w:val="%7."/>
      <w:lvlJc w:val="left"/>
      <w:pPr>
        <w:ind w:left="5040" w:hanging="360"/>
      </w:pPr>
    </w:lvl>
    <w:lvl w:ilvl="7" w:tplc="F76A32DC">
      <w:start w:val="1"/>
      <w:numFmt w:val="lowerLetter"/>
      <w:lvlText w:val="%8."/>
      <w:lvlJc w:val="left"/>
      <w:pPr>
        <w:ind w:left="5760" w:hanging="360"/>
      </w:pPr>
    </w:lvl>
    <w:lvl w:ilvl="8" w:tplc="6802AE0A">
      <w:start w:val="1"/>
      <w:numFmt w:val="lowerRoman"/>
      <w:lvlText w:val="%9."/>
      <w:lvlJc w:val="right"/>
      <w:pPr>
        <w:ind w:left="6480" w:hanging="180"/>
      </w:pPr>
    </w:lvl>
  </w:abstractNum>
  <w:abstractNum w:abstractNumId="15" w15:restartNumberingAfterBreak="0">
    <w:nsid w:val="258A5D0B"/>
    <w:multiLevelType w:val="hybridMultilevel"/>
    <w:tmpl w:val="90D6F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F1257"/>
    <w:multiLevelType w:val="hybridMultilevel"/>
    <w:tmpl w:val="A6D6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D70E9D"/>
    <w:multiLevelType w:val="hybridMultilevel"/>
    <w:tmpl w:val="45789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64CE6"/>
    <w:multiLevelType w:val="hybridMultilevel"/>
    <w:tmpl w:val="636ED4EE"/>
    <w:lvl w:ilvl="0" w:tplc="2AB4C3A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B1D7D"/>
    <w:multiLevelType w:val="hybridMultilevel"/>
    <w:tmpl w:val="F2844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87938"/>
    <w:multiLevelType w:val="hybridMultilevel"/>
    <w:tmpl w:val="FDBE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949A3"/>
    <w:multiLevelType w:val="multilevel"/>
    <w:tmpl w:val="655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613240"/>
    <w:multiLevelType w:val="hybridMultilevel"/>
    <w:tmpl w:val="8D36F9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7E5334"/>
    <w:multiLevelType w:val="hybridMultilevel"/>
    <w:tmpl w:val="6FDE14F4"/>
    <w:lvl w:ilvl="0" w:tplc="3A5E845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379054AB"/>
    <w:multiLevelType w:val="hybridMultilevel"/>
    <w:tmpl w:val="F54E7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C41B1A"/>
    <w:multiLevelType w:val="hybridMultilevel"/>
    <w:tmpl w:val="5B207796"/>
    <w:lvl w:ilvl="0" w:tplc="357433F0">
      <w:start w:val="1"/>
      <w:numFmt w:val="upperLetter"/>
      <w:lvlText w:val="%1."/>
      <w:lvlJc w:val="left"/>
      <w:pPr>
        <w:ind w:left="720" w:hanging="360"/>
      </w:pPr>
      <w:rPr>
        <w:rFonts w:asciiTheme="minorHAnsi" w:eastAsiaTheme="minorHAnsi" w:hAnsiTheme="minorHAnsi" w:cs="Arial"/>
      </w:rPr>
    </w:lvl>
    <w:lvl w:ilvl="1" w:tplc="4BAC61BA">
      <w:start w:val="1"/>
      <w:numFmt w:val="lowerRoman"/>
      <w:lvlText w:val="%2."/>
      <w:lvlJc w:val="left"/>
      <w:pPr>
        <w:ind w:left="1440" w:hanging="360"/>
      </w:pPr>
      <w:rPr>
        <w:rFonts w:asciiTheme="minorHAnsi" w:eastAsiaTheme="minorHAnsi" w:hAnsiTheme="minorHAns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D1CA7"/>
    <w:multiLevelType w:val="hybridMultilevel"/>
    <w:tmpl w:val="70C80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E0FD6"/>
    <w:multiLevelType w:val="multilevel"/>
    <w:tmpl w:val="5944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B14BEB"/>
    <w:multiLevelType w:val="hybridMultilevel"/>
    <w:tmpl w:val="E968B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E550D"/>
    <w:multiLevelType w:val="hybridMultilevel"/>
    <w:tmpl w:val="44DE8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FA70ED"/>
    <w:multiLevelType w:val="multilevel"/>
    <w:tmpl w:val="F39085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9E11366"/>
    <w:multiLevelType w:val="multilevel"/>
    <w:tmpl w:val="BF42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0744BE"/>
    <w:multiLevelType w:val="multilevel"/>
    <w:tmpl w:val="9ED4B144"/>
    <w:lvl w:ilvl="0">
      <w:start w:val="1"/>
      <w:numFmt w:val="bullet"/>
      <w:pStyle w:val="Bullet1"/>
      <w:lvlText w:val=""/>
      <w:lvlJc w:val="left"/>
      <w:pPr>
        <w:tabs>
          <w:tab w:val="num" w:pos="680"/>
        </w:tabs>
        <w:ind w:left="680" w:hanging="340"/>
      </w:pPr>
      <w:rPr>
        <w:rFonts w:ascii="Symbol" w:hAnsi="Symbol" w:cs="Symbol" w:hint="default"/>
        <w:color w:val="auto"/>
      </w:rPr>
    </w:lvl>
    <w:lvl w:ilvl="1">
      <w:start w:val="1"/>
      <w:numFmt w:val="bullet"/>
      <w:pStyle w:val="Bullet2"/>
      <w:lvlText w:val="-"/>
      <w:lvlJc w:val="left"/>
      <w:pPr>
        <w:tabs>
          <w:tab w:val="num" w:pos="1020"/>
        </w:tabs>
        <w:ind w:left="1020" w:hanging="340"/>
      </w:pPr>
      <w:rPr>
        <w:rFonts w:ascii="Arial" w:hAnsi="Arial" w:cs="Arial" w:hint="default"/>
        <w:color w:val="auto"/>
      </w:rPr>
    </w:lvl>
    <w:lvl w:ilvl="2">
      <w:start w:val="1"/>
      <w:numFmt w:val="bullet"/>
      <w:pStyle w:val="Bullet3"/>
      <w:lvlText w:val=""/>
      <w:lvlJc w:val="left"/>
      <w:pPr>
        <w:tabs>
          <w:tab w:val="num" w:pos="1361"/>
        </w:tabs>
        <w:ind w:left="1361" w:hanging="341"/>
      </w:pPr>
      <w:rPr>
        <w:rFonts w:ascii="Wingdings" w:hAnsi="Wingdings" w:hint="default"/>
        <w:color w:val="3EB1C8"/>
      </w:rPr>
    </w:lvl>
    <w:lvl w:ilvl="3">
      <w:start w:val="1"/>
      <w:numFmt w:val="none"/>
      <w:lvlText w:val=""/>
      <w:lvlJc w:val="left"/>
      <w:pPr>
        <w:tabs>
          <w:tab w:val="num" w:pos="340"/>
        </w:tabs>
        <w:ind w:left="-32427" w:firstLine="0"/>
      </w:pPr>
      <w:rPr>
        <w:rFonts w:hint="default"/>
      </w:rPr>
    </w:lvl>
    <w:lvl w:ilvl="4">
      <w:start w:val="1"/>
      <w:numFmt w:val="none"/>
      <w:lvlText w:val=""/>
      <w:lvlJc w:val="left"/>
      <w:pPr>
        <w:tabs>
          <w:tab w:val="num" w:pos="340"/>
        </w:tabs>
        <w:ind w:left="-32427" w:firstLine="0"/>
      </w:pPr>
      <w:rPr>
        <w:rFonts w:hint="default"/>
      </w:rPr>
    </w:lvl>
    <w:lvl w:ilvl="5">
      <w:start w:val="1"/>
      <w:numFmt w:val="none"/>
      <w:lvlText w:val=""/>
      <w:lvlJc w:val="left"/>
      <w:pPr>
        <w:tabs>
          <w:tab w:val="num" w:pos="340"/>
        </w:tabs>
        <w:ind w:left="-32427" w:firstLine="0"/>
      </w:pPr>
      <w:rPr>
        <w:rFonts w:hint="default"/>
      </w:rPr>
    </w:lvl>
    <w:lvl w:ilvl="6">
      <w:start w:val="1"/>
      <w:numFmt w:val="none"/>
      <w:lvlText w:val=""/>
      <w:lvlJc w:val="left"/>
      <w:pPr>
        <w:tabs>
          <w:tab w:val="num" w:pos="340"/>
        </w:tabs>
        <w:ind w:left="-32427" w:firstLine="0"/>
      </w:pPr>
      <w:rPr>
        <w:rFonts w:hint="default"/>
      </w:rPr>
    </w:lvl>
    <w:lvl w:ilvl="7">
      <w:start w:val="1"/>
      <w:numFmt w:val="none"/>
      <w:lvlText w:val=""/>
      <w:lvlJc w:val="left"/>
      <w:pPr>
        <w:tabs>
          <w:tab w:val="num" w:pos="340"/>
        </w:tabs>
        <w:ind w:left="-32427" w:firstLine="0"/>
      </w:pPr>
      <w:rPr>
        <w:rFonts w:hint="default"/>
      </w:rPr>
    </w:lvl>
    <w:lvl w:ilvl="8">
      <w:start w:val="1"/>
      <w:numFmt w:val="none"/>
      <w:lvlText w:val=""/>
      <w:lvlJc w:val="left"/>
      <w:pPr>
        <w:tabs>
          <w:tab w:val="num" w:pos="340"/>
        </w:tabs>
        <w:ind w:left="-32427" w:firstLine="0"/>
      </w:pPr>
      <w:rPr>
        <w:rFonts w:hint="default"/>
      </w:rPr>
    </w:lvl>
  </w:abstractNum>
  <w:abstractNum w:abstractNumId="33" w15:restartNumberingAfterBreak="0">
    <w:nsid w:val="4C3606F8"/>
    <w:multiLevelType w:val="hybridMultilevel"/>
    <w:tmpl w:val="0B842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3E484B"/>
    <w:multiLevelType w:val="hybridMultilevel"/>
    <w:tmpl w:val="9288111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355392F"/>
    <w:multiLevelType w:val="multilevel"/>
    <w:tmpl w:val="F1B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D25C3A"/>
    <w:multiLevelType w:val="hybridMultilevel"/>
    <w:tmpl w:val="DD64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FE5887"/>
    <w:multiLevelType w:val="hybridMultilevel"/>
    <w:tmpl w:val="8E0CD6CA"/>
    <w:lvl w:ilvl="0" w:tplc="E550BC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6D6BE7"/>
    <w:multiLevelType w:val="hybridMultilevel"/>
    <w:tmpl w:val="A7F4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D20511"/>
    <w:multiLevelType w:val="hybridMultilevel"/>
    <w:tmpl w:val="FA96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0E19FD"/>
    <w:multiLevelType w:val="hybridMultilevel"/>
    <w:tmpl w:val="5AA26FF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BA6A3C"/>
    <w:multiLevelType w:val="hybridMultilevel"/>
    <w:tmpl w:val="B5E2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4F3CCC"/>
    <w:multiLevelType w:val="multilevel"/>
    <w:tmpl w:val="17A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DE3A9C"/>
    <w:multiLevelType w:val="hybridMultilevel"/>
    <w:tmpl w:val="110652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5715A51"/>
    <w:multiLevelType w:val="hybridMultilevel"/>
    <w:tmpl w:val="157CB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C13AC6"/>
    <w:multiLevelType w:val="hybridMultilevel"/>
    <w:tmpl w:val="66C656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282997"/>
    <w:multiLevelType w:val="multilevel"/>
    <w:tmpl w:val="79B21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503577"/>
    <w:multiLevelType w:val="hybridMultilevel"/>
    <w:tmpl w:val="FE54A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762572"/>
    <w:multiLevelType w:val="hybridMultilevel"/>
    <w:tmpl w:val="F99808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C010FC8"/>
    <w:multiLevelType w:val="hybridMultilevel"/>
    <w:tmpl w:val="1EF4CD26"/>
    <w:lvl w:ilvl="0" w:tplc="70A4D6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410311">
    <w:abstractNumId w:val="36"/>
  </w:num>
  <w:num w:numId="2" w16cid:durableId="2010938102">
    <w:abstractNumId w:val="9"/>
  </w:num>
  <w:num w:numId="3" w16cid:durableId="776027028">
    <w:abstractNumId w:val="24"/>
  </w:num>
  <w:num w:numId="4" w16cid:durableId="409356146">
    <w:abstractNumId w:val="3"/>
  </w:num>
  <w:num w:numId="5" w16cid:durableId="1477646563">
    <w:abstractNumId w:val="8"/>
  </w:num>
  <w:num w:numId="6" w16cid:durableId="862792910">
    <w:abstractNumId w:val="12"/>
  </w:num>
  <w:num w:numId="7" w16cid:durableId="880630033">
    <w:abstractNumId w:val="39"/>
  </w:num>
  <w:num w:numId="8" w16cid:durableId="321085871">
    <w:abstractNumId w:val="15"/>
  </w:num>
  <w:num w:numId="9" w16cid:durableId="6258184">
    <w:abstractNumId w:val="41"/>
  </w:num>
  <w:num w:numId="10" w16cid:durableId="1996645760">
    <w:abstractNumId w:val="17"/>
  </w:num>
  <w:num w:numId="11" w16cid:durableId="1250190881">
    <w:abstractNumId w:val="20"/>
  </w:num>
  <w:num w:numId="12" w16cid:durableId="57754405">
    <w:abstractNumId w:val="47"/>
  </w:num>
  <w:num w:numId="13" w16cid:durableId="1998806210">
    <w:abstractNumId w:val="37"/>
  </w:num>
  <w:num w:numId="14" w16cid:durableId="1408696599">
    <w:abstractNumId w:val="14"/>
  </w:num>
  <w:num w:numId="15" w16cid:durableId="10377016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121034">
    <w:abstractNumId w:val="19"/>
  </w:num>
  <w:num w:numId="17" w16cid:durableId="882987022">
    <w:abstractNumId w:val="28"/>
  </w:num>
  <w:num w:numId="18" w16cid:durableId="793475512">
    <w:abstractNumId w:val="25"/>
  </w:num>
  <w:num w:numId="19" w16cid:durableId="1201092863">
    <w:abstractNumId w:val="26"/>
  </w:num>
  <w:num w:numId="20" w16cid:durableId="794521894">
    <w:abstractNumId w:val="0"/>
  </w:num>
  <w:num w:numId="21" w16cid:durableId="1776901034">
    <w:abstractNumId w:val="33"/>
  </w:num>
  <w:num w:numId="22" w16cid:durableId="481430335">
    <w:abstractNumId w:val="18"/>
  </w:num>
  <w:num w:numId="23" w16cid:durableId="580214975">
    <w:abstractNumId w:val="49"/>
  </w:num>
  <w:num w:numId="24" w16cid:durableId="899945859">
    <w:abstractNumId w:val="1"/>
  </w:num>
  <w:num w:numId="25" w16cid:durableId="656347864">
    <w:abstractNumId w:val="34"/>
  </w:num>
  <w:num w:numId="26" w16cid:durableId="333146585">
    <w:abstractNumId w:val="13"/>
  </w:num>
  <w:num w:numId="27" w16cid:durableId="998582202">
    <w:abstractNumId w:val="32"/>
  </w:num>
  <w:num w:numId="28" w16cid:durableId="1732843464">
    <w:abstractNumId w:val="45"/>
  </w:num>
  <w:num w:numId="29" w16cid:durableId="1845974448">
    <w:abstractNumId w:val="7"/>
  </w:num>
  <w:num w:numId="30" w16cid:durableId="1331757839">
    <w:abstractNumId w:val="48"/>
  </w:num>
  <w:num w:numId="31" w16cid:durableId="1942494281">
    <w:abstractNumId w:val="22"/>
  </w:num>
  <w:num w:numId="32" w16cid:durableId="884483448">
    <w:abstractNumId w:val="16"/>
  </w:num>
  <w:num w:numId="33" w16cid:durableId="696466511">
    <w:abstractNumId w:val="43"/>
  </w:num>
  <w:num w:numId="34" w16cid:durableId="1803844147">
    <w:abstractNumId w:val="38"/>
  </w:num>
  <w:num w:numId="35" w16cid:durableId="1337802736">
    <w:abstractNumId w:val="11"/>
  </w:num>
  <w:num w:numId="36" w16cid:durableId="344987080">
    <w:abstractNumId w:val="10"/>
  </w:num>
  <w:num w:numId="37" w16cid:durableId="1899390760">
    <w:abstractNumId w:val="4"/>
  </w:num>
  <w:num w:numId="38" w16cid:durableId="1212229570">
    <w:abstractNumId w:val="40"/>
  </w:num>
  <w:num w:numId="39" w16cid:durableId="316955087">
    <w:abstractNumId w:val="21"/>
  </w:num>
  <w:num w:numId="40" w16cid:durableId="795566373">
    <w:abstractNumId w:val="46"/>
  </w:num>
  <w:num w:numId="41" w16cid:durableId="1005591733">
    <w:abstractNumId w:val="6"/>
  </w:num>
  <w:num w:numId="42" w16cid:durableId="757797353">
    <w:abstractNumId w:val="27"/>
  </w:num>
  <w:num w:numId="43" w16cid:durableId="608584968">
    <w:abstractNumId w:val="2"/>
  </w:num>
  <w:num w:numId="44" w16cid:durableId="462583339">
    <w:abstractNumId w:val="35"/>
  </w:num>
  <w:num w:numId="45" w16cid:durableId="1914927875">
    <w:abstractNumId w:val="31"/>
  </w:num>
  <w:num w:numId="46" w16cid:durableId="314337824">
    <w:abstractNumId w:val="42"/>
  </w:num>
  <w:num w:numId="47" w16cid:durableId="2040812502">
    <w:abstractNumId w:val="5"/>
  </w:num>
  <w:num w:numId="48" w16cid:durableId="867570698">
    <w:abstractNumId w:val="44"/>
  </w:num>
  <w:num w:numId="49" w16cid:durableId="182020110">
    <w:abstractNumId w:val="29"/>
  </w:num>
  <w:num w:numId="50" w16cid:durableId="49757942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E9"/>
    <w:rsid w:val="00002C3F"/>
    <w:rsid w:val="00010E15"/>
    <w:rsid w:val="000143CD"/>
    <w:rsid w:val="000156A2"/>
    <w:rsid w:val="000172AA"/>
    <w:rsid w:val="00022FD5"/>
    <w:rsid w:val="0002313C"/>
    <w:rsid w:val="00031AAB"/>
    <w:rsid w:val="00033A2F"/>
    <w:rsid w:val="0003750C"/>
    <w:rsid w:val="000454BF"/>
    <w:rsid w:val="000455AF"/>
    <w:rsid w:val="00045A5C"/>
    <w:rsid w:val="0005488D"/>
    <w:rsid w:val="000556B5"/>
    <w:rsid w:val="000568E7"/>
    <w:rsid w:val="00060D66"/>
    <w:rsid w:val="00062398"/>
    <w:rsid w:val="000625C1"/>
    <w:rsid w:val="00063146"/>
    <w:rsid w:val="0006617F"/>
    <w:rsid w:val="00071E72"/>
    <w:rsid w:val="00077923"/>
    <w:rsid w:val="00090E33"/>
    <w:rsid w:val="00090F2B"/>
    <w:rsid w:val="00092437"/>
    <w:rsid w:val="000942F0"/>
    <w:rsid w:val="000A2D2D"/>
    <w:rsid w:val="000A56CD"/>
    <w:rsid w:val="000A6880"/>
    <w:rsid w:val="000A7E08"/>
    <w:rsid w:val="000B02E7"/>
    <w:rsid w:val="000B16DC"/>
    <w:rsid w:val="000C3DEB"/>
    <w:rsid w:val="000C73F1"/>
    <w:rsid w:val="000D04BD"/>
    <w:rsid w:val="000D0529"/>
    <w:rsid w:val="000D4B5F"/>
    <w:rsid w:val="000E024F"/>
    <w:rsid w:val="000E59C3"/>
    <w:rsid w:val="00112037"/>
    <w:rsid w:val="001126BF"/>
    <w:rsid w:val="00113D61"/>
    <w:rsid w:val="001144B6"/>
    <w:rsid w:val="0012291A"/>
    <w:rsid w:val="00122C69"/>
    <w:rsid w:val="00123091"/>
    <w:rsid w:val="00126C44"/>
    <w:rsid w:val="00131B61"/>
    <w:rsid w:val="00132A8F"/>
    <w:rsid w:val="00136D65"/>
    <w:rsid w:val="00141C1A"/>
    <w:rsid w:val="00164364"/>
    <w:rsid w:val="00166F62"/>
    <w:rsid w:val="0016701A"/>
    <w:rsid w:val="001724BC"/>
    <w:rsid w:val="001738E5"/>
    <w:rsid w:val="00182813"/>
    <w:rsid w:val="001966E7"/>
    <w:rsid w:val="00197E33"/>
    <w:rsid w:val="001A0563"/>
    <w:rsid w:val="001A545E"/>
    <w:rsid w:val="001B0D03"/>
    <w:rsid w:val="001B413E"/>
    <w:rsid w:val="001B4DE3"/>
    <w:rsid w:val="001C0201"/>
    <w:rsid w:val="001C0BA9"/>
    <w:rsid w:val="001C1C35"/>
    <w:rsid w:val="001C598C"/>
    <w:rsid w:val="001C7385"/>
    <w:rsid w:val="001C7C87"/>
    <w:rsid w:val="001D2931"/>
    <w:rsid w:val="001D5BB4"/>
    <w:rsid w:val="001D5D76"/>
    <w:rsid w:val="001D7A71"/>
    <w:rsid w:val="001D7A7D"/>
    <w:rsid w:val="001E7783"/>
    <w:rsid w:val="001F1331"/>
    <w:rsid w:val="002013DF"/>
    <w:rsid w:val="00210710"/>
    <w:rsid w:val="00210B2E"/>
    <w:rsid w:val="00210C93"/>
    <w:rsid w:val="00212E93"/>
    <w:rsid w:val="00214297"/>
    <w:rsid w:val="00216AA3"/>
    <w:rsid w:val="00216B0C"/>
    <w:rsid w:val="00220329"/>
    <w:rsid w:val="00223D13"/>
    <w:rsid w:val="00230F8D"/>
    <w:rsid w:val="00232644"/>
    <w:rsid w:val="00235013"/>
    <w:rsid w:val="002372C8"/>
    <w:rsid w:val="002418B8"/>
    <w:rsid w:val="00243E05"/>
    <w:rsid w:val="00252B3B"/>
    <w:rsid w:val="00253006"/>
    <w:rsid w:val="00254A5B"/>
    <w:rsid w:val="0026041E"/>
    <w:rsid w:val="002677FB"/>
    <w:rsid w:val="00281314"/>
    <w:rsid w:val="00282E64"/>
    <w:rsid w:val="00283A09"/>
    <w:rsid w:val="00286194"/>
    <w:rsid w:val="002914D1"/>
    <w:rsid w:val="002A15C9"/>
    <w:rsid w:val="002A5616"/>
    <w:rsid w:val="002A6547"/>
    <w:rsid w:val="002A768A"/>
    <w:rsid w:val="002B11B3"/>
    <w:rsid w:val="002B139C"/>
    <w:rsid w:val="002B14A4"/>
    <w:rsid w:val="002B15D8"/>
    <w:rsid w:val="002C10A5"/>
    <w:rsid w:val="002C5EFC"/>
    <w:rsid w:val="002D60C6"/>
    <w:rsid w:val="002E2B18"/>
    <w:rsid w:val="002E7FB5"/>
    <w:rsid w:val="002F0D50"/>
    <w:rsid w:val="002F1444"/>
    <w:rsid w:val="002F24F2"/>
    <w:rsid w:val="002F2797"/>
    <w:rsid w:val="003057A6"/>
    <w:rsid w:val="00326D88"/>
    <w:rsid w:val="00330946"/>
    <w:rsid w:val="00332C1F"/>
    <w:rsid w:val="0033353A"/>
    <w:rsid w:val="00333BC2"/>
    <w:rsid w:val="00334071"/>
    <w:rsid w:val="003341C2"/>
    <w:rsid w:val="0033659E"/>
    <w:rsid w:val="0034451C"/>
    <w:rsid w:val="00346F81"/>
    <w:rsid w:val="00353F17"/>
    <w:rsid w:val="0035500B"/>
    <w:rsid w:val="0037687C"/>
    <w:rsid w:val="0038426B"/>
    <w:rsid w:val="00391D63"/>
    <w:rsid w:val="003962ED"/>
    <w:rsid w:val="00397B45"/>
    <w:rsid w:val="003A37D8"/>
    <w:rsid w:val="003A6CF9"/>
    <w:rsid w:val="003A6E00"/>
    <w:rsid w:val="003B21F0"/>
    <w:rsid w:val="003B747D"/>
    <w:rsid w:val="003C3DE5"/>
    <w:rsid w:val="003C677E"/>
    <w:rsid w:val="003C699C"/>
    <w:rsid w:val="003C7C6A"/>
    <w:rsid w:val="003D06DE"/>
    <w:rsid w:val="003D5010"/>
    <w:rsid w:val="003D5718"/>
    <w:rsid w:val="003E1F0D"/>
    <w:rsid w:val="003E41EF"/>
    <w:rsid w:val="003E5546"/>
    <w:rsid w:val="003E5A0F"/>
    <w:rsid w:val="003E7D53"/>
    <w:rsid w:val="003F2D68"/>
    <w:rsid w:val="00402756"/>
    <w:rsid w:val="00403150"/>
    <w:rsid w:val="00404E39"/>
    <w:rsid w:val="00407D6E"/>
    <w:rsid w:val="0041500F"/>
    <w:rsid w:val="004233E7"/>
    <w:rsid w:val="0042426E"/>
    <w:rsid w:val="0042614F"/>
    <w:rsid w:val="004276D7"/>
    <w:rsid w:val="004331F9"/>
    <w:rsid w:val="004345DA"/>
    <w:rsid w:val="00434A52"/>
    <w:rsid w:val="00444504"/>
    <w:rsid w:val="00463A22"/>
    <w:rsid w:val="00463DE4"/>
    <w:rsid w:val="0046462D"/>
    <w:rsid w:val="0046513F"/>
    <w:rsid w:val="00467272"/>
    <w:rsid w:val="00471294"/>
    <w:rsid w:val="00481ADA"/>
    <w:rsid w:val="00487FFE"/>
    <w:rsid w:val="00492143"/>
    <w:rsid w:val="00492167"/>
    <w:rsid w:val="00492BAD"/>
    <w:rsid w:val="004B05B8"/>
    <w:rsid w:val="004B6149"/>
    <w:rsid w:val="004E56B0"/>
    <w:rsid w:val="004E5A7F"/>
    <w:rsid w:val="004E6892"/>
    <w:rsid w:val="004F0444"/>
    <w:rsid w:val="004F0999"/>
    <w:rsid w:val="004F2B6B"/>
    <w:rsid w:val="004F4516"/>
    <w:rsid w:val="0050577E"/>
    <w:rsid w:val="00511133"/>
    <w:rsid w:val="005126F1"/>
    <w:rsid w:val="005159A4"/>
    <w:rsid w:val="00526BDA"/>
    <w:rsid w:val="00533D01"/>
    <w:rsid w:val="00537755"/>
    <w:rsid w:val="00543F5B"/>
    <w:rsid w:val="005465E8"/>
    <w:rsid w:val="005503C3"/>
    <w:rsid w:val="005672B4"/>
    <w:rsid w:val="00570210"/>
    <w:rsid w:val="0057544F"/>
    <w:rsid w:val="00577F59"/>
    <w:rsid w:val="00584516"/>
    <w:rsid w:val="00594E3C"/>
    <w:rsid w:val="00596FAD"/>
    <w:rsid w:val="00597931"/>
    <w:rsid w:val="005B45B7"/>
    <w:rsid w:val="005B5CD1"/>
    <w:rsid w:val="005B6301"/>
    <w:rsid w:val="005C0CAE"/>
    <w:rsid w:val="005D0333"/>
    <w:rsid w:val="005D58C5"/>
    <w:rsid w:val="005E31D5"/>
    <w:rsid w:val="00601993"/>
    <w:rsid w:val="00602CAC"/>
    <w:rsid w:val="006133BF"/>
    <w:rsid w:val="00615803"/>
    <w:rsid w:val="00620AF5"/>
    <w:rsid w:val="00620F75"/>
    <w:rsid w:val="0062101B"/>
    <w:rsid w:val="0062111B"/>
    <w:rsid w:val="00625690"/>
    <w:rsid w:val="00625931"/>
    <w:rsid w:val="00632FE7"/>
    <w:rsid w:val="006338F4"/>
    <w:rsid w:val="00637724"/>
    <w:rsid w:val="00642AB8"/>
    <w:rsid w:val="00644F6E"/>
    <w:rsid w:val="0065238A"/>
    <w:rsid w:val="0065543B"/>
    <w:rsid w:val="0065714F"/>
    <w:rsid w:val="006615BE"/>
    <w:rsid w:val="00664CD5"/>
    <w:rsid w:val="006661FC"/>
    <w:rsid w:val="00666FCA"/>
    <w:rsid w:val="00667478"/>
    <w:rsid w:val="00670D50"/>
    <w:rsid w:val="006865CE"/>
    <w:rsid w:val="00691C45"/>
    <w:rsid w:val="00694796"/>
    <w:rsid w:val="006A468F"/>
    <w:rsid w:val="006A54AD"/>
    <w:rsid w:val="006B3FEA"/>
    <w:rsid w:val="006B7329"/>
    <w:rsid w:val="006C5469"/>
    <w:rsid w:val="006D65E7"/>
    <w:rsid w:val="006D7770"/>
    <w:rsid w:val="006E5A87"/>
    <w:rsid w:val="006F701D"/>
    <w:rsid w:val="00700F59"/>
    <w:rsid w:val="007049CB"/>
    <w:rsid w:val="00704F75"/>
    <w:rsid w:val="0070636B"/>
    <w:rsid w:val="00707FE3"/>
    <w:rsid w:val="007123C3"/>
    <w:rsid w:val="00715154"/>
    <w:rsid w:val="0071708F"/>
    <w:rsid w:val="00723F42"/>
    <w:rsid w:val="00725129"/>
    <w:rsid w:val="007264A3"/>
    <w:rsid w:val="0074325C"/>
    <w:rsid w:val="00745865"/>
    <w:rsid w:val="00747C6A"/>
    <w:rsid w:val="007501BC"/>
    <w:rsid w:val="00756A31"/>
    <w:rsid w:val="0076081C"/>
    <w:rsid w:val="007621AE"/>
    <w:rsid w:val="00767230"/>
    <w:rsid w:val="0077278F"/>
    <w:rsid w:val="007749FF"/>
    <w:rsid w:val="00786259"/>
    <w:rsid w:val="00787D1A"/>
    <w:rsid w:val="007900B5"/>
    <w:rsid w:val="00791E60"/>
    <w:rsid w:val="0079393A"/>
    <w:rsid w:val="00796710"/>
    <w:rsid w:val="007A3A11"/>
    <w:rsid w:val="007A47D6"/>
    <w:rsid w:val="007A534A"/>
    <w:rsid w:val="007A67C0"/>
    <w:rsid w:val="007B2348"/>
    <w:rsid w:val="007B26F1"/>
    <w:rsid w:val="007B3C6E"/>
    <w:rsid w:val="007B76B4"/>
    <w:rsid w:val="007D0641"/>
    <w:rsid w:val="007D66B7"/>
    <w:rsid w:val="007E702E"/>
    <w:rsid w:val="00812AF7"/>
    <w:rsid w:val="00815A48"/>
    <w:rsid w:val="00815DFA"/>
    <w:rsid w:val="0081746D"/>
    <w:rsid w:val="00820010"/>
    <w:rsid w:val="0082196A"/>
    <w:rsid w:val="00821A08"/>
    <w:rsid w:val="008259B5"/>
    <w:rsid w:val="00841F5E"/>
    <w:rsid w:val="00843834"/>
    <w:rsid w:val="008475D8"/>
    <w:rsid w:val="00850A30"/>
    <w:rsid w:val="00850AC7"/>
    <w:rsid w:val="008512B1"/>
    <w:rsid w:val="0085153B"/>
    <w:rsid w:val="008516BA"/>
    <w:rsid w:val="00855883"/>
    <w:rsid w:val="00855928"/>
    <w:rsid w:val="008563D4"/>
    <w:rsid w:val="00856F25"/>
    <w:rsid w:val="00860771"/>
    <w:rsid w:val="008622D1"/>
    <w:rsid w:val="0086580D"/>
    <w:rsid w:val="00865F1C"/>
    <w:rsid w:val="0086748A"/>
    <w:rsid w:val="0087126D"/>
    <w:rsid w:val="00873D74"/>
    <w:rsid w:val="00883CF9"/>
    <w:rsid w:val="0088754C"/>
    <w:rsid w:val="008A493B"/>
    <w:rsid w:val="008B127E"/>
    <w:rsid w:val="008C316C"/>
    <w:rsid w:val="008C35F4"/>
    <w:rsid w:val="008C4996"/>
    <w:rsid w:val="008D388F"/>
    <w:rsid w:val="008D4048"/>
    <w:rsid w:val="008D6206"/>
    <w:rsid w:val="008E0074"/>
    <w:rsid w:val="008F109F"/>
    <w:rsid w:val="008F1CA8"/>
    <w:rsid w:val="008F2720"/>
    <w:rsid w:val="009016E8"/>
    <w:rsid w:val="0090207C"/>
    <w:rsid w:val="00902DF7"/>
    <w:rsid w:val="00904136"/>
    <w:rsid w:val="00910CBD"/>
    <w:rsid w:val="0091490E"/>
    <w:rsid w:val="009152AD"/>
    <w:rsid w:val="0092116B"/>
    <w:rsid w:val="00922FBD"/>
    <w:rsid w:val="009235AD"/>
    <w:rsid w:val="00924E31"/>
    <w:rsid w:val="00930FFF"/>
    <w:rsid w:val="00936C10"/>
    <w:rsid w:val="009418C1"/>
    <w:rsid w:val="00946C46"/>
    <w:rsid w:val="00947261"/>
    <w:rsid w:val="00947D7A"/>
    <w:rsid w:val="0095297A"/>
    <w:rsid w:val="0095747B"/>
    <w:rsid w:val="00963D0D"/>
    <w:rsid w:val="009720A9"/>
    <w:rsid w:val="00973615"/>
    <w:rsid w:val="00976B64"/>
    <w:rsid w:val="009770D4"/>
    <w:rsid w:val="00980569"/>
    <w:rsid w:val="009854B6"/>
    <w:rsid w:val="00986BE4"/>
    <w:rsid w:val="00992A9B"/>
    <w:rsid w:val="00993C73"/>
    <w:rsid w:val="00993CBE"/>
    <w:rsid w:val="00994E7A"/>
    <w:rsid w:val="009A192E"/>
    <w:rsid w:val="009A4E6A"/>
    <w:rsid w:val="009B1500"/>
    <w:rsid w:val="009B5AA8"/>
    <w:rsid w:val="009C7CF9"/>
    <w:rsid w:val="009D3AEE"/>
    <w:rsid w:val="009E154D"/>
    <w:rsid w:val="009E7C68"/>
    <w:rsid w:val="009F5834"/>
    <w:rsid w:val="009F60AD"/>
    <w:rsid w:val="00A04A60"/>
    <w:rsid w:val="00A25B5E"/>
    <w:rsid w:val="00A30150"/>
    <w:rsid w:val="00A309FB"/>
    <w:rsid w:val="00A36A8E"/>
    <w:rsid w:val="00A42D24"/>
    <w:rsid w:val="00A63209"/>
    <w:rsid w:val="00A642E1"/>
    <w:rsid w:val="00A67842"/>
    <w:rsid w:val="00A74F99"/>
    <w:rsid w:val="00A924EB"/>
    <w:rsid w:val="00A941C8"/>
    <w:rsid w:val="00A947C5"/>
    <w:rsid w:val="00A95BFE"/>
    <w:rsid w:val="00AA108A"/>
    <w:rsid w:val="00AA19B2"/>
    <w:rsid w:val="00AB4F4A"/>
    <w:rsid w:val="00AB682D"/>
    <w:rsid w:val="00AB6A51"/>
    <w:rsid w:val="00AB6DB3"/>
    <w:rsid w:val="00AC0AA7"/>
    <w:rsid w:val="00AC22C9"/>
    <w:rsid w:val="00AC33D6"/>
    <w:rsid w:val="00AC39D6"/>
    <w:rsid w:val="00AC4B7E"/>
    <w:rsid w:val="00AC54CD"/>
    <w:rsid w:val="00AC5DE7"/>
    <w:rsid w:val="00AC6F9D"/>
    <w:rsid w:val="00AD45B2"/>
    <w:rsid w:val="00AE2DBF"/>
    <w:rsid w:val="00B00998"/>
    <w:rsid w:val="00B04551"/>
    <w:rsid w:val="00B047E8"/>
    <w:rsid w:val="00B04D23"/>
    <w:rsid w:val="00B15E54"/>
    <w:rsid w:val="00B1784F"/>
    <w:rsid w:val="00B25720"/>
    <w:rsid w:val="00B27F30"/>
    <w:rsid w:val="00B31CE5"/>
    <w:rsid w:val="00B338AC"/>
    <w:rsid w:val="00B373D8"/>
    <w:rsid w:val="00B40BE9"/>
    <w:rsid w:val="00B41076"/>
    <w:rsid w:val="00B412B3"/>
    <w:rsid w:val="00B465DC"/>
    <w:rsid w:val="00B60B24"/>
    <w:rsid w:val="00B62C64"/>
    <w:rsid w:val="00B63E8C"/>
    <w:rsid w:val="00B641B7"/>
    <w:rsid w:val="00B65358"/>
    <w:rsid w:val="00B65415"/>
    <w:rsid w:val="00B72475"/>
    <w:rsid w:val="00B73596"/>
    <w:rsid w:val="00B74B63"/>
    <w:rsid w:val="00B80241"/>
    <w:rsid w:val="00B82843"/>
    <w:rsid w:val="00B840A0"/>
    <w:rsid w:val="00B84195"/>
    <w:rsid w:val="00B8482A"/>
    <w:rsid w:val="00B85CBE"/>
    <w:rsid w:val="00B97411"/>
    <w:rsid w:val="00BA2B73"/>
    <w:rsid w:val="00BA35A9"/>
    <w:rsid w:val="00BA39DA"/>
    <w:rsid w:val="00BA4A84"/>
    <w:rsid w:val="00BA748E"/>
    <w:rsid w:val="00BC3196"/>
    <w:rsid w:val="00BD4DDE"/>
    <w:rsid w:val="00BD5C87"/>
    <w:rsid w:val="00BD666C"/>
    <w:rsid w:val="00BD6FA0"/>
    <w:rsid w:val="00BE3F62"/>
    <w:rsid w:val="00BE513C"/>
    <w:rsid w:val="00BF0A96"/>
    <w:rsid w:val="00BF379D"/>
    <w:rsid w:val="00BF4431"/>
    <w:rsid w:val="00BF5A67"/>
    <w:rsid w:val="00BF6B88"/>
    <w:rsid w:val="00C00B3E"/>
    <w:rsid w:val="00C05D09"/>
    <w:rsid w:val="00C065F5"/>
    <w:rsid w:val="00C06E2A"/>
    <w:rsid w:val="00C07703"/>
    <w:rsid w:val="00C15755"/>
    <w:rsid w:val="00C24894"/>
    <w:rsid w:val="00C30975"/>
    <w:rsid w:val="00C33464"/>
    <w:rsid w:val="00C431CE"/>
    <w:rsid w:val="00C46CE2"/>
    <w:rsid w:val="00C47CFB"/>
    <w:rsid w:val="00C5074F"/>
    <w:rsid w:val="00C5151A"/>
    <w:rsid w:val="00C52B3B"/>
    <w:rsid w:val="00C55573"/>
    <w:rsid w:val="00C56E43"/>
    <w:rsid w:val="00C57D8A"/>
    <w:rsid w:val="00C60868"/>
    <w:rsid w:val="00C66661"/>
    <w:rsid w:val="00C76985"/>
    <w:rsid w:val="00C76C2F"/>
    <w:rsid w:val="00C77796"/>
    <w:rsid w:val="00C80A10"/>
    <w:rsid w:val="00C83C29"/>
    <w:rsid w:val="00C84627"/>
    <w:rsid w:val="00C871F7"/>
    <w:rsid w:val="00C90E37"/>
    <w:rsid w:val="00C919E4"/>
    <w:rsid w:val="00CA1226"/>
    <w:rsid w:val="00CA465C"/>
    <w:rsid w:val="00CC1E10"/>
    <w:rsid w:val="00CD1789"/>
    <w:rsid w:val="00CD3012"/>
    <w:rsid w:val="00CD3743"/>
    <w:rsid w:val="00CD732D"/>
    <w:rsid w:val="00CE2A91"/>
    <w:rsid w:val="00CE6F67"/>
    <w:rsid w:val="00CF089C"/>
    <w:rsid w:val="00CF13F2"/>
    <w:rsid w:val="00D125EC"/>
    <w:rsid w:val="00D14C55"/>
    <w:rsid w:val="00D14F8C"/>
    <w:rsid w:val="00D177AF"/>
    <w:rsid w:val="00D3166C"/>
    <w:rsid w:val="00D32BE4"/>
    <w:rsid w:val="00D34E52"/>
    <w:rsid w:val="00D363F1"/>
    <w:rsid w:val="00D4024F"/>
    <w:rsid w:val="00D46614"/>
    <w:rsid w:val="00D52671"/>
    <w:rsid w:val="00D5584C"/>
    <w:rsid w:val="00D5653F"/>
    <w:rsid w:val="00D5728D"/>
    <w:rsid w:val="00D7088D"/>
    <w:rsid w:val="00D73B18"/>
    <w:rsid w:val="00D813AD"/>
    <w:rsid w:val="00D95D9A"/>
    <w:rsid w:val="00D9776E"/>
    <w:rsid w:val="00DA7920"/>
    <w:rsid w:val="00DB4B0D"/>
    <w:rsid w:val="00DB6614"/>
    <w:rsid w:val="00DC17DA"/>
    <w:rsid w:val="00DC3367"/>
    <w:rsid w:val="00DC7216"/>
    <w:rsid w:val="00DC7D3E"/>
    <w:rsid w:val="00DD1C48"/>
    <w:rsid w:val="00DD36B4"/>
    <w:rsid w:val="00DE55FE"/>
    <w:rsid w:val="00DE5CD7"/>
    <w:rsid w:val="00DE7D32"/>
    <w:rsid w:val="00DF042A"/>
    <w:rsid w:val="00DF0D6C"/>
    <w:rsid w:val="00E031CE"/>
    <w:rsid w:val="00E031F6"/>
    <w:rsid w:val="00E06D1D"/>
    <w:rsid w:val="00E072DA"/>
    <w:rsid w:val="00E1036F"/>
    <w:rsid w:val="00E16290"/>
    <w:rsid w:val="00E20018"/>
    <w:rsid w:val="00E22421"/>
    <w:rsid w:val="00E232D2"/>
    <w:rsid w:val="00E248A5"/>
    <w:rsid w:val="00E302B7"/>
    <w:rsid w:val="00E33DA9"/>
    <w:rsid w:val="00E36700"/>
    <w:rsid w:val="00E41358"/>
    <w:rsid w:val="00E44F6E"/>
    <w:rsid w:val="00E504A2"/>
    <w:rsid w:val="00E526BA"/>
    <w:rsid w:val="00E630EC"/>
    <w:rsid w:val="00E664A6"/>
    <w:rsid w:val="00E7750A"/>
    <w:rsid w:val="00E77D15"/>
    <w:rsid w:val="00E828E0"/>
    <w:rsid w:val="00E84AE3"/>
    <w:rsid w:val="00E85BC2"/>
    <w:rsid w:val="00E92A08"/>
    <w:rsid w:val="00E92DFB"/>
    <w:rsid w:val="00EA3B7C"/>
    <w:rsid w:val="00EA77EA"/>
    <w:rsid w:val="00EB2AD8"/>
    <w:rsid w:val="00EB4A9E"/>
    <w:rsid w:val="00EC68CD"/>
    <w:rsid w:val="00EE15DA"/>
    <w:rsid w:val="00EE39FA"/>
    <w:rsid w:val="00EF32D5"/>
    <w:rsid w:val="00EF5529"/>
    <w:rsid w:val="00F1074B"/>
    <w:rsid w:val="00F14B8A"/>
    <w:rsid w:val="00F14C8A"/>
    <w:rsid w:val="00F20397"/>
    <w:rsid w:val="00F377C2"/>
    <w:rsid w:val="00F407B3"/>
    <w:rsid w:val="00F51640"/>
    <w:rsid w:val="00F579BD"/>
    <w:rsid w:val="00F64A52"/>
    <w:rsid w:val="00F66C4C"/>
    <w:rsid w:val="00F72A47"/>
    <w:rsid w:val="00F81514"/>
    <w:rsid w:val="00F82793"/>
    <w:rsid w:val="00F832C8"/>
    <w:rsid w:val="00F870A9"/>
    <w:rsid w:val="00F87905"/>
    <w:rsid w:val="00F90853"/>
    <w:rsid w:val="00FA4EB1"/>
    <w:rsid w:val="00FC078E"/>
    <w:rsid w:val="00FC1F15"/>
    <w:rsid w:val="00FC2E96"/>
    <w:rsid w:val="00FC5AEF"/>
    <w:rsid w:val="00FC6B18"/>
    <w:rsid w:val="00FD1D67"/>
    <w:rsid w:val="00FD3863"/>
    <w:rsid w:val="00FD7F47"/>
    <w:rsid w:val="00FE2721"/>
    <w:rsid w:val="00FE329E"/>
    <w:rsid w:val="00FE4A29"/>
    <w:rsid w:val="00FE6D87"/>
    <w:rsid w:val="00FF39E3"/>
    <w:rsid w:val="00FF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C18979"/>
  <w14:defaultImageDpi w14:val="32767"/>
  <w15:chartTrackingRefBased/>
  <w15:docId w15:val="{71AD1B2C-B443-5A48-9189-8743A927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232D2"/>
  </w:style>
  <w:style w:type="paragraph" w:styleId="Heading1">
    <w:name w:val="heading 1"/>
    <w:basedOn w:val="Normal"/>
    <w:next w:val="Normal"/>
    <w:link w:val="Heading1Char"/>
    <w:uiPriority w:val="9"/>
    <w:qFormat/>
    <w:rsid w:val="00993C73"/>
    <w:pPr>
      <w:keepNext/>
      <w:outlineLvl w:val="0"/>
    </w:pPr>
    <w:rPr>
      <w:rFonts w:ascii="Arial" w:hAnsi="Arial"/>
      <w:i/>
      <w:iCs/>
      <w:sz w:val="22"/>
      <w:szCs w:val="22"/>
      <w:u w:val="single"/>
    </w:rPr>
  </w:style>
  <w:style w:type="paragraph" w:styleId="Heading2">
    <w:name w:val="heading 2"/>
    <w:basedOn w:val="Normal"/>
    <w:next w:val="Normal"/>
    <w:link w:val="Heading2Char"/>
    <w:uiPriority w:val="9"/>
    <w:unhideWhenUsed/>
    <w:qFormat/>
    <w:rsid w:val="00131B61"/>
    <w:pPr>
      <w:keepNext/>
      <w:outlineLvl w:val="1"/>
    </w:pPr>
    <w:rPr>
      <w:rFonts w:ascii="Arial" w:hAnsi="Arial" w:cs="Arial"/>
      <w:sz w:val="22"/>
      <w:szCs w:val="22"/>
      <w:u w:val="single"/>
    </w:rPr>
  </w:style>
  <w:style w:type="paragraph" w:styleId="Heading3">
    <w:name w:val="heading 3"/>
    <w:basedOn w:val="Normal"/>
    <w:next w:val="Normal"/>
    <w:link w:val="Heading3Char"/>
    <w:uiPriority w:val="9"/>
    <w:unhideWhenUsed/>
    <w:qFormat/>
    <w:rsid w:val="002D60C6"/>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720"/>
    <w:pPr>
      <w:tabs>
        <w:tab w:val="center" w:pos="4680"/>
        <w:tab w:val="right" w:pos="9360"/>
      </w:tabs>
    </w:pPr>
  </w:style>
  <w:style w:type="character" w:customStyle="1" w:styleId="HeaderChar">
    <w:name w:val="Header Char"/>
    <w:basedOn w:val="DefaultParagraphFont"/>
    <w:link w:val="Header"/>
    <w:uiPriority w:val="99"/>
    <w:rsid w:val="00B25720"/>
  </w:style>
  <w:style w:type="paragraph" w:styleId="Footer">
    <w:name w:val="footer"/>
    <w:basedOn w:val="Normal"/>
    <w:link w:val="FooterChar"/>
    <w:uiPriority w:val="99"/>
    <w:unhideWhenUsed/>
    <w:rsid w:val="00B25720"/>
    <w:pPr>
      <w:tabs>
        <w:tab w:val="center" w:pos="4680"/>
        <w:tab w:val="right" w:pos="9360"/>
      </w:tabs>
    </w:pPr>
  </w:style>
  <w:style w:type="character" w:customStyle="1" w:styleId="FooterChar">
    <w:name w:val="Footer Char"/>
    <w:basedOn w:val="DefaultParagraphFont"/>
    <w:link w:val="Footer"/>
    <w:uiPriority w:val="99"/>
    <w:rsid w:val="00B25720"/>
  </w:style>
  <w:style w:type="paragraph" w:styleId="NormalWeb">
    <w:name w:val="Normal (Web)"/>
    <w:basedOn w:val="Normal"/>
    <w:uiPriority w:val="99"/>
    <w:unhideWhenUsed/>
    <w:rsid w:val="00855883"/>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993C73"/>
    <w:rPr>
      <w:rFonts w:ascii="Arial" w:hAnsi="Arial"/>
      <w:i/>
      <w:iCs/>
      <w:sz w:val="22"/>
      <w:szCs w:val="22"/>
      <w:u w:val="single"/>
    </w:rPr>
  </w:style>
  <w:style w:type="paragraph" w:styleId="ListParagraph">
    <w:name w:val="List Paragraph"/>
    <w:basedOn w:val="Normal"/>
    <w:uiPriority w:val="34"/>
    <w:qFormat/>
    <w:rsid w:val="00993C73"/>
    <w:pPr>
      <w:ind w:left="720"/>
      <w:contextualSpacing/>
    </w:pPr>
    <w:rPr>
      <w:rFonts w:ascii="Arial" w:hAnsi="Arial"/>
      <w:sz w:val="22"/>
      <w:szCs w:val="22"/>
    </w:rPr>
  </w:style>
  <w:style w:type="character" w:styleId="Hyperlink">
    <w:name w:val="Hyperlink"/>
    <w:basedOn w:val="DefaultParagraphFont"/>
    <w:uiPriority w:val="99"/>
    <w:unhideWhenUsed/>
    <w:rsid w:val="00993C73"/>
    <w:rPr>
      <w:color w:val="0563C1" w:themeColor="hyperlink"/>
      <w:u w:val="single"/>
    </w:rPr>
  </w:style>
  <w:style w:type="paragraph" w:styleId="BodyText">
    <w:name w:val="Body Text"/>
    <w:basedOn w:val="Normal"/>
    <w:link w:val="BodyTextChar"/>
    <w:uiPriority w:val="99"/>
    <w:unhideWhenUsed/>
    <w:rsid w:val="00570210"/>
    <w:rPr>
      <w:rFonts w:ascii="Arial" w:hAnsi="Arial" w:cs="Arial"/>
      <w:b/>
      <w:bCs/>
      <w:sz w:val="22"/>
      <w:szCs w:val="22"/>
    </w:rPr>
  </w:style>
  <w:style w:type="character" w:customStyle="1" w:styleId="BodyTextChar">
    <w:name w:val="Body Text Char"/>
    <w:basedOn w:val="DefaultParagraphFont"/>
    <w:link w:val="BodyText"/>
    <w:uiPriority w:val="99"/>
    <w:rsid w:val="00570210"/>
    <w:rPr>
      <w:rFonts w:ascii="Arial" w:hAnsi="Arial" w:cs="Arial"/>
      <w:b/>
      <w:bCs/>
      <w:sz w:val="22"/>
      <w:szCs w:val="22"/>
    </w:rPr>
  </w:style>
  <w:style w:type="character" w:customStyle="1" w:styleId="Heading2Char">
    <w:name w:val="Heading 2 Char"/>
    <w:basedOn w:val="DefaultParagraphFont"/>
    <w:link w:val="Heading2"/>
    <w:uiPriority w:val="9"/>
    <w:rsid w:val="00131B61"/>
    <w:rPr>
      <w:rFonts w:ascii="Arial" w:hAnsi="Arial" w:cs="Arial"/>
      <w:sz w:val="22"/>
      <w:szCs w:val="22"/>
      <w:u w:val="single"/>
    </w:rPr>
  </w:style>
  <w:style w:type="paragraph" w:styleId="BodyText2">
    <w:name w:val="Body Text 2"/>
    <w:basedOn w:val="Normal"/>
    <w:link w:val="BodyText2Char"/>
    <w:uiPriority w:val="99"/>
    <w:unhideWhenUsed/>
    <w:rsid w:val="00131B61"/>
    <w:rPr>
      <w:rFonts w:ascii="Arial" w:hAnsi="Arial" w:cs="Arial"/>
      <w:sz w:val="22"/>
      <w:szCs w:val="22"/>
    </w:rPr>
  </w:style>
  <w:style w:type="character" w:customStyle="1" w:styleId="BodyText2Char">
    <w:name w:val="Body Text 2 Char"/>
    <w:basedOn w:val="DefaultParagraphFont"/>
    <w:link w:val="BodyText2"/>
    <w:uiPriority w:val="99"/>
    <w:rsid w:val="00131B61"/>
    <w:rPr>
      <w:rFonts w:ascii="Arial" w:hAnsi="Arial" w:cs="Arial"/>
      <w:sz w:val="22"/>
      <w:szCs w:val="22"/>
    </w:rPr>
  </w:style>
  <w:style w:type="character" w:styleId="FollowedHyperlink">
    <w:name w:val="FollowedHyperlink"/>
    <w:basedOn w:val="DefaultParagraphFont"/>
    <w:uiPriority w:val="99"/>
    <w:semiHidden/>
    <w:unhideWhenUsed/>
    <w:rsid w:val="00D5728D"/>
    <w:rPr>
      <w:color w:val="954F72" w:themeColor="followedHyperlink"/>
      <w:u w:val="single"/>
    </w:rPr>
  </w:style>
  <w:style w:type="character" w:styleId="FootnoteReference">
    <w:name w:val="footnote reference"/>
    <w:basedOn w:val="DefaultParagraphFont"/>
    <w:uiPriority w:val="99"/>
    <w:unhideWhenUsed/>
    <w:qFormat/>
    <w:rsid w:val="00620AF5"/>
    <w:rPr>
      <w:vertAlign w:val="superscript"/>
    </w:rPr>
  </w:style>
  <w:style w:type="character" w:customStyle="1" w:styleId="FootnoteTextChar">
    <w:name w:val="Footnote Text Char"/>
    <w:basedOn w:val="DefaultParagraphFont"/>
    <w:link w:val="FootnoteText"/>
    <w:uiPriority w:val="99"/>
    <w:rsid w:val="00620AF5"/>
    <w:rPr>
      <w:sz w:val="20"/>
      <w:szCs w:val="20"/>
    </w:rPr>
  </w:style>
  <w:style w:type="paragraph" w:styleId="FootnoteText">
    <w:name w:val="footnote text"/>
    <w:basedOn w:val="Normal"/>
    <w:link w:val="FootnoteTextChar"/>
    <w:uiPriority w:val="99"/>
    <w:unhideWhenUsed/>
    <w:qFormat/>
    <w:rsid w:val="00620AF5"/>
    <w:rPr>
      <w:sz w:val="20"/>
      <w:szCs w:val="20"/>
    </w:rPr>
  </w:style>
  <w:style w:type="character" w:customStyle="1" w:styleId="FootnoteTextChar1">
    <w:name w:val="Footnote Text Char1"/>
    <w:basedOn w:val="DefaultParagraphFont"/>
    <w:uiPriority w:val="99"/>
    <w:semiHidden/>
    <w:rsid w:val="00620AF5"/>
    <w:rPr>
      <w:sz w:val="20"/>
      <w:szCs w:val="20"/>
    </w:rPr>
  </w:style>
  <w:style w:type="character" w:customStyle="1" w:styleId="normaltextrun">
    <w:name w:val="normaltextrun"/>
    <w:basedOn w:val="DefaultParagraphFont"/>
    <w:rsid w:val="00620AF5"/>
  </w:style>
  <w:style w:type="paragraph" w:styleId="NoSpacing">
    <w:name w:val="No Spacing"/>
    <w:uiPriority w:val="1"/>
    <w:qFormat/>
    <w:rsid w:val="0046513F"/>
  </w:style>
  <w:style w:type="table" w:styleId="PlainTable3">
    <w:name w:val="Plain Table 3"/>
    <w:basedOn w:val="TableNormal"/>
    <w:uiPriority w:val="43"/>
    <w:rsid w:val="009F60A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700F59"/>
    <w:rPr>
      <w:sz w:val="16"/>
      <w:szCs w:val="16"/>
    </w:rPr>
  </w:style>
  <w:style w:type="paragraph" w:styleId="CommentText">
    <w:name w:val="annotation text"/>
    <w:basedOn w:val="Normal"/>
    <w:link w:val="CommentTextChar"/>
    <w:uiPriority w:val="99"/>
    <w:unhideWhenUsed/>
    <w:rsid w:val="00700F59"/>
    <w:rPr>
      <w:sz w:val="20"/>
      <w:szCs w:val="20"/>
    </w:rPr>
  </w:style>
  <w:style w:type="character" w:customStyle="1" w:styleId="CommentTextChar">
    <w:name w:val="Comment Text Char"/>
    <w:basedOn w:val="DefaultParagraphFont"/>
    <w:link w:val="CommentText"/>
    <w:uiPriority w:val="99"/>
    <w:rsid w:val="00700F59"/>
    <w:rPr>
      <w:sz w:val="20"/>
      <w:szCs w:val="20"/>
    </w:rPr>
  </w:style>
  <w:style w:type="paragraph" w:styleId="CommentSubject">
    <w:name w:val="annotation subject"/>
    <w:basedOn w:val="CommentText"/>
    <w:next w:val="CommentText"/>
    <w:link w:val="CommentSubjectChar"/>
    <w:uiPriority w:val="99"/>
    <w:semiHidden/>
    <w:unhideWhenUsed/>
    <w:rsid w:val="00700F59"/>
    <w:rPr>
      <w:b/>
      <w:bCs/>
    </w:rPr>
  </w:style>
  <w:style w:type="character" w:customStyle="1" w:styleId="CommentSubjectChar">
    <w:name w:val="Comment Subject Char"/>
    <w:basedOn w:val="CommentTextChar"/>
    <w:link w:val="CommentSubject"/>
    <w:uiPriority w:val="99"/>
    <w:semiHidden/>
    <w:rsid w:val="00700F59"/>
    <w:rPr>
      <w:b/>
      <w:bCs/>
      <w:sz w:val="20"/>
      <w:szCs w:val="20"/>
    </w:rPr>
  </w:style>
  <w:style w:type="character" w:styleId="Strong">
    <w:name w:val="Strong"/>
    <w:basedOn w:val="DefaultParagraphFont"/>
    <w:uiPriority w:val="22"/>
    <w:qFormat/>
    <w:rsid w:val="00141C1A"/>
    <w:rPr>
      <w:b/>
      <w:bCs/>
    </w:rPr>
  </w:style>
  <w:style w:type="paragraph" w:customStyle="1" w:styleId="Bullet1">
    <w:name w:val="~Bullet1"/>
    <w:basedOn w:val="Normal"/>
    <w:uiPriority w:val="3"/>
    <w:qFormat/>
    <w:rsid w:val="00C66661"/>
    <w:pPr>
      <w:numPr>
        <w:numId w:val="27"/>
      </w:numPr>
      <w:spacing w:after="180" w:line="252" w:lineRule="auto"/>
      <w:jc w:val="both"/>
    </w:pPr>
    <w:rPr>
      <w:rFonts w:eastAsia="Calibri" w:cs="Arial"/>
      <w:sz w:val="20"/>
      <w:szCs w:val="21"/>
      <w:lang w:val="en-GB"/>
    </w:rPr>
  </w:style>
  <w:style w:type="paragraph" w:customStyle="1" w:styleId="Bullet2">
    <w:name w:val="~Bullet2"/>
    <w:basedOn w:val="Bullet1"/>
    <w:uiPriority w:val="3"/>
    <w:qFormat/>
    <w:rsid w:val="00C66661"/>
    <w:pPr>
      <w:numPr>
        <w:ilvl w:val="1"/>
      </w:numPr>
    </w:pPr>
  </w:style>
  <w:style w:type="paragraph" w:customStyle="1" w:styleId="Bullet3">
    <w:name w:val="~Bullet3"/>
    <w:basedOn w:val="Bullet2"/>
    <w:uiPriority w:val="3"/>
    <w:qFormat/>
    <w:rsid w:val="00C66661"/>
    <w:pPr>
      <w:numPr>
        <w:ilvl w:val="2"/>
      </w:numPr>
      <w:tabs>
        <w:tab w:val="left" w:pos="1021"/>
      </w:tabs>
    </w:pPr>
  </w:style>
  <w:style w:type="character" w:styleId="UnresolvedMention">
    <w:name w:val="Unresolved Mention"/>
    <w:basedOn w:val="DefaultParagraphFont"/>
    <w:uiPriority w:val="99"/>
    <w:rsid w:val="00B72475"/>
    <w:rPr>
      <w:color w:val="605E5C"/>
      <w:shd w:val="clear" w:color="auto" w:fill="E1DFDD"/>
    </w:rPr>
  </w:style>
  <w:style w:type="paragraph" w:customStyle="1" w:styleId="Default">
    <w:name w:val="Default"/>
    <w:rsid w:val="005126F1"/>
    <w:pPr>
      <w:autoSpaceDE w:val="0"/>
      <w:autoSpaceDN w:val="0"/>
      <w:adjustRightInd w:val="0"/>
    </w:pPr>
    <w:rPr>
      <w:rFonts w:ascii="Arial" w:hAnsi="Arial" w:cs="Arial"/>
      <w:color w:val="000000"/>
    </w:rPr>
  </w:style>
  <w:style w:type="character" w:customStyle="1" w:styleId="Heading3Char">
    <w:name w:val="Heading 3 Char"/>
    <w:basedOn w:val="DefaultParagraphFont"/>
    <w:link w:val="Heading3"/>
    <w:uiPriority w:val="9"/>
    <w:rsid w:val="002D60C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7698">
      <w:bodyDiv w:val="1"/>
      <w:marLeft w:val="0"/>
      <w:marRight w:val="0"/>
      <w:marTop w:val="0"/>
      <w:marBottom w:val="0"/>
      <w:divBdr>
        <w:top w:val="none" w:sz="0" w:space="0" w:color="auto"/>
        <w:left w:val="none" w:sz="0" w:space="0" w:color="auto"/>
        <w:bottom w:val="none" w:sz="0" w:space="0" w:color="auto"/>
        <w:right w:val="none" w:sz="0" w:space="0" w:color="auto"/>
      </w:divBdr>
    </w:div>
    <w:div w:id="19431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malcore@aem.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54347CB2EB7946978AFC78B68603C6" ma:contentTypeVersion="10" ma:contentTypeDescription="Create a new document." ma:contentTypeScope="" ma:versionID="5d6ccc4370a9b2d29e6334243a415919">
  <xsd:schema xmlns:xsd="http://www.w3.org/2001/XMLSchema" xmlns:xs="http://www.w3.org/2001/XMLSchema" xmlns:p="http://schemas.microsoft.com/office/2006/metadata/properties" xmlns:ns2="7aa30c80-b9da-4a2c-aacd-2676d40171d6" xmlns:ns3="60c47280-9585-46c8-a0d6-839ed55d1862" targetNamespace="http://schemas.microsoft.com/office/2006/metadata/properties" ma:root="true" ma:fieldsID="879eabd5f7ef0b32ac9cf8b39bf8c694" ns2:_="" ns3:_="">
    <xsd:import namespace="7aa30c80-b9da-4a2c-aacd-2676d40171d6"/>
    <xsd:import namespace="60c47280-9585-46c8-a0d6-839ed55d1862"/>
    <xsd:element name="properties">
      <xsd:complexType>
        <xsd:sequence>
          <xsd:element name="documentManagement">
            <xsd:complexType>
              <xsd:all>
                <xsd:element ref="ns2:d12ebef6aceb4def93bf9914b3c8192e" minOccurs="0"/>
                <xsd:element ref="ns3:TaxCatchAll" minOccurs="0"/>
                <xsd:element ref="ns2:pf11c76804b847a282ce441f441664bd" minOccurs="0"/>
                <xsd:element ref="ns2:bf1a2f2082c64172b1d0605d8daa993f" minOccurs="0"/>
                <xsd:element ref="ns2:j9e6fbb4f34e470f8a8de8badf2e19e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30c80-b9da-4a2c-aacd-2676d40171d6" elementFormDefault="qualified">
    <xsd:import namespace="http://schemas.microsoft.com/office/2006/documentManagement/types"/>
    <xsd:import namespace="http://schemas.microsoft.com/office/infopath/2007/PartnerControls"/>
    <xsd:element name="d12ebef6aceb4def93bf9914b3c8192e" ma:index="9" nillable="true" ma:taxonomy="true" ma:internalName="d12ebef6aceb4def93bf9914b3c8192e" ma:taxonomyFieldName="AEM_x0020_Standard_x0020_Terms" ma:displayName="AEM Standard Terms" ma:default="" ma:fieldId="{d12ebef6-aceb-4def-93bf-9914b3c8192e}" ma:taxonomyMulti="true" ma:sspId="0e040bc4-ce12-46bb-b15e-ae0838933480" ma:termSetId="754860ec-bcdb-4552-991e-77884f376416" ma:anchorId="00000000-0000-0000-0000-000000000000" ma:open="false" ma:isKeyword="false">
      <xsd:complexType>
        <xsd:sequence>
          <xsd:element ref="pc:Terms" minOccurs="0" maxOccurs="1"/>
        </xsd:sequence>
      </xsd:complexType>
    </xsd:element>
    <xsd:element name="pf11c76804b847a282ce441f441664bd" ma:index="12" nillable="true" ma:taxonomy="true" ma:internalName="pf11c76804b847a282ce441f441664bd" ma:taxonomyFieldName="Category" ma:displayName="Category" ma:readOnly="false" ma:default="" ma:fieldId="{9f11c768-04b8-47a2-82ce-441f441664bd}" ma:sspId="0e040bc4-ce12-46bb-b15e-ae0838933480" ma:termSetId="40219472-c230-44cf-9efe-6235bef93310" ma:anchorId="00000000-0000-0000-0000-000000000000" ma:open="false" ma:isKeyword="false">
      <xsd:complexType>
        <xsd:sequence>
          <xsd:element ref="pc:Terms" minOccurs="0" maxOccurs="1"/>
        </xsd:sequence>
      </xsd:complexType>
    </xsd:element>
    <xsd:element name="bf1a2f2082c64172b1d0605d8daa993f" ma:index="14" nillable="true" ma:taxonomy="true" ma:internalName="bf1a2f2082c64172b1d0605d8daa993f" ma:taxonomyFieldName="Year" ma:displayName="Year" ma:default="" ma:fieldId="{bf1a2f20-82c6-4172-b1d0-605d8daa993f}" ma:sspId="0e040bc4-ce12-46bb-b15e-ae0838933480" ma:termSetId="5ac1fb5a-957d-4a8e-9fb4-5111b3e83e55" ma:anchorId="00000000-0000-0000-0000-000000000000" ma:open="false" ma:isKeyword="false">
      <xsd:complexType>
        <xsd:sequence>
          <xsd:element ref="pc:Terms" minOccurs="0" maxOccurs="1"/>
        </xsd:sequence>
      </xsd:complexType>
    </xsd:element>
    <xsd:element name="j9e6fbb4f34e470f8a8de8badf2e19e3" ma:index="16" nillable="true" ma:taxonomy="true" ma:internalName="j9e6fbb4f34e470f8a8de8badf2e19e3" ma:taxonomyFieldName="Logo_x0020_Type" ma:displayName="Logo Type" ma:default="" ma:fieldId="{39e6fbb4-f34e-470f-8a8d-e8badf2e19e3}" ma:sspId="0e040bc4-ce12-46bb-b15e-ae0838933480" ma:termSetId="c34ac323-9760-4503-aa20-657354e8f3ae" ma:anchorId="bc7a8d6d-c093-4ff7-9996-5604768c534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c47280-9585-46c8-a0d6-839ed55d1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66d597f-6976-4e0a-89a7-40ad25de1c32}" ma:internalName="TaxCatchAll" ma:showField="CatchAllData" ma:web="60c47280-9585-46c8-a0d6-839ed55d1862">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12ebef6aceb4def93bf9914b3c8192e xmlns="7aa30c80-b9da-4a2c-aacd-2676d40171d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fda98871-aa05-4f27-998d-0fa39d508173</TermId>
        </TermInfo>
      </Terms>
    </d12ebef6aceb4def93bf9914b3c8192e>
    <bf1a2f2082c64172b1d0605d8daa993f xmlns="7aa30c80-b9da-4a2c-aacd-2676d40171d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7a78deba-8f4f-4eb6-b458-5cba4466858c</TermId>
        </TermInfo>
      </Terms>
    </bf1a2f2082c64172b1d0605d8daa993f>
    <pf11c76804b847a282ce441f441664bd xmlns="7aa30c80-b9da-4a2c-aacd-2676d40171d6">
      <Terms xmlns="http://schemas.microsoft.com/office/infopath/2007/PartnerControls">
        <TermInfo xmlns="http://schemas.microsoft.com/office/infopath/2007/PartnerControls">
          <TermName xmlns="http://schemas.microsoft.com/office/infopath/2007/PartnerControls">Letterhead Business Systems</TermName>
          <TermId xmlns="http://schemas.microsoft.com/office/infopath/2007/PartnerControls">b0620e2b-704e-4f79-be16-9c57b24684fc</TermId>
        </TermInfo>
      </Terms>
    </pf11c76804b847a282ce441f441664bd>
    <TaxCatchAll xmlns="60c47280-9585-46c8-a0d6-839ed55d1862">
      <Value>34</Value>
      <Value>110</Value>
      <Value>358</Value>
    </TaxCatchAll>
    <j9e6fbb4f34e470f8a8de8badf2e19e3 xmlns="7aa30c80-b9da-4a2c-aacd-2676d40171d6">
      <Terms xmlns="http://schemas.microsoft.com/office/infopath/2007/PartnerControls"/>
    </j9e6fbb4f34e470f8a8de8badf2e19e3>
    <_dlc_DocId xmlns="60c47280-9585-46c8-a0d6-839ed55d1862">JFY5YJ4473V3-385870244-226</_dlc_DocId>
    <_dlc_DocIdUrl xmlns="60c47280-9585-46c8-a0d6-839ed55d1862">
      <Url>http://sharepoint13.aem.org/_layouts/15/DocIdRedir.aspx?ID=JFY5YJ4473V3-385870244-226</Url>
      <Description>JFY5YJ4473V3-385870244-226</Description>
    </_dlc_DocIdUrl>
  </documentManagement>
</p:properties>
</file>

<file path=customXml/itemProps1.xml><?xml version="1.0" encoding="utf-8"?>
<ds:datastoreItem xmlns:ds="http://schemas.openxmlformats.org/officeDocument/2006/customXml" ds:itemID="{104F940B-45D0-4299-9F84-F0C7E122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30c80-b9da-4a2c-aacd-2676d40171d6"/>
    <ds:schemaRef ds:uri="60c47280-9585-46c8-a0d6-839ed55d1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F0D17-7B2D-4891-87BA-ED9D5E6DFBD3}">
  <ds:schemaRefs>
    <ds:schemaRef ds:uri="http://schemas.openxmlformats.org/officeDocument/2006/bibliography"/>
  </ds:schemaRefs>
</ds:datastoreItem>
</file>

<file path=customXml/itemProps3.xml><?xml version="1.0" encoding="utf-8"?>
<ds:datastoreItem xmlns:ds="http://schemas.openxmlformats.org/officeDocument/2006/customXml" ds:itemID="{8EB774A2-7FA6-4E7C-AD06-786B4DDADCDE}">
  <ds:schemaRefs>
    <ds:schemaRef ds:uri="http://schemas.microsoft.com/sharepoint/events"/>
  </ds:schemaRefs>
</ds:datastoreItem>
</file>

<file path=customXml/itemProps4.xml><?xml version="1.0" encoding="utf-8"?>
<ds:datastoreItem xmlns:ds="http://schemas.openxmlformats.org/officeDocument/2006/customXml" ds:itemID="{64E57F4B-EC81-46DD-B792-D4D7D8F7975B}">
  <ds:schemaRefs>
    <ds:schemaRef ds:uri="http://schemas.microsoft.com/sharepoint/v3/contenttype/forms"/>
  </ds:schemaRefs>
</ds:datastoreItem>
</file>

<file path=customXml/itemProps5.xml><?xml version="1.0" encoding="utf-8"?>
<ds:datastoreItem xmlns:ds="http://schemas.openxmlformats.org/officeDocument/2006/customXml" ds:itemID="{4CD99F57-89F1-4755-BF8C-D548743ECA6C}">
  <ds:schemaRefs>
    <ds:schemaRef ds:uri="http://schemas.microsoft.com/office/2006/metadata/properties"/>
    <ds:schemaRef ds:uri="http://schemas.microsoft.com/office/infopath/2007/PartnerControls"/>
    <ds:schemaRef ds:uri="7aa30c80-b9da-4a2c-aacd-2676d40171d6"/>
    <ds:schemaRef ds:uri="60c47280-9585-46c8-a0d6-839ed55d1862"/>
  </ds:schemaRefs>
</ds:datastoreItem>
</file>

<file path=docProps/app.xml><?xml version="1.0" encoding="utf-8"?>
<Properties xmlns="http://schemas.openxmlformats.org/officeDocument/2006/extended-properties" xmlns:vt="http://schemas.openxmlformats.org/officeDocument/2006/docPropsVTypes">
  <Template>Normal.dotm</Template>
  <TotalTime>5936</TotalTime>
  <Pages>10</Pages>
  <Words>6017</Words>
  <Characters>33155</Characters>
  <Application>Microsoft Office Word</Application>
  <DocSecurity>0</DocSecurity>
  <Lines>705</Lines>
  <Paragraphs>602</Paragraphs>
  <ScaleCrop>false</ScaleCrop>
  <HeadingPairs>
    <vt:vector size="2" baseType="variant">
      <vt:variant>
        <vt:lpstr>Title</vt:lpstr>
      </vt:variant>
      <vt:variant>
        <vt:i4>1</vt:i4>
      </vt:variant>
    </vt:vector>
  </HeadingPairs>
  <TitlesOfParts>
    <vt:vector size="1" baseType="lpstr">
      <vt:lpstr>AEM Milwaukee Letterhead</vt:lpstr>
    </vt:vector>
  </TitlesOfParts>
  <Company/>
  <LinksUpToDate>false</LinksUpToDate>
  <CharactersWithSpaces>38570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AEM Milwaukee Letterhead</dc:title>
  <dc:subject/>
  <dc:creator>Microsoft Office User</dc:creator>
  <cp:keywords/>
  <dc:description/>
  <cp:lastModifiedBy>Jason Malcore</cp:lastModifiedBy>
  <cp:revision>185</cp:revision>
  <cp:lastPrinted>2021-12-23T20:49:00Z</cp:lastPrinted>
  <dcterms:created xsi:type="dcterms:W3CDTF">2026-03-24T22:27:00Z</dcterms:created>
  <dcterms:modified xsi:type="dcterms:W3CDTF">2026-03-29T18:31:00Z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0x0101005D54347CB2EB7946978AFC78B68603C6</vt:lpwstr>
  </property>
  <property fmtid="{D5CDD505-2E9C-101B-9397-08002B2CF9AE}" pid="3" name="_dlc_DocIdItemGuid">
    <vt:lpwstr>a31e3b26-32ea-4724-94b1-e3eedb6b13dc</vt:lpwstr>
  </property>
  <property fmtid="{D5CDD505-2E9C-101B-9397-08002B2CF9AE}" pid="4" name="Category">
    <vt:lpwstr>358;#Letterhead Business Systems|b0620e2b-704e-4f79-be16-9c57b24684fc</vt:lpwstr>
  </property>
  <property fmtid="{D5CDD505-2E9C-101B-9397-08002B2CF9AE}" pid="5" name="Year">
    <vt:lpwstr>110;#2020|7a78deba-8f4f-4eb6-b458-5cba4466858c</vt:lpwstr>
  </property>
  <property fmtid="{D5CDD505-2E9C-101B-9397-08002B2CF9AE}" pid="6" name="AEM Standard Terms">
    <vt:lpwstr>34;#Template|fda98871-aa05-4f27-998d-0fa39d508173</vt:lpwstr>
  </property>
  <property fmtid="{D5CDD505-2E9C-101B-9397-08002B2CF9AE}" pid="7" name="Logo Type">
    <vt:lpwstr/>
  </property>
</Properties>
</file>