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FBC4" w14:textId="77777777" w:rsidR="00DA63AB" w:rsidRDefault="00DA63AB" w:rsidP="00057DEE"/>
    <w:p w14:paraId="59C21A57" w14:textId="77777777" w:rsidR="00520DCF" w:rsidRDefault="00520DCF" w:rsidP="00520DCF">
      <w:r>
        <w:t xml:space="preserve">July 7, 2026 </w:t>
      </w:r>
    </w:p>
    <w:p w14:paraId="06795CA4" w14:textId="77777777" w:rsidR="00520DCF" w:rsidRDefault="00520DCF" w:rsidP="00520DCF">
      <w:pPr>
        <w:spacing w:after="0"/>
      </w:pPr>
      <w:r>
        <w:t xml:space="preserve">Minnesota Pollution Control Agency </w:t>
      </w:r>
    </w:p>
    <w:p w14:paraId="78E3BBAB" w14:textId="77777777" w:rsidR="00520DCF" w:rsidRDefault="00520DCF" w:rsidP="00520DCF">
      <w:pPr>
        <w:spacing w:after="0"/>
      </w:pPr>
      <w:r>
        <w:t xml:space="preserve">Attn: Alison Cameron </w:t>
      </w:r>
    </w:p>
    <w:p w14:paraId="53A382E2" w14:textId="77777777" w:rsidR="00520DCF" w:rsidRDefault="00520DCF" w:rsidP="00520DCF">
      <w:pPr>
        <w:spacing w:after="0"/>
      </w:pPr>
      <w:r>
        <w:t xml:space="preserve">520 Lafayette Rd N </w:t>
      </w:r>
    </w:p>
    <w:p w14:paraId="42E10A5E" w14:textId="77777777" w:rsidR="00520DCF" w:rsidRDefault="00520DCF" w:rsidP="00520DCF">
      <w:pPr>
        <w:spacing w:after="0"/>
      </w:pPr>
      <w:r>
        <w:t xml:space="preserve">Saint Paul, MN 55155 </w:t>
      </w:r>
    </w:p>
    <w:p w14:paraId="2F688A28" w14:textId="77777777" w:rsidR="00520DCF" w:rsidRPr="00520DCF" w:rsidRDefault="00520DCF" w:rsidP="00520DCF">
      <w:pPr>
        <w:spacing w:after="0"/>
        <w:rPr>
          <w:b/>
          <w:bCs/>
        </w:rPr>
      </w:pPr>
    </w:p>
    <w:p w14:paraId="606CFD3A" w14:textId="5888E9BC" w:rsidR="00DA63AB" w:rsidRDefault="00520DCF" w:rsidP="00520DCF">
      <w:pPr>
        <w:rPr>
          <w:b/>
          <w:bCs/>
        </w:rPr>
      </w:pPr>
      <w:r w:rsidRPr="00520DCF">
        <w:rPr>
          <w:b/>
          <w:bCs/>
        </w:rPr>
        <w:t>Comments on the Draft Resource Management Report</w:t>
      </w:r>
    </w:p>
    <w:p w14:paraId="010A70BE" w14:textId="77777777" w:rsidR="00520DCF" w:rsidRDefault="00520DCF" w:rsidP="00520DCF">
      <w:pPr>
        <w:rPr>
          <w:b/>
          <w:bCs/>
        </w:rPr>
      </w:pPr>
    </w:p>
    <w:p w14:paraId="28CA2B58" w14:textId="0D635A3F" w:rsidR="00520DCF" w:rsidRDefault="00520DCF" w:rsidP="00520DCF">
      <w:r>
        <w:t xml:space="preserve">Dear Ms. Cameron, </w:t>
      </w:r>
    </w:p>
    <w:p w14:paraId="3D6A6589" w14:textId="09A0B17B" w:rsidR="00520DCF" w:rsidRDefault="00BE7403" w:rsidP="00520DCF">
      <w:r w:rsidRPr="00BE7403">
        <w:t xml:space="preserve">Thank you for the opportunity to review and comment on the draft Minnesota Resource Management Report released for comment May 2026. </w:t>
      </w:r>
      <w:r>
        <w:t>Property and E</w:t>
      </w:r>
      <w:r w:rsidRPr="00BE7403">
        <w:t>nvironmental Services staff are providing the following comments for your consideration.</w:t>
      </w:r>
    </w:p>
    <w:p w14:paraId="44C1E054" w14:textId="6C2820A4" w:rsidR="00BE7403" w:rsidRDefault="00BE7403" w:rsidP="00520DCF"/>
    <w:tbl>
      <w:tblPr>
        <w:tblStyle w:val="TableGrid"/>
        <w:tblW w:w="0" w:type="auto"/>
        <w:tblLayout w:type="fixed"/>
        <w:tblLook w:val="04A0" w:firstRow="1" w:lastRow="0" w:firstColumn="1" w:lastColumn="0" w:noHBand="0" w:noVBand="1"/>
      </w:tblPr>
      <w:tblGrid>
        <w:gridCol w:w="783"/>
        <w:gridCol w:w="4162"/>
        <w:gridCol w:w="4405"/>
      </w:tblGrid>
      <w:tr w:rsidR="00604480" w14:paraId="69DD8ECB" w14:textId="77777777" w:rsidTr="00123358">
        <w:tc>
          <w:tcPr>
            <w:tcW w:w="783" w:type="dxa"/>
          </w:tcPr>
          <w:p w14:paraId="7A8951AA" w14:textId="77777777" w:rsidR="00604480" w:rsidRDefault="00604480" w:rsidP="00123358">
            <w:r>
              <w:t>PAGE</w:t>
            </w:r>
          </w:p>
        </w:tc>
        <w:tc>
          <w:tcPr>
            <w:tcW w:w="4162" w:type="dxa"/>
          </w:tcPr>
          <w:p w14:paraId="010EF008" w14:textId="39A6FF40" w:rsidR="00604480" w:rsidRDefault="00DA5621" w:rsidP="00123358">
            <w:r>
              <w:t xml:space="preserve">REPORT </w:t>
            </w:r>
            <w:r w:rsidR="00604480">
              <w:t>STATEMENT</w:t>
            </w:r>
          </w:p>
        </w:tc>
        <w:tc>
          <w:tcPr>
            <w:tcW w:w="4405" w:type="dxa"/>
          </w:tcPr>
          <w:p w14:paraId="351B0D64" w14:textId="7231C700" w:rsidR="00604480" w:rsidRDefault="00604480" w:rsidP="00123358">
            <w:r>
              <w:t>COMMENT</w:t>
            </w:r>
            <w:r w:rsidR="00DA5621">
              <w:t>/QUESTION</w:t>
            </w:r>
          </w:p>
        </w:tc>
      </w:tr>
      <w:tr w:rsidR="00604480" w14:paraId="545866B9" w14:textId="77777777" w:rsidTr="00123358">
        <w:tc>
          <w:tcPr>
            <w:tcW w:w="783" w:type="dxa"/>
          </w:tcPr>
          <w:p w14:paraId="73BBE270" w14:textId="77777777" w:rsidR="00604480" w:rsidRDefault="00604480" w:rsidP="00123358">
            <w:r>
              <w:t>12</w:t>
            </w:r>
          </w:p>
        </w:tc>
        <w:tc>
          <w:tcPr>
            <w:tcW w:w="4162" w:type="dxa"/>
          </w:tcPr>
          <w:p w14:paraId="09EADF5F" w14:textId="77777777" w:rsidR="00604480" w:rsidRDefault="00604480" w:rsidP="00FD6D0F">
            <w:r>
              <w:t>“As</w:t>
            </w:r>
            <w:r>
              <w:rPr>
                <w:spacing w:val="-5"/>
              </w:rPr>
              <w:t xml:space="preserve"> </w:t>
            </w:r>
            <w:r>
              <w:t>directed</w:t>
            </w:r>
            <w:r>
              <w:rPr>
                <w:spacing w:val="-5"/>
              </w:rPr>
              <w:t xml:space="preserve"> </w:t>
            </w:r>
            <w:r>
              <w:t>by</w:t>
            </w:r>
            <w:r>
              <w:rPr>
                <w:spacing w:val="-5"/>
              </w:rPr>
              <w:t xml:space="preserve"> </w:t>
            </w:r>
            <w:r>
              <w:t>the</w:t>
            </w:r>
            <w:r>
              <w:rPr>
                <w:spacing w:val="-3"/>
              </w:rPr>
              <w:t xml:space="preserve"> </w:t>
            </w:r>
            <w:r>
              <w:t>Legislature,</w:t>
            </w:r>
            <w:r>
              <w:rPr>
                <w:spacing w:val="-4"/>
              </w:rPr>
              <w:t xml:space="preserve"> </w:t>
            </w:r>
            <w:r>
              <w:t>the</w:t>
            </w:r>
            <w:r>
              <w:rPr>
                <w:spacing w:val="-6"/>
              </w:rPr>
              <w:t xml:space="preserve"> </w:t>
            </w:r>
            <w:r>
              <w:t>Resource</w:t>
            </w:r>
            <w:r>
              <w:rPr>
                <w:spacing w:val="-6"/>
              </w:rPr>
              <w:t xml:space="preserve"> </w:t>
            </w:r>
            <w:r>
              <w:t>Management</w:t>
            </w:r>
            <w:r>
              <w:rPr>
                <w:spacing w:val="-5"/>
              </w:rPr>
              <w:t xml:space="preserve"> </w:t>
            </w:r>
            <w:r>
              <w:rPr>
                <w:spacing w:val="-2"/>
              </w:rPr>
              <w:t>Report:</w:t>
            </w:r>
          </w:p>
          <w:p w14:paraId="1287FC95" w14:textId="77777777" w:rsidR="00604480" w:rsidRDefault="00604480" w:rsidP="00FD6D0F">
            <w:r>
              <w:t>Describes</w:t>
            </w:r>
            <w:r w:rsidRPr="00FD6D0F">
              <w:rPr>
                <w:spacing w:val="-6"/>
              </w:rPr>
              <w:t xml:space="preserve"> </w:t>
            </w:r>
            <w:r>
              <w:t>how</w:t>
            </w:r>
            <w:r w:rsidRPr="00FD6D0F">
              <w:rPr>
                <w:spacing w:val="-6"/>
              </w:rPr>
              <w:t xml:space="preserve"> </w:t>
            </w:r>
            <w:r>
              <w:t>MSW</w:t>
            </w:r>
            <w:r w:rsidRPr="00FD6D0F">
              <w:rPr>
                <w:spacing w:val="-3"/>
              </w:rPr>
              <w:t xml:space="preserve"> </w:t>
            </w:r>
            <w:r>
              <w:t>is</w:t>
            </w:r>
            <w:r w:rsidRPr="00FD6D0F">
              <w:rPr>
                <w:spacing w:val="-4"/>
              </w:rPr>
              <w:t xml:space="preserve"> </w:t>
            </w:r>
            <w:r>
              <w:t>currently</w:t>
            </w:r>
            <w:r w:rsidRPr="00FD6D0F">
              <w:rPr>
                <w:spacing w:val="-3"/>
              </w:rPr>
              <w:t xml:space="preserve"> </w:t>
            </w:r>
            <w:r>
              <w:t>being</w:t>
            </w:r>
            <w:r w:rsidRPr="00FD6D0F">
              <w:rPr>
                <w:spacing w:val="-7"/>
              </w:rPr>
              <w:t xml:space="preserve"> </w:t>
            </w:r>
            <w:r>
              <w:t>managed</w:t>
            </w:r>
            <w:r w:rsidRPr="00FD6D0F">
              <w:rPr>
                <w:spacing w:val="-7"/>
              </w:rPr>
              <w:t xml:space="preserve"> </w:t>
            </w:r>
            <w:r>
              <w:t>across</w:t>
            </w:r>
            <w:r w:rsidRPr="00FD6D0F">
              <w:rPr>
                <w:spacing w:val="-3"/>
              </w:rPr>
              <w:t xml:space="preserve"> </w:t>
            </w:r>
            <w:r w:rsidRPr="00FD6D0F">
              <w:rPr>
                <w:spacing w:val="-2"/>
              </w:rPr>
              <w:t>Minnesota.</w:t>
            </w:r>
          </w:p>
          <w:p w14:paraId="05F19508" w14:textId="77777777" w:rsidR="00604480" w:rsidRDefault="00604480" w:rsidP="00FD6D0F">
            <w:r>
              <w:t>Analyzes</w:t>
            </w:r>
            <w:r w:rsidRPr="00FD6D0F">
              <w:rPr>
                <w:spacing w:val="-3"/>
              </w:rPr>
              <w:t xml:space="preserve"> </w:t>
            </w:r>
            <w:r>
              <w:t>prevention,</w:t>
            </w:r>
            <w:r w:rsidRPr="00FD6D0F">
              <w:rPr>
                <w:spacing w:val="-3"/>
              </w:rPr>
              <w:t xml:space="preserve"> </w:t>
            </w:r>
            <w:r>
              <w:t>reuse,</w:t>
            </w:r>
            <w:r w:rsidRPr="00FD6D0F">
              <w:rPr>
                <w:spacing w:val="-3"/>
              </w:rPr>
              <w:t xml:space="preserve"> </w:t>
            </w:r>
            <w:r>
              <w:t>recycling,</w:t>
            </w:r>
            <w:r w:rsidRPr="00FD6D0F">
              <w:rPr>
                <w:spacing w:val="-3"/>
              </w:rPr>
              <w:t xml:space="preserve"> </w:t>
            </w:r>
            <w:r>
              <w:t>composting,</w:t>
            </w:r>
            <w:r w:rsidRPr="00FD6D0F">
              <w:rPr>
                <w:spacing w:val="-5"/>
              </w:rPr>
              <w:t xml:space="preserve"> </w:t>
            </w:r>
            <w:r>
              <w:t>and</w:t>
            </w:r>
            <w:r w:rsidRPr="00FD6D0F">
              <w:rPr>
                <w:spacing w:val="-4"/>
              </w:rPr>
              <w:t xml:space="preserve"> </w:t>
            </w:r>
            <w:r>
              <w:t>anaerobic</w:t>
            </w:r>
            <w:r w:rsidRPr="00FD6D0F">
              <w:rPr>
                <w:spacing w:val="-5"/>
              </w:rPr>
              <w:t xml:space="preserve"> </w:t>
            </w:r>
            <w:r>
              <w:t>digestion</w:t>
            </w:r>
            <w:r w:rsidRPr="00FD6D0F">
              <w:rPr>
                <w:spacing w:val="-4"/>
              </w:rPr>
              <w:t xml:space="preserve"> </w:t>
            </w:r>
            <w:r>
              <w:t>(AD),</w:t>
            </w:r>
            <w:r w:rsidRPr="00FD6D0F">
              <w:rPr>
                <w:spacing w:val="-5"/>
              </w:rPr>
              <w:t xml:space="preserve"> </w:t>
            </w:r>
            <w:r>
              <w:t>including</w:t>
            </w:r>
            <w:r w:rsidRPr="00FD6D0F">
              <w:rPr>
                <w:spacing w:val="-4"/>
              </w:rPr>
              <w:t xml:space="preserve"> </w:t>
            </w:r>
            <w:r>
              <w:t>the capacity needed to achieve these outcomes.</w:t>
            </w:r>
          </w:p>
          <w:p w14:paraId="1FEF1087" w14:textId="77777777" w:rsidR="00604480" w:rsidRDefault="00604480" w:rsidP="00FD6D0F">
            <w:r>
              <w:t>Recommends</w:t>
            </w:r>
            <w:r w:rsidRPr="00FD6D0F">
              <w:rPr>
                <w:spacing w:val="-6"/>
              </w:rPr>
              <w:t xml:space="preserve"> </w:t>
            </w:r>
            <w:r>
              <w:t>infrastructure,</w:t>
            </w:r>
            <w:r w:rsidRPr="00FD6D0F">
              <w:rPr>
                <w:spacing w:val="-4"/>
              </w:rPr>
              <w:t xml:space="preserve"> </w:t>
            </w:r>
            <w:r>
              <w:t>programs,</w:t>
            </w:r>
            <w:r w:rsidRPr="00FD6D0F">
              <w:rPr>
                <w:spacing w:val="-6"/>
              </w:rPr>
              <w:t xml:space="preserve"> </w:t>
            </w:r>
            <w:r>
              <w:t>policies,</w:t>
            </w:r>
            <w:r w:rsidRPr="00FD6D0F">
              <w:rPr>
                <w:spacing w:val="-4"/>
              </w:rPr>
              <w:t xml:space="preserve"> </w:t>
            </w:r>
            <w:r>
              <w:t>investments,</w:t>
            </w:r>
            <w:r w:rsidRPr="00FD6D0F">
              <w:rPr>
                <w:spacing w:val="-4"/>
              </w:rPr>
              <w:t xml:space="preserve"> </w:t>
            </w:r>
            <w:r>
              <w:t>and</w:t>
            </w:r>
            <w:r w:rsidRPr="00FD6D0F">
              <w:rPr>
                <w:spacing w:val="-7"/>
              </w:rPr>
              <w:t xml:space="preserve"> </w:t>
            </w:r>
            <w:r>
              <w:t>milestones</w:t>
            </w:r>
            <w:r w:rsidRPr="00FD6D0F">
              <w:rPr>
                <w:spacing w:val="-4"/>
              </w:rPr>
              <w:t xml:space="preserve"> </w:t>
            </w:r>
            <w:r>
              <w:t>to</w:t>
            </w:r>
            <w:r w:rsidRPr="00FD6D0F">
              <w:rPr>
                <w:spacing w:val="-5"/>
              </w:rPr>
              <w:t xml:space="preserve"> </w:t>
            </w:r>
            <w:r>
              <w:t xml:space="preserve">support </w:t>
            </w:r>
            <w:r w:rsidRPr="00FD6D0F">
              <w:rPr>
                <w:spacing w:val="-2"/>
              </w:rPr>
              <w:t>implementation.</w:t>
            </w:r>
          </w:p>
          <w:p w14:paraId="3159BC7F" w14:textId="77777777" w:rsidR="00604480" w:rsidRDefault="00604480" w:rsidP="00FD6D0F">
            <w:r>
              <w:t>Incorporates environmental justice considerations by identifying opportunities to reduce disproportionate</w:t>
            </w:r>
            <w:r>
              <w:rPr>
                <w:spacing w:val="-2"/>
              </w:rPr>
              <w:t xml:space="preserve"> </w:t>
            </w:r>
            <w:r>
              <w:t>pollution</w:t>
            </w:r>
            <w:r>
              <w:rPr>
                <w:spacing w:val="-5"/>
              </w:rPr>
              <w:t xml:space="preserve"> </w:t>
            </w:r>
            <w:r>
              <w:t>burdens</w:t>
            </w:r>
            <w:r>
              <w:rPr>
                <w:spacing w:val="-3"/>
              </w:rPr>
              <w:t xml:space="preserve"> </w:t>
            </w:r>
            <w:r>
              <w:t>and</w:t>
            </w:r>
            <w:r>
              <w:rPr>
                <w:spacing w:val="-4"/>
              </w:rPr>
              <w:t xml:space="preserve"> </w:t>
            </w:r>
            <w:r>
              <w:t>improve</w:t>
            </w:r>
            <w:r>
              <w:rPr>
                <w:spacing w:val="-4"/>
              </w:rPr>
              <w:t xml:space="preserve"> </w:t>
            </w:r>
            <w:r>
              <w:t>access</w:t>
            </w:r>
            <w:r>
              <w:rPr>
                <w:spacing w:val="-3"/>
              </w:rPr>
              <w:t xml:space="preserve"> </w:t>
            </w:r>
            <w:r>
              <w:t>to</w:t>
            </w:r>
            <w:r>
              <w:rPr>
                <w:spacing w:val="-4"/>
              </w:rPr>
              <w:t xml:space="preserve"> </w:t>
            </w:r>
            <w:r>
              <w:t>benefits,</w:t>
            </w:r>
            <w:r>
              <w:rPr>
                <w:spacing w:val="-3"/>
              </w:rPr>
              <w:t xml:space="preserve"> </w:t>
            </w:r>
            <w:r>
              <w:t>including</w:t>
            </w:r>
            <w:r>
              <w:rPr>
                <w:spacing w:val="-4"/>
              </w:rPr>
              <w:t xml:space="preserve"> </w:t>
            </w:r>
            <w:r>
              <w:t>the</w:t>
            </w:r>
            <w:r>
              <w:rPr>
                <w:spacing w:val="-4"/>
              </w:rPr>
              <w:t xml:space="preserve"> </w:t>
            </w:r>
            <w:r>
              <w:t>creation</w:t>
            </w:r>
            <w:r>
              <w:rPr>
                <w:spacing w:val="-4"/>
              </w:rPr>
              <w:t xml:space="preserve"> </w:t>
            </w:r>
            <w:r>
              <w:t xml:space="preserve">of well-paying green jobs, are accessible to </w:t>
            </w:r>
            <w:r>
              <w:lastRenderedPageBreak/>
              <w:t>historically marginalized communities.</w:t>
            </w:r>
          </w:p>
          <w:p w14:paraId="5AA1297B" w14:textId="77777777" w:rsidR="00604480" w:rsidRDefault="00604480" w:rsidP="00FD6D0F">
            <w:r>
              <w:t>This report does not evaluate or make recommendations regarding any single facility. Instead, it examines</w:t>
            </w:r>
            <w:r>
              <w:rPr>
                <w:spacing w:val="-3"/>
              </w:rPr>
              <w:t xml:space="preserve"> </w:t>
            </w:r>
            <w:r>
              <w:t>statewide</w:t>
            </w:r>
            <w:r>
              <w:rPr>
                <w:spacing w:val="-2"/>
              </w:rPr>
              <w:t xml:space="preserve"> </w:t>
            </w:r>
            <w:r>
              <w:t>systems</w:t>
            </w:r>
            <w:r>
              <w:rPr>
                <w:spacing w:val="-3"/>
              </w:rPr>
              <w:t xml:space="preserve"> </w:t>
            </w:r>
            <w:r>
              <w:t>and</w:t>
            </w:r>
            <w:r>
              <w:rPr>
                <w:spacing w:val="-4"/>
              </w:rPr>
              <w:t xml:space="preserve"> </w:t>
            </w:r>
            <w:r>
              <w:t>identifies</w:t>
            </w:r>
            <w:r>
              <w:rPr>
                <w:spacing w:val="-5"/>
              </w:rPr>
              <w:t xml:space="preserve"> </w:t>
            </w:r>
            <w:r>
              <w:t>opportunities</w:t>
            </w:r>
            <w:r>
              <w:rPr>
                <w:spacing w:val="-3"/>
              </w:rPr>
              <w:t xml:space="preserve"> </w:t>
            </w:r>
            <w:r>
              <w:t>for</w:t>
            </w:r>
            <w:r>
              <w:rPr>
                <w:spacing w:val="-3"/>
              </w:rPr>
              <w:t xml:space="preserve"> </w:t>
            </w:r>
            <w:r>
              <w:t>transformation</w:t>
            </w:r>
            <w:r>
              <w:rPr>
                <w:spacing w:val="-4"/>
              </w:rPr>
              <w:t xml:space="preserve"> </w:t>
            </w:r>
            <w:r>
              <w:t>and</w:t>
            </w:r>
            <w:r>
              <w:rPr>
                <w:spacing w:val="-4"/>
              </w:rPr>
              <w:t xml:space="preserve"> </w:t>
            </w:r>
            <w:r>
              <w:t>innovation</w:t>
            </w:r>
            <w:r>
              <w:rPr>
                <w:spacing w:val="-4"/>
              </w:rPr>
              <w:t xml:space="preserve"> </w:t>
            </w:r>
            <w:r>
              <w:t>across Minnesota’s waste and materials management system”</w:t>
            </w:r>
          </w:p>
        </w:tc>
        <w:tc>
          <w:tcPr>
            <w:tcW w:w="4405" w:type="dxa"/>
          </w:tcPr>
          <w:p w14:paraId="73C12940" w14:textId="77777777" w:rsidR="00604480" w:rsidRDefault="00604480" w:rsidP="00123358">
            <w:r>
              <w:lastRenderedPageBreak/>
              <w:t>Does this report dictate the path that the state intends to follow to reach its overarching solid waste management goals, or does it represent an option for addressing waste management issues that most closely aligns with state opinion? Is this report AN option, or THE option?</w:t>
            </w:r>
          </w:p>
        </w:tc>
      </w:tr>
      <w:tr w:rsidR="00604480" w14:paraId="7C4D68E5" w14:textId="77777777" w:rsidTr="00123358">
        <w:tc>
          <w:tcPr>
            <w:tcW w:w="783" w:type="dxa"/>
          </w:tcPr>
          <w:p w14:paraId="5E69A564" w14:textId="77777777" w:rsidR="00604480" w:rsidRDefault="00604480" w:rsidP="00123358">
            <w:r>
              <w:t>18</w:t>
            </w:r>
          </w:p>
        </w:tc>
        <w:tc>
          <w:tcPr>
            <w:tcW w:w="4162" w:type="dxa"/>
          </w:tcPr>
          <w:p w14:paraId="15FAD389" w14:textId="77777777" w:rsidR="00604480" w:rsidRDefault="00604480" w:rsidP="00123358">
            <w:pPr>
              <w:pStyle w:val="Heading5"/>
              <w:spacing w:before="0"/>
              <w:ind w:left="360"/>
            </w:pPr>
            <w:r>
              <w:t>“Generation</w:t>
            </w:r>
            <w:r>
              <w:rPr>
                <w:spacing w:val="-4"/>
              </w:rPr>
              <w:t xml:space="preserve"> </w:t>
            </w:r>
            <w:r>
              <w:t>and</w:t>
            </w:r>
            <w:r>
              <w:rPr>
                <w:spacing w:val="-1"/>
              </w:rPr>
              <w:t xml:space="preserve"> </w:t>
            </w:r>
            <w:r>
              <w:t>Disposal</w:t>
            </w:r>
            <w:r>
              <w:rPr>
                <w:spacing w:val="-3"/>
              </w:rPr>
              <w:t xml:space="preserve"> </w:t>
            </w:r>
            <w:r>
              <w:rPr>
                <w:spacing w:val="-2"/>
              </w:rPr>
              <w:t>Comparison</w:t>
            </w:r>
          </w:p>
          <w:p w14:paraId="5291D8F4" w14:textId="77777777" w:rsidR="00604480" w:rsidRDefault="00604480" w:rsidP="00123358">
            <w:r>
              <w:t>In</w:t>
            </w:r>
            <w:r>
              <w:rPr>
                <w:spacing w:val="-2"/>
              </w:rPr>
              <w:t xml:space="preserve"> </w:t>
            </w:r>
            <w:r>
              <w:t>2021,</w:t>
            </w:r>
            <w:r>
              <w:rPr>
                <w:spacing w:val="-3"/>
              </w:rPr>
              <w:t xml:space="preserve"> </w:t>
            </w:r>
            <w:r>
              <w:t>Minnesotans</w:t>
            </w:r>
            <w:r>
              <w:rPr>
                <w:spacing w:val="-3"/>
              </w:rPr>
              <w:t xml:space="preserve"> </w:t>
            </w:r>
            <w:r>
              <w:t>generated</w:t>
            </w:r>
            <w:r>
              <w:rPr>
                <w:spacing w:val="-2"/>
              </w:rPr>
              <w:t xml:space="preserve"> </w:t>
            </w:r>
            <w:r>
              <w:t>approximately 5.86</w:t>
            </w:r>
            <w:r>
              <w:rPr>
                <w:spacing w:val="-5"/>
              </w:rPr>
              <w:t xml:space="preserve"> </w:t>
            </w:r>
            <w:r>
              <w:t>million</w:t>
            </w:r>
            <w:r>
              <w:rPr>
                <w:spacing w:val="-4"/>
              </w:rPr>
              <w:t xml:space="preserve"> </w:t>
            </w:r>
            <w:r>
              <w:t>tons</w:t>
            </w:r>
            <w:r>
              <w:rPr>
                <w:spacing w:val="-3"/>
              </w:rPr>
              <w:t xml:space="preserve"> </w:t>
            </w:r>
            <w:r>
              <w:t>of</w:t>
            </w:r>
            <w:r>
              <w:rPr>
                <w:spacing w:val="-3"/>
              </w:rPr>
              <w:t xml:space="preserve"> </w:t>
            </w:r>
            <w:r>
              <w:t>MSW</w:t>
            </w:r>
            <w:r>
              <w:rPr>
                <w:spacing w:val="-3"/>
              </w:rPr>
              <w:t xml:space="preserve"> </w:t>
            </w:r>
            <w:r>
              <w:t>(5.63</w:t>
            </w:r>
            <w:r>
              <w:rPr>
                <w:spacing w:val="-5"/>
              </w:rPr>
              <w:t xml:space="preserve"> </w:t>
            </w:r>
            <w:r>
              <w:t>pounds</w:t>
            </w:r>
            <w:r>
              <w:rPr>
                <w:spacing w:val="-1"/>
              </w:rPr>
              <w:t xml:space="preserve"> </w:t>
            </w:r>
            <w:r>
              <w:t>per</w:t>
            </w:r>
            <w:r>
              <w:rPr>
                <w:spacing w:val="-1"/>
              </w:rPr>
              <w:t xml:space="preserve"> </w:t>
            </w:r>
            <w:r>
              <w:t>person</w:t>
            </w:r>
            <w:r>
              <w:rPr>
                <w:spacing w:val="-2"/>
              </w:rPr>
              <w:t xml:space="preserve"> </w:t>
            </w:r>
            <w:r>
              <w:t>per day), based on county-reported data through Minnesota’s statewide SCORE reporting system.”</w:t>
            </w:r>
          </w:p>
        </w:tc>
        <w:tc>
          <w:tcPr>
            <w:tcW w:w="4405" w:type="dxa"/>
          </w:tcPr>
          <w:p w14:paraId="403CEC98" w14:textId="77777777" w:rsidR="00604480" w:rsidRDefault="00604480" w:rsidP="00123358">
            <w:r>
              <w:t>Does this total factor in wastes transported across state boundaries as part of the management chain for a given material? “Generator” does not universally mean “original source”</w:t>
            </w:r>
          </w:p>
        </w:tc>
      </w:tr>
      <w:tr w:rsidR="00604480" w14:paraId="64933D3E" w14:textId="77777777" w:rsidTr="00123358">
        <w:tc>
          <w:tcPr>
            <w:tcW w:w="783" w:type="dxa"/>
          </w:tcPr>
          <w:p w14:paraId="40BE05B0" w14:textId="77777777" w:rsidR="00604480" w:rsidRDefault="00604480" w:rsidP="00123358">
            <w:r>
              <w:t>36</w:t>
            </w:r>
          </w:p>
        </w:tc>
        <w:tc>
          <w:tcPr>
            <w:tcW w:w="4162" w:type="dxa"/>
          </w:tcPr>
          <w:p w14:paraId="54ED0B60" w14:textId="77777777" w:rsidR="00604480" w:rsidRDefault="00604480" w:rsidP="00123358">
            <w:pPr>
              <w:pStyle w:val="Heading5"/>
              <w:spacing w:before="0"/>
            </w:pPr>
            <w:r w:rsidRPr="00F6169A">
              <w:rPr>
                <w:color w:val="auto"/>
              </w:rPr>
              <w:t>“</w:t>
            </w:r>
            <w:r>
              <w:rPr>
                <w:color w:val="auto"/>
              </w:rPr>
              <w:t xml:space="preserve">Mixed Waste Processing… </w:t>
            </w:r>
            <w:proofErr w:type="gramStart"/>
            <w:r w:rsidRPr="00F6169A">
              <w:rPr>
                <w:color w:val="auto"/>
              </w:rPr>
              <w:t>Generally</w:t>
            </w:r>
            <w:proofErr w:type="gramEnd"/>
            <w:r w:rsidRPr="00F6169A">
              <w:rPr>
                <w:color w:val="auto"/>
              </w:rPr>
              <w:t xml:space="preserve"> less effective and more costly than source separated collection”</w:t>
            </w:r>
          </w:p>
        </w:tc>
        <w:tc>
          <w:tcPr>
            <w:tcW w:w="4405" w:type="dxa"/>
          </w:tcPr>
          <w:p w14:paraId="24DA44EF" w14:textId="77777777" w:rsidR="00604480" w:rsidRDefault="00604480" w:rsidP="00123358">
            <w:r>
              <w:t>Full dependence on consumer sortation leads to significant contamination issues in source-separated streams. While upstream diversion and source-separation are ideal, they represent long-term solutions that will take significant and systematic changes within the current collection system. Additionally, while mixed waste processing does represent a cost, the resulting opportunity to find alternative disposal options to landfilling through waste processing helps to economically justify the application of additional diversion measures. This is especially true in waste streams that are not historically “clean”.</w:t>
            </w:r>
          </w:p>
        </w:tc>
      </w:tr>
      <w:tr w:rsidR="00604480" w14:paraId="15C6A6DD" w14:textId="77777777" w:rsidTr="00123358">
        <w:tc>
          <w:tcPr>
            <w:tcW w:w="783" w:type="dxa"/>
          </w:tcPr>
          <w:p w14:paraId="7FA16B1B" w14:textId="77777777" w:rsidR="00604480" w:rsidRDefault="00604480" w:rsidP="00123358">
            <w:r>
              <w:t>60</w:t>
            </w:r>
          </w:p>
        </w:tc>
        <w:tc>
          <w:tcPr>
            <w:tcW w:w="4162" w:type="dxa"/>
          </w:tcPr>
          <w:p w14:paraId="6E96E71D" w14:textId="77777777" w:rsidR="00604480" w:rsidRDefault="00604480" w:rsidP="00123358">
            <w:r>
              <w:t>“Even so, nearly half of Minnesota’s waste is generated outside the TCMA, and achieving statewide diversion targets will require meaningful contributions from every region.”</w:t>
            </w:r>
          </w:p>
        </w:tc>
        <w:tc>
          <w:tcPr>
            <w:tcW w:w="4405" w:type="dxa"/>
          </w:tcPr>
          <w:p w14:paraId="2E2D2A90" w14:textId="77777777" w:rsidR="00604480" w:rsidRDefault="00604480" w:rsidP="00123358">
            <w:r>
              <w:t xml:space="preserve">What methods does the state intend to employ to achieve more meaningful contributions from Greater MN? Are targets expected to shift to align with metro abatement percentages? Will there be more non-competitive funding </w:t>
            </w:r>
            <w:r>
              <w:lastRenderedPageBreak/>
              <w:t xml:space="preserve">and resources available to achieve the goals outlined in </w:t>
            </w:r>
            <w:r w:rsidRPr="006A4AFF">
              <w:rPr>
                <w:b/>
                <w:bCs/>
              </w:rPr>
              <w:t>Figure 24</w:t>
            </w:r>
            <w:r>
              <w:t xml:space="preserve"> and </w:t>
            </w:r>
            <w:r w:rsidRPr="006A4AFF">
              <w:rPr>
                <w:b/>
                <w:bCs/>
              </w:rPr>
              <w:t>Table 21</w:t>
            </w:r>
            <w:r>
              <w:t>?</w:t>
            </w:r>
          </w:p>
        </w:tc>
      </w:tr>
      <w:tr w:rsidR="00604480" w14:paraId="62E1893F" w14:textId="77777777" w:rsidTr="00123358">
        <w:tc>
          <w:tcPr>
            <w:tcW w:w="783" w:type="dxa"/>
          </w:tcPr>
          <w:p w14:paraId="00FC29E1" w14:textId="77777777" w:rsidR="00604480" w:rsidRDefault="00604480" w:rsidP="00123358">
            <w:r>
              <w:lastRenderedPageBreak/>
              <w:t>67</w:t>
            </w:r>
          </w:p>
        </w:tc>
        <w:tc>
          <w:tcPr>
            <w:tcW w:w="4162" w:type="dxa"/>
          </w:tcPr>
          <w:p w14:paraId="64DF5C0D" w14:textId="77777777" w:rsidR="00604480" w:rsidRDefault="00604480" w:rsidP="00123358">
            <w:r>
              <w:t>“</w:t>
            </w:r>
            <w:r w:rsidRPr="00927BBD">
              <w:t>Reaching the high-diversion outcomes modeled in this report will require sustained investment in prevention, reuse, and source-separated collection programs. These investments should focus not only on tonnage but also on equity and access, ensuring that residents, businesses, and institutions across the state have convenient opportunities to participate in waste prevention and diversion.</w:t>
            </w:r>
            <w:r>
              <w:t>”</w:t>
            </w:r>
          </w:p>
        </w:tc>
        <w:tc>
          <w:tcPr>
            <w:tcW w:w="4405" w:type="dxa"/>
          </w:tcPr>
          <w:p w14:paraId="67DB4B38" w14:textId="77777777" w:rsidR="00604480" w:rsidRDefault="00604480" w:rsidP="00123358">
            <w:r>
              <w:t>Fully agree with this statement. However, it is important to note the differing costs for servicing more geographically distributed populations.</w:t>
            </w:r>
          </w:p>
        </w:tc>
      </w:tr>
      <w:tr w:rsidR="00604480" w14:paraId="0F06AD91" w14:textId="77777777" w:rsidTr="00123358">
        <w:tc>
          <w:tcPr>
            <w:tcW w:w="783" w:type="dxa"/>
          </w:tcPr>
          <w:p w14:paraId="015B10EE" w14:textId="77777777" w:rsidR="00604480" w:rsidRDefault="00604480" w:rsidP="00123358">
            <w:r>
              <w:t>68</w:t>
            </w:r>
          </w:p>
        </w:tc>
        <w:tc>
          <w:tcPr>
            <w:tcW w:w="4162" w:type="dxa"/>
          </w:tcPr>
          <w:p w14:paraId="1DA5222D" w14:textId="77777777" w:rsidR="00604480" w:rsidRPr="004F554A" w:rsidRDefault="00604480" w:rsidP="00123358">
            <w:r>
              <w:t>Discussing reuse as a primary strategy for waste management: “</w:t>
            </w:r>
            <w:r w:rsidRPr="004F554A">
              <w:t>By investing in both physical infrastructure and enabling policies, Minnesota can build a system where diversion is the default, reuse and recycling are accessible statewide, and disposal is reserved only for what cannot be recovered.</w:t>
            </w:r>
            <w:r>
              <w:t>”</w:t>
            </w:r>
          </w:p>
          <w:p w14:paraId="631CD62A" w14:textId="77777777" w:rsidR="00604480" w:rsidRDefault="00604480" w:rsidP="00123358"/>
        </w:tc>
        <w:tc>
          <w:tcPr>
            <w:tcW w:w="4405" w:type="dxa"/>
          </w:tcPr>
          <w:p w14:paraId="6450E8FA" w14:textId="77777777" w:rsidR="00604480" w:rsidRDefault="00604480" w:rsidP="00123358">
            <w:r>
              <w:t>While this is the ideal system that we can achieve with time, we need to be practical in managing waste through currently achievable methods until the policy and framework for management through reuse (broad adoption, not an instanced application of reuse) can be established.</w:t>
            </w:r>
          </w:p>
        </w:tc>
      </w:tr>
      <w:tr w:rsidR="00604480" w14:paraId="070DA7A0" w14:textId="77777777" w:rsidTr="00123358">
        <w:tc>
          <w:tcPr>
            <w:tcW w:w="783" w:type="dxa"/>
          </w:tcPr>
          <w:p w14:paraId="0E3D58FD" w14:textId="77777777" w:rsidR="00604480" w:rsidRDefault="00604480" w:rsidP="00123358">
            <w:r>
              <w:t>69</w:t>
            </w:r>
          </w:p>
        </w:tc>
        <w:tc>
          <w:tcPr>
            <w:tcW w:w="4162" w:type="dxa"/>
          </w:tcPr>
          <w:p w14:paraId="628B960F" w14:textId="77777777" w:rsidR="00604480" w:rsidRDefault="00604480" w:rsidP="00123358">
            <w:r>
              <w:t>Table 22</w:t>
            </w:r>
          </w:p>
        </w:tc>
        <w:tc>
          <w:tcPr>
            <w:tcW w:w="4405" w:type="dxa"/>
          </w:tcPr>
          <w:p w14:paraId="2008A77A" w14:textId="1093DE81" w:rsidR="00604480" w:rsidRDefault="00604480" w:rsidP="00123358">
            <w:r>
              <w:t xml:space="preserve">The section of the table devoted to our area (SE and SW) details that there are currently 3 MRFs in the area. 6 additional (small, ~20,000 TPY) MRFs would need to be sited to achieve recycling and diversion goals. Current throughput is calculated at 9,300 TPY, with an additional processing requirement of 247,700 TPY to reach the 90% diversion suggested for the southern regions. 1) How does the state propose achieving consistent volume to support these facilities (especially without a lever </w:t>
            </w:r>
            <w:r w:rsidR="00A403E9">
              <w:t>available</w:t>
            </w:r>
            <w:r>
              <w:t xml:space="preserve"> to guarantee recyclables to a facility)? 2) Funding </w:t>
            </w:r>
            <w:r>
              <w:lastRenderedPageBreak/>
              <w:t>(</w:t>
            </w:r>
            <w:r w:rsidR="00A403E9">
              <w:t>Recent</w:t>
            </w:r>
            <w:r>
              <w:t xml:space="preserve"> build </w:t>
            </w:r>
            <w:r w:rsidR="00A403E9">
              <w:t xml:space="preserve">priced </w:t>
            </w:r>
            <w:r>
              <w:t xml:space="preserve">at </w:t>
            </w:r>
            <w:r w:rsidR="00080A34">
              <w:t>$</w:t>
            </w:r>
            <w:r>
              <w:t>52,000,000 for 45,000 sq ft. “Large” facility)</w:t>
            </w:r>
          </w:p>
        </w:tc>
      </w:tr>
      <w:tr w:rsidR="00604480" w14:paraId="328A0FD6" w14:textId="77777777" w:rsidTr="00123358">
        <w:tc>
          <w:tcPr>
            <w:tcW w:w="783" w:type="dxa"/>
          </w:tcPr>
          <w:p w14:paraId="31E4505C" w14:textId="77777777" w:rsidR="00604480" w:rsidRDefault="00604480" w:rsidP="00123358">
            <w:r>
              <w:lastRenderedPageBreak/>
              <w:t>72</w:t>
            </w:r>
          </w:p>
        </w:tc>
        <w:tc>
          <w:tcPr>
            <w:tcW w:w="4162" w:type="dxa"/>
          </w:tcPr>
          <w:p w14:paraId="1EEBABD8" w14:textId="77777777" w:rsidR="00604480" w:rsidRPr="00D95759" w:rsidRDefault="00604480" w:rsidP="00123358">
            <w:r>
              <w:t>“</w:t>
            </w:r>
            <w:r w:rsidRPr="00D95759">
              <w:t>Comprehensive alternative collection systems provide residents with safe, convenient options for materials that cannot be managed through curbside recycling or mixed waste processing. These include household hazardous waste (HHW), electronics, bulky items, construction and demolition debris, scrap metal, textiles, plastic film, and wood waste. Because these items are difficult to recover once they enter the MSW stream, drop-off infrastructure is critical to prevent landfilling or WTE.</w:t>
            </w:r>
          </w:p>
          <w:p w14:paraId="522C4FD0" w14:textId="77777777" w:rsidR="00604480" w:rsidRDefault="00604480" w:rsidP="00123358">
            <w:r w:rsidRPr="00D95759">
              <w:t>To evaluate geographic access, the modeling assumes each drop-off site could manage up to 50,000 users annually and that 90 percent of Minnesotans should be within a 15-minute drive. Using these assumptions, the analysis identified a need for 342 additional sites statewide (</w:t>
            </w:r>
            <w:hyperlink w:anchor="_bookmark89" w:history="1">
              <w:r w:rsidRPr="00D95759">
                <w:rPr>
                  <w:rStyle w:val="Hyperlink"/>
                </w:rPr>
                <w:t>Table 26</w:t>
              </w:r>
            </w:hyperlink>
            <w:r>
              <w:t>)… represents an accessibility benchmark rather than a recommendation to construct 342 additional facilities”</w:t>
            </w:r>
          </w:p>
        </w:tc>
        <w:tc>
          <w:tcPr>
            <w:tcW w:w="4405" w:type="dxa"/>
          </w:tcPr>
          <w:p w14:paraId="08FED04F" w14:textId="77777777" w:rsidR="00604480" w:rsidRDefault="00604480" w:rsidP="00123358">
            <w:r>
              <w:t>This piece has been discussed for e-waste and battery collection. Despite posing a significant hazard and needing collection, private investment has continued to fight against having a collection role at every turn. How, without significant mandates and a drastic expansion of EPR for all waste types, would the cost of providing this level of accessibility for all waste types not fall entirely on local governance?</w:t>
            </w:r>
          </w:p>
        </w:tc>
      </w:tr>
      <w:tr w:rsidR="00604480" w14:paraId="750A8F75" w14:textId="77777777" w:rsidTr="00123358">
        <w:tc>
          <w:tcPr>
            <w:tcW w:w="783" w:type="dxa"/>
          </w:tcPr>
          <w:p w14:paraId="758E53DD" w14:textId="77777777" w:rsidR="00604480" w:rsidRDefault="00604480" w:rsidP="00123358">
            <w:r>
              <w:t>97</w:t>
            </w:r>
          </w:p>
        </w:tc>
        <w:tc>
          <w:tcPr>
            <w:tcW w:w="4162" w:type="dxa"/>
          </w:tcPr>
          <w:p w14:paraId="70343E4B" w14:textId="77777777" w:rsidR="00604480" w:rsidRDefault="00604480" w:rsidP="00123358">
            <w:r>
              <w:t>“drop-off</w:t>
            </w:r>
            <w:r>
              <w:rPr>
                <w:spacing w:val="-2"/>
              </w:rPr>
              <w:t xml:space="preserve"> </w:t>
            </w:r>
            <w:r>
              <w:t>sites</w:t>
            </w:r>
            <w:r>
              <w:rPr>
                <w:spacing w:val="-2"/>
              </w:rPr>
              <w:t xml:space="preserve"> </w:t>
            </w:r>
            <w:r>
              <w:t>remain</w:t>
            </w:r>
            <w:r>
              <w:rPr>
                <w:spacing w:val="-3"/>
              </w:rPr>
              <w:t xml:space="preserve"> </w:t>
            </w:r>
            <w:r>
              <w:t>a</w:t>
            </w:r>
            <w:r>
              <w:rPr>
                <w:spacing w:val="-2"/>
              </w:rPr>
              <w:t xml:space="preserve"> </w:t>
            </w:r>
            <w:r>
              <w:t>core</w:t>
            </w:r>
            <w:r>
              <w:rPr>
                <w:spacing w:val="-4"/>
              </w:rPr>
              <w:t xml:space="preserve"> </w:t>
            </w:r>
            <w:r>
              <w:t>component.</w:t>
            </w:r>
            <w:r>
              <w:rPr>
                <w:spacing w:val="-2"/>
              </w:rPr>
              <w:t xml:space="preserve"> </w:t>
            </w:r>
            <w:r>
              <w:t>When</w:t>
            </w:r>
            <w:r>
              <w:rPr>
                <w:spacing w:val="-3"/>
              </w:rPr>
              <w:t xml:space="preserve"> </w:t>
            </w:r>
            <w:r>
              <w:t>designed</w:t>
            </w:r>
            <w:r>
              <w:rPr>
                <w:spacing w:val="-5"/>
              </w:rPr>
              <w:t xml:space="preserve"> </w:t>
            </w:r>
            <w:r>
              <w:t>comprehensively,</w:t>
            </w:r>
            <w:r>
              <w:rPr>
                <w:spacing w:val="-2"/>
              </w:rPr>
              <w:t xml:space="preserve"> </w:t>
            </w:r>
            <w:r>
              <w:t>they</w:t>
            </w:r>
            <w:r>
              <w:rPr>
                <w:spacing w:val="-3"/>
              </w:rPr>
              <w:t xml:space="preserve"> </w:t>
            </w:r>
            <w:r>
              <w:t>can</w:t>
            </w:r>
            <w:r>
              <w:rPr>
                <w:spacing w:val="-3"/>
              </w:rPr>
              <w:t xml:space="preserve"> </w:t>
            </w:r>
            <w:r>
              <w:t xml:space="preserve">serve as one-stop community hubs </w:t>
            </w:r>
            <w:proofErr w:type="gramStart"/>
            <w:r>
              <w:t>that:…</w:t>
            </w:r>
            <w:proofErr w:type="gramEnd"/>
            <w:r>
              <w:t>”</w:t>
            </w:r>
          </w:p>
        </w:tc>
        <w:tc>
          <w:tcPr>
            <w:tcW w:w="4405" w:type="dxa"/>
          </w:tcPr>
          <w:p w14:paraId="1F46AA93" w14:textId="77777777" w:rsidR="00604480" w:rsidRDefault="00604480" w:rsidP="00123358">
            <w:r>
              <w:t>Much of the conversation throughout this report encourages the use of a select few waste management facilities which are supplemented by surrounding transfer systems. Is the intent of the state to further encourage and support this hub-and-spoke model as the preferred management method for all waste types (</w:t>
            </w:r>
            <w:proofErr w:type="gramStart"/>
            <w:r>
              <w:t>similar to</w:t>
            </w:r>
            <w:proofErr w:type="gramEnd"/>
            <w:r>
              <w:t xml:space="preserve"> the model prescribed by the agency for C&amp;D wastes as part of the new rulemaking)?</w:t>
            </w:r>
          </w:p>
        </w:tc>
      </w:tr>
      <w:tr w:rsidR="00604480" w14:paraId="532040AE" w14:textId="77777777" w:rsidTr="00123358">
        <w:tc>
          <w:tcPr>
            <w:tcW w:w="783" w:type="dxa"/>
          </w:tcPr>
          <w:p w14:paraId="312E7557" w14:textId="77777777" w:rsidR="00604480" w:rsidRDefault="00604480" w:rsidP="00123358">
            <w:r>
              <w:lastRenderedPageBreak/>
              <w:t>97</w:t>
            </w:r>
          </w:p>
        </w:tc>
        <w:tc>
          <w:tcPr>
            <w:tcW w:w="4162" w:type="dxa"/>
          </w:tcPr>
          <w:p w14:paraId="5E584B91" w14:textId="77777777" w:rsidR="00604480" w:rsidRDefault="00604480" w:rsidP="00123358">
            <w:r w:rsidRPr="00426C51">
              <w:rPr>
                <w:noProof/>
              </w:rPr>
              <w:drawing>
                <wp:inline distT="0" distB="0" distL="0" distR="0" wp14:anchorId="59F6839C" wp14:editId="6123D46E">
                  <wp:extent cx="3779520" cy="1382751"/>
                  <wp:effectExtent l="0" t="0" r="0" b="8255"/>
                  <wp:docPr id="1610927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9692" cy="1390131"/>
                          </a:xfrm>
                          <a:prstGeom prst="rect">
                            <a:avLst/>
                          </a:prstGeom>
                          <a:noFill/>
                          <a:ln>
                            <a:noFill/>
                          </a:ln>
                        </pic:spPr>
                      </pic:pic>
                    </a:graphicData>
                  </a:graphic>
                </wp:inline>
              </w:drawing>
            </w:r>
          </w:p>
        </w:tc>
        <w:tc>
          <w:tcPr>
            <w:tcW w:w="4405" w:type="dxa"/>
          </w:tcPr>
          <w:p w14:paraId="7C57E605" w14:textId="77777777" w:rsidR="00604480" w:rsidRDefault="00604480" w:rsidP="00123358">
            <w:r>
              <w:t>The infrastructure necessary to support this level of separability, along with the other points described about collection site’s roles will prove substantial. The capacity to consistently acquire freight quantities of each material would continue to prove difficult for many Greater MN programs.</w:t>
            </w:r>
          </w:p>
        </w:tc>
      </w:tr>
      <w:tr w:rsidR="00604480" w14:paraId="1FAE944E" w14:textId="77777777" w:rsidTr="00123358">
        <w:tc>
          <w:tcPr>
            <w:tcW w:w="783" w:type="dxa"/>
          </w:tcPr>
          <w:p w14:paraId="175E3E96" w14:textId="77777777" w:rsidR="00604480" w:rsidRDefault="00604480" w:rsidP="00123358">
            <w:r>
              <w:t>100</w:t>
            </w:r>
          </w:p>
        </w:tc>
        <w:tc>
          <w:tcPr>
            <w:tcW w:w="4162" w:type="dxa"/>
          </w:tcPr>
          <w:p w14:paraId="1593BF23" w14:textId="77777777" w:rsidR="00604480" w:rsidRDefault="00604480" w:rsidP="00123358">
            <w:r>
              <w:t>“</w:t>
            </w:r>
            <w:r w:rsidRPr="00BA66BD">
              <w:rPr>
                <w:rFonts w:ascii="Calibri" w:eastAsia="Calibri" w:hAnsi="Calibri" w:cs="Calibri"/>
                <w:kern w:val="0"/>
                <w:sz w:val="22"/>
                <w:szCs w:val="22"/>
                <w14:ligatures w14:val="none"/>
              </w:rPr>
              <w:t>Incorporating recycled content into products requires robust collection and processing networks, and individual producers can rarely affect all aspects of the recycling supply chain through voluntary commitment. Instead, utilization of recycled content should be established through a comprehensive legal</w:t>
            </w:r>
            <w:r w:rsidRPr="00BA66BD">
              <w:rPr>
                <w:rFonts w:ascii="Calibri" w:eastAsia="Calibri" w:hAnsi="Calibri" w:cs="Calibri"/>
                <w:spacing w:val="-3"/>
                <w:kern w:val="0"/>
                <w:sz w:val="22"/>
                <w:szCs w:val="22"/>
                <w14:ligatures w14:val="none"/>
              </w:rPr>
              <w:t xml:space="preserve"> </w:t>
            </w:r>
            <w:r w:rsidRPr="00BA66BD">
              <w:rPr>
                <w:rFonts w:ascii="Calibri" w:eastAsia="Calibri" w:hAnsi="Calibri" w:cs="Calibri"/>
                <w:kern w:val="0"/>
                <w:sz w:val="22"/>
                <w:szCs w:val="22"/>
                <w14:ligatures w14:val="none"/>
              </w:rPr>
              <w:t>framework</w:t>
            </w:r>
            <w:r w:rsidRPr="00BA66BD">
              <w:rPr>
                <w:rFonts w:ascii="Calibri" w:eastAsia="Calibri" w:hAnsi="Calibri" w:cs="Calibri"/>
                <w:spacing w:val="-5"/>
                <w:kern w:val="0"/>
                <w:sz w:val="22"/>
                <w:szCs w:val="22"/>
                <w14:ligatures w14:val="none"/>
              </w:rPr>
              <w:t xml:space="preserve"> </w:t>
            </w:r>
            <w:r w:rsidRPr="00BA66BD">
              <w:rPr>
                <w:rFonts w:ascii="Calibri" w:eastAsia="Calibri" w:hAnsi="Calibri" w:cs="Calibri"/>
                <w:kern w:val="0"/>
                <w:sz w:val="22"/>
                <w:szCs w:val="22"/>
                <w14:ligatures w14:val="none"/>
              </w:rPr>
              <w:t>that</w:t>
            </w:r>
            <w:r w:rsidRPr="00BA66BD">
              <w:rPr>
                <w:rFonts w:ascii="Calibri" w:eastAsia="Calibri" w:hAnsi="Calibri" w:cs="Calibri"/>
                <w:spacing w:val="-2"/>
                <w:kern w:val="0"/>
                <w:sz w:val="22"/>
                <w:szCs w:val="22"/>
                <w14:ligatures w14:val="none"/>
              </w:rPr>
              <w:t xml:space="preserve"> </w:t>
            </w:r>
            <w:r w:rsidRPr="00BA66BD">
              <w:rPr>
                <w:rFonts w:ascii="Calibri" w:eastAsia="Calibri" w:hAnsi="Calibri" w:cs="Calibri"/>
                <w:kern w:val="0"/>
                <w:sz w:val="22"/>
                <w:szCs w:val="22"/>
                <w14:ligatures w14:val="none"/>
              </w:rPr>
              <w:t>drives</w:t>
            </w:r>
            <w:r w:rsidRPr="00BA66BD">
              <w:rPr>
                <w:rFonts w:ascii="Calibri" w:eastAsia="Calibri" w:hAnsi="Calibri" w:cs="Calibri"/>
                <w:spacing w:val="-3"/>
                <w:kern w:val="0"/>
                <w:sz w:val="22"/>
                <w:szCs w:val="22"/>
                <w14:ligatures w14:val="none"/>
              </w:rPr>
              <w:t xml:space="preserve"> </w:t>
            </w:r>
            <w:r w:rsidRPr="00BA66BD">
              <w:rPr>
                <w:rFonts w:ascii="Calibri" w:eastAsia="Calibri" w:hAnsi="Calibri" w:cs="Calibri"/>
                <w:kern w:val="0"/>
                <w:sz w:val="22"/>
                <w:szCs w:val="22"/>
                <w14:ligatures w14:val="none"/>
              </w:rPr>
              <w:t>market</w:t>
            </w:r>
            <w:r w:rsidRPr="00BA66BD">
              <w:rPr>
                <w:rFonts w:ascii="Calibri" w:eastAsia="Calibri" w:hAnsi="Calibri" w:cs="Calibri"/>
                <w:spacing w:val="-5"/>
                <w:kern w:val="0"/>
                <w:sz w:val="22"/>
                <w:szCs w:val="22"/>
                <w14:ligatures w14:val="none"/>
              </w:rPr>
              <w:t xml:space="preserve"> </w:t>
            </w:r>
            <w:r w:rsidRPr="00BA66BD">
              <w:rPr>
                <w:rFonts w:ascii="Calibri" w:eastAsia="Calibri" w:hAnsi="Calibri" w:cs="Calibri"/>
                <w:kern w:val="0"/>
                <w:sz w:val="22"/>
                <w:szCs w:val="22"/>
                <w14:ligatures w14:val="none"/>
              </w:rPr>
              <w:t>development,</w:t>
            </w:r>
            <w:r w:rsidRPr="00BA66BD">
              <w:rPr>
                <w:rFonts w:ascii="Calibri" w:eastAsia="Calibri" w:hAnsi="Calibri" w:cs="Calibri"/>
                <w:spacing w:val="-3"/>
                <w:kern w:val="0"/>
                <w:sz w:val="22"/>
                <w:szCs w:val="22"/>
                <w14:ligatures w14:val="none"/>
              </w:rPr>
              <w:t xml:space="preserve"> </w:t>
            </w:r>
            <w:r w:rsidRPr="00BA66BD">
              <w:rPr>
                <w:rFonts w:ascii="Calibri" w:eastAsia="Calibri" w:hAnsi="Calibri" w:cs="Calibri"/>
                <w:kern w:val="0"/>
                <w:sz w:val="22"/>
                <w:szCs w:val="22"/>
                <w14:ligatures w14:val="none"/>
              </w:rPr>
              <w:t>technology</w:t>
            </w:r>
            <w:r w:rsidRPr="00BA66BD">
              <w:rPr>
                <w:rFonts w:ascii="Calibri" w:eastAsia="Calibri" w:hAnsi="Calibri" w:cs="Calibri"/>
                <w:spacing w:val="-4"/>
                <w:kern w:val="0"/>
                <w:sz w:val="22"/>
                <w:szCs w:val="22"/>
                <w14:ligatures w14:val="none"/>
              </w:rPr>
              <w:t xml:space="preserve"> </w:t>
            </w:r>
            <w:r w:rsidRPr="00BA66BD">
              <w:rPr>
                <w:rFonts w:ascii="Calibri" w:eastAsia="Calibri" w:hAnsi="Calibri" w:cs="Calibri"/>
                <w:kern w:val="0"/>
                <w:sz w:val="22"/>
                <w:szCs w:val="22"/>
                <w14:ligatures w14:val="none"/>
              </w:rPr>
              <w:t>innovation,</w:t>
            </w:r>
            <w:r w:rsidRPr="00BA66BD">
              <w:rPr>
                <w:rFonts w:ascii="Calibri" w:eastAsia="Calibri" w:hAnsi="Calibri" w:cs="Calibri"/>
                <w:spacing w:val="-5"/>
                <w:kern w:val="0"/>
                <w:sz w:val="22"/>
                <w:szCs w:val="22"/>
                <w14:ligatures w14:val="none"/>
              </w:rPr>
              <w:t xml:space="preserve"> </w:t>
            </w:r>
            <w:r w:rsidRPr="00BA66BD">
              <w:rPr>
                <w:rFonts w:ascii="Calibri" w:eastAsia="Calibri" w:hAnsi="Calibri" w:cs="Calibri"/>
                <w:kern w:val="0"/>
                <w:sz w:val="22"/>
                <w:szCs w:val="22"/>
                <w14:ligatures w14:val="none"/>
              </w:rPr>
              <w:t>and</w:t>
            </w:r>
            <w:r w:rsidRPr="00BA66BD">
              <w:rPr>
                <w:rFonts w:ascii="Calibri" w:eastAsia="Calibri" w:hAnsi="Calibri" w:cs="Calibri"/>
                <w:spacing w:val="-4"/>
                <w:kern w:val="0"/>
                <w:sz w:val="22"/>
                <w:szCs w:val="22"/>
                <w14:ligatures w14:val="none"/>
              </w:rPr>
              <w:t xml:space="preserve"> </w:t>
            </w:r>
            <w:r w:rsidRPr="00BA66BD">
              <w:rPr>
                <w:rFonts w:ascii="Calibri" w:eastAsia="Calibri" w:hAnsi="Calibri" w:cs="Calibri"/>
                <w:kern w:val="0"/>
                <w:sz w:val="22"/>
                <w:szCs w:val="22"/>
                <w14:ligatures w14:val="none"/>
              </w:rPr>
              <w:t>continuous</w:t>
            </w:r>
            <w:r w:rsidRPr="00BA66BD">
              <w:rPr>
                <w:rFonts w:ascii="Calibri" w:eastAsia="Calibri" w:hAnsi="Calibri" w:cs="Calibri"/>
                <w:spacing w:val="-3"/>
                <w:kern w:val="0"/>
                <w:sz w:val="22"/>
                <w:szCs w:val="22"/>
                <w14:ligatures w14:val="none"/>
              </w:rPr>
              <w:t xml:space="preserve"> </w:t>
            </w:r>
            <w:r w:rsidRPr="00BA66BD">
              <w:rPr>
                <w:rFonts w:ascii="Calibri" w:eastAsia="Calibri" w:hAnsi="Calibri" w:cs="Calibri"/>
                <w:kern w:val="0"/>
                <w:sz w:val="22"/>
                <w:szCs w:val="22"/>
                <w14:ligatures w14:val="none"/>
              </w:rPr>
              <w:t>improvement. Mandatory standards are</w:t>
            </w:r>
            <w:r w:rsidRPr="00BA66BD">
              <w:rPr>
                <w:rFonts w:ascii="Calibri" w:eastAsia="Calibri" w:hAnsi="Calibri" w:cs="Calibri"/>
                <w:spacing w:val="-2"/>
                <w:kern w:val="0"/>
                <w:sz w:val="22"/>
                <w:szCs w:val="22"/>
                <w14:ligatures w14:val="none"/>
              </w:rPr>
              <w:t xml:space="preserve"> </w:t>
            </w:r>
            <w:r w:rsidRPr="00BA66BD">
              <w:rPr>
                <w:rFonts w:ascii="Calibri" w:eastAsia="Calibri" w:hAnsi="Calibri" w:cs="Calibri"/>
                <w:kern w:val="0"/>
                <w:sz w:val="22"/>
                <w:szCs w:val="22"/>
                <w14:ligatures w14:val="none"/>
              </w:rPr>
              <w:t>needed</w:t>
            </w:r>
            <w:r w:rsidRPr="00BA66BD">
              <w:rPr>
                <w:rFonts w:ascii="Calibri" w:eastAsia="Calibri" w:hAnsi="Calibri" w:cs="Calibri"/>
                <w:spacing w:val="-1"/>
                <w:kern w:val="0"/>
                <w:sz w:val="22"/>
                <w:szCs w:val="22"/>
                <w14:ligatures w14:val="none"/>
              </w:rPr>
              <w:t xml:space="preserve"> </w:t>
            </w:r>
            <w:r w:rsidRPr="00BA66BD">
              <w:rPr>
                <w:rFonts w:ascii="Calibri" w:eastAsia="Calibri" w:hAnsi="Calibri" w:cs="Calibri"/>
                <w:kern w:val="0"/>
                <w:sz w:val="22"/>
                <w:szCs w:val="22"/>
                <w14:ligatures w14:val="none"/>
              </w:rPr>
              <w:t>to</w:t>
            </w:r>
            <w:r w:rsidRPr="00BA66BD">
              <w:rPr>
                <w:rFonts w:ascii="Calibri" w:eastAsia="Calibri" w:hAnsi="Calibri" w:cs="Calibri"/>
                <w:spacing w:val="-1"/>
                <w:kern w:val="0"/>
                <w:sz w:val="22"/>
                <w:szCs w:val="22"/>
                <w14:ligatures w14:val="none"/>
              </w:rPr>
              <w:t xml:space="preserve"> </w:t>
            </w:r>
            <w:r w:rsidRPr="00BA66BD">
              <w:rPr>
                <w:rFonts w:ascii="Calibri" w:eastAsia="Calibri" w:hAnsi="Calibri" w:cs="Calibri"/>
                <w:kern w:val="0"/>
                <w:sz w:val="22"/>
                <w:szCs w:val="22"/>
                <w14:ligatures w14:val="none"/>
              </w:rPr>
              <w:t>establish</w:t>
            </w:r>
            <w:r w:rsidRPr="00BA66BD">
              <w:rPr>
                <w:rFonts w:ascii="Calibri" w:eastAsia="Calibri" w:hAnsi="Calibri" w:cs="Calibri"/>
                <w:spacing w:val="-1"/>
                <w:kern w:val="0"/>
                <w:sz w:val="22"/>
                <w:szCs w:val="22"/>
                <w14:ligatures w14:val="none"/>
              </w:rPr>
              <w:t xml:space="preserve"> </w:t>
            </w:r>
            <w:r w:rsidRPr="00BA66BD">
              <w:rPr>
                <w:rFonts w:ascii="Calibri" w:eastAsia="Calibri" w:hAnsi="Calibri" w:cs="Calibri"/>
                <w:kern w:val="0"/>
                <w:sz w:val="22"/>
                <w:szCs w:val="22"/>
                <w14:ligatures w14:val="none"/>
              </w:rPr>
              <w:t>a</w:t>
            </w:r>
            <w:r w:rsidRPr="00BA66BD">
              <w:rPr>
                <w:rFonts w:ascii="Calibri" w:eastAsia="Calibri" w:hAnsi="Calibri" w:cs="Calibri"/>
                <w:spacing w:val="-2"/>
                <w:kern w:val="0"/>
                <w:sz w:val="22"/>
                <w:szCs w:val="22"/>
                <w14:ligatures w14:val="none"/>
              </w:rPr>
              <w:t xml:space="preserve"> </w:t>
            </w:r>
            <w:r w:rsidRPr="00BA66BD">
              <w:rPr>
                <w:rFonts w:ascii="Calibri" w:eastAsia="Calibri" w:hAnsi="Calibri" w:cs="Calibri"/>
                <w:kern w:val="0"/>
                <w:sz w:val="22"/>
                <w:szCs w:val="22"/>
                <w14:ligatures w14:val="none"/>
              </w:rPr>
              <w:t>consistent baseline across</w:t>
            </w:r>
            <w:r w:rsidRPr="00BA66BD">
              <w:rPr>
                <w:rFonts w:ascii="Calibri" w:eastAsia="Calibri" w:hAnsi="Calibri" w:cs="Calibri"/>
                <w:spacing w:val="-2"/>
                <w:kern w:val="0"/>
                <w:sz w:val="22"/>
                <w:szCs w:val="22"/>
                <w14:ligatures w14:val="none"/>
              </w:rPr>
              <w:t xml:space="preserve"> </w:t>
            </w:r>
            <w:r w:rsidRPr="00BA66BD">
              <w:rPr>
                <w:rFonts w:ascii="Calibri" w:eastAsia="Calibri" w:hAnsi="Calibri" w:cs="Calibri"/>
                <w:kern w:val="0"/>
                <w:sz w:val="22"/>
                <w:szCs w:val="22"/>
                <w14:ligatures w14:val="none"/>
              </w:rPr>
              <w:t>all producers and</w:t>
            </w:r>
            <w:r w:rsidRPr="00BA66BD">
              <w:rPr>
                <w:rFonts w:ascii="Calibri" w:eastAsia="Calibri" w:hAnsi="Calibri" w:cs="Calibri"/>
                <w:spacing w:val="-1"/>
                <w:kern w:val="0"/>
                <w:sz w:val="22"/>
                <w:szCs w:val="22"/>
                <w14:ligatures w14:val="none"/>
              </w:rPr>
              <w:t xml:space="preserve"> </w:t>
            </w:r>
            <w:r w:rsidRPr="00BA66BD">
              <w:rPr>
                <w:rFonts w:ascii="Calibri" w:eastAsia="Calibri" w:hAnsi="Calibri" w:cs="Calibri"/>
                <w:kern w:val="0"/>
                <w:sz w:val="22"/>
                <w:szCs w:val="22"/>
                <w14:ligatures w14:val="none"/>
              </w:rPr>
              <w:t>ensure</w:t>
            </w:r>
            <w:r w:rsidRPr="00BA66BD">
              <w:rPr>
                <w:rFonts w:ascii="Calibri" w:eastAsia="Calibri" w:hAnsi="Calibri" w:cs="Calibri"/>
                <w:spacing w:val="-2"/>
                <w:kern w:val="0"/>
                <w:sz w:val="22"/>
                <w:szCs w:val="22"/>
                <w14:ligatures w14:val="none"/>
              </w:rPr>
              <w:t xml:space="preserve"> </w:t>
            </w:r>
            <w:r w:rsidRPr="00BA66BD">
              <w:rPr>
                <w:rFonts w:ascii="Calibri" w:eastAsia="Calibri" w:hAnsi="Calibri" w:cs="Calibri"/>
                <w:kern w:val="0"/>
                <w:sz w:val="22"/>
                <w:szCs w:val="22"/>
                <w14:ligatures w14:val="none"/>
              </w:rPr>
              <w:t>that progress is not limited to market leaders.</w:t>
            </w:r>
            <w:r>
              <w:rPr>
                <w:rFonts w:ascii="Calibri" w:eastAsia="Calibri" w:hAnsi="Calibri" w:cs="Calibri"/>
                <w:kern w:val="0"/>
                <w:sz w:val="22"/>
                <w:szCs w:val="22"/>
                <w14:ligatures w14:val="none"/>
              </w:rPr>
              <w:t>”</w:t>
            </w:r>
          </w:p>
        </w:tc>
        <w:tc>
          <w:tcPr>
            <w:tcW w:w="4405" w:type="dxa"/>
          </w:tcPr>
          <w:p w14:paraId="60184F7F" w14:textId="6BD66E54" w:rsidR="00604480" w:rsidRDefault="00845F50" w:rsidP="00123358">
            <w:r>
              <w:t>We are supportive of this, provided the ramification</w:t>
            </w:r>
            <w:r w:rsidR="009E05EA">
              <w:t>s</w:t>
            </w:r>
            <w:r>
              <w:t xml:space="preserve"> of </w:t>
            </w:r>
            <w:r w:rsidR="002E5722">
              <w:t>setting standards are well understood</w:t>
            </w:r>
            <w:r w:rsidR="009E05EA">
              <w:t xml:space="preserve"> and consumer costs are not significantly impacted</w:t>
            </w:r>
            <w:r w:rsidR="002E5722">
              <w:t xml:space="preserve">. </w:t>
            </w:r>
          </w:p>
        </w:tc>
      </w:tr>
      <w:tr w:rsidR="00604480" w14:paraId="0C64F27B" w14:textId="77777777" w:rsidTr="00123358">
        <w:tc>
          <w:tcPr>
            <w:tcW w:w="783" w:type="dxa"/>
          </w:tcPr>
          <w:p w14:paraId="077C2DA9" w14:textId="77777777" w:rsidR="00604480" w:rsidRDefault="00604480" w:rsidP="00123358">
            <w:r>
              <w:t>103</w:t>
            </w:r>
          </w:p>
        </w:tc>
        <w:tc>
          <w:tcPr>
            <w:tcW w:w="4162" w:type="dxa"/>
          </w:tcPr>
          <w:p w14:paraId="41F05E26" w14:textId="77777777" w:rsidR="00604480" w:rsidRDefault="00604480" w:rsidP="00123358">
            <w:r>
              <w:rPr>
                <w:b/>
              </w:rPr>
              <w:t>“</w:t>
            </w:r>
            <w:r w:rsidRPr="006B5257">
              <w:rPr>
                <w:b/>
              </w:rPr>
              <w:t>CII education and enforcement programs</w:t>
            </w:r>
            <w:r w:rsidRPr="006B5257">
              <w:t xml:space="preserve">: require property owners or managers to provide recycling and organics services, signage, and tenant </w:t>
            </w:r>
            <w:proofErr w:type="gramStart"/>
            <w:r w:rsidRPr="006B5257">
              <w:t>education;</w:t>
            </w:r>
            <w:r>
              <w:t>…</w:t>
            </w:r>
            <w:proofErr w:type="gramEnd"/>
            <w:r>
              <w:t>”</w:t>
            </w:r>
          </w:p>
        </w:tc>
        <w:tc>
          <w:tcPr>
            <w:tcW w:w="4405" w:type="dxa"/>
          </w:tcPr>
          <w:p w14:paraId="3D58A2A9" w14:textId="77777777" w:rsidR="00604480" w:rsidRDefault="00604480" w:rsidP="00123358">
            <w:r>
              <w:t>Is the state going to mandate this aspect of collection to help support local policy implementation? Trying to implement a broad CII disposal mandate at the local level with limited support would be tough.</w:t>
            </w:r>
          </w:p>
        </w:tc>
      </w:tr>
      <w:tr w:rsidR="00604480" w14:paraId="63064B29" w14:textId="77777777" w:rsidTr="00123358">
        <w:tc>
          <w:tcPr>
            <w:tcW w:w="783" w:type="dxa"/>
          </w:tcPr>
          <w:p w14:paraId="17B71E4B" w14:textId="77777777" w:rsidR="00604480" w:rsidRDefault="00604480" w:rsidP="00123358">
            <w:r>
              <w:t>104</w:t>
            </w:r>
          </w:p>
        </w:tc>
        <w:tc>
          <w:tcPr>
            <w:tcW w:w="4162" w:type="dxa"/>
          </w:tcPr>
          <w:p w14:paraId="6711F344" w14:textId="77777777" w:rsidR="00604480" w:rsidRDefault="00604480" w:rsidP="00123358">
            <w:r>
              <w:rPr>
                <w:b/>
              </w:rPr>
              <w:t>“</w:t>
            </w:r>
            <w:r>
              <w:t>Formula-Based</w:t>
            </w:r>
            <w:r>
              <w:rPr>
                <w:spacing w:val="-7"/>
              </w:rPr>
              <w:t xml:space="preserve"> </w:t>
            </w:r>
            <w:r>
              <w:t>Funding</w:t>
            </w:r>
            <w:r>
              <w:rPr>
                <w:spacing w:val="-6"/>
              </w:rPr>
              <w:t xml:space="preserve"> </w:t>
            </w:r>
            <w:r>
              <w:t>(Stable</w:t>
            </w:r>
            <w:r>
              <w:rPr>
                <w:spacing w:val="-6"/>
              </w:rPr>
              <w:t xml:space="preserve"> </w:t>
            </w:r>
            <w:r>
              <w:t>and</w:t>
            </w:r>
            <w:r>
              <w:rPr>
                <w:spacing w:val="-6"/>
              </w:rPr>
              <w:t xml:space="preserve"> </w:t>
            </w:r>
            <w:r>
              <w:rPr>
                <w:spacing w:val="-2"/>
              </w:rPr>
              <w:t>Recurring)</w:t>
            </w:r>
          </w:p>
          <w:p w14:paraId="36AE779B" w14:textId="77777777" w:rsidR="00604480" w:rsidRDefault="00604480" w:rsidP="00123358">
            <w:r>
              <w:t>Minnesota’s</w:t>
            </w:r>
            <w:r>
              <w:rPr>
                <w:spacing w:val="-5"/>
              </w:rPr>
              <w:t xml:space="preserve"> </w:t>
            </w:r>
            <w:r>
              <w:t>core</w:t>
            </w:r>
            <w:r>
              <w:rPr>
                <w:spacing w:val="-3"/>
              </w:rPr>
              <w:t xml:space="preserve"> </w:t>
            </w:r>
            <w:r>
              <w:t>funding</w:t>
            </w:r>
            <w:r>
              <w:rPr>
                <w:spacing w:val="-4"/>
              </w:rPr>
              <w:t xml:space="preserve"> </w:t>
            </w:r>
            <w:r>
              <w:t>structure</w:t>
            </w:r>
            <w:r>
              <w:rPr>
                <w:spacing w:val="-3"/>
              </w:rPr>
              <w:t xml:space="preserve"> </w:t>
            </w:r>
            <w:r>
              <w:t>includes</w:t>
            </w:r>
            <w:r>
              <w:rPr>
                <w:spacing w:val="-5"/>
              </w:rPr>
              <w:t xml:space="preserve"> </w:t>
            </w:r>
            <w:proofErr w:type="gramStart"/>
            <w:r>
              <w:t>formula based</w:t>
            </w:r>
            <w:proofErr w:type="gramEnd"/>
            <w:r>
              <w:rPr>
                <w:spacing w:val="-4"/>
              </w:rPr>
              <w:t xml:space="preserve"> </w:t>
            </w:r>
            <w:r>
              <w:t>allocations</w:t>
            </w:r>
            <w:r>
              <w:rPr>
                <w:spacing w:val="-5"/>
              </w:rPr>
              <w:t xml:space="preserve"> </w:t>
            </w:r>
            <w:r>
              <w:t>that</w:t>
            </w:r>
            <w:r>
              <w:rPr>
                <w:spacing w:val="-5"/>
              </w:rPr>
              <w:t xml:space="preserve"> </w:t>
            </w:r>
            <w:r>
              <w:t>provide</w:t>
            </w:r>
            <w:r>
              <w:rPr>
                <w:spacing w:val="-3"/>
              </w:rPr>
              <w:t xml:space="preserve"> </w:t>
            </w:r>
            <w:r>
              <w:t>predictable</w:t>
            </w:r>
            <w:r>
              <w:rPr>
                <w:spacing w:val="-5"/>
              </w:rPr>
              <w:t xml:space="preserve"> </w:t>
            </w:r>
            <w:r>
              <w:t>annual support to counties:</w:t>
            </w:r>
          </w:p>
          <w:p w14:paraId="5E2F5178" w14:textId="77777777" w:rsidR="00604480" w:rsidRDefault="00604480" w:rsidP="00123358">
            <w:r w:rsidRPr="002E18A9">
              <w:rPr>
                <w:b/>
              </w:rPr>
              <w:t>SCORE</w:t>
            </w:r>
            <w:r w:rsidRPr="002E18A9">
              <w:rPr>
                <w:b/>
                <w:spacing w:val="-4"/>
              </w:rPr>
              <w:t xml:space="preserve"> </w:t>
            </w:r>
            <w:r w:rsidRPr="002E18A9">
              <w:rPr>
                <w:b/>
              </w:rPr>
              <w:t>Grants</w:t>
            </w:r>
            <w:r>
              <w:t>:</w:t>
            </w:r>
            <w:r w:rsidRPr="002E18A9">
              <w:rPr>
                <w:spacing w:val="-1"/>
              </w:rPr>
              <w:t xml:space="preserve"> </w:t>
            </w:r>
            <w:r>
              <w:t>established</w:t>
            </w:r>
            <w:r w:rsidRPr="002E18A9">
              <w:rPr>
                <w:spacing w:val="-5"/>
              </w:rPr>
              <w:t xml:space="preserve"> </w:t>
            </w:r>
            <w:r>
              <w:t>in</w:t>
            </w:r>
            <w:r w:rsidRPr="002E18A9">
              <w:rPr>
                <w:spacing w:val="-3"/>
              </w:rPr>
              <w:t xml:space="preserve"> </w:t>
            </w:r>
            <w:r>
              <w:t>1989,</w:t>
            </w:r>
            <w:r w:rsidRPr="002E18A9">
              <w:rPr>
                <w:spacing w:val="-4"/>
              </w:rPr>
              <w:t xml:space="preserve"> </w:t>
            </w:r>
            <w:r>
              <w:t>allocate</w:t>
            </w:r>
            <w:r w:rsidRPr="002E18A9">
              <w:rPr>
                <w:spacing w:val="-4"/>
              </w:rPr>
              <w:t xml:space="preserve"> </w:t>
            </w:r>
            <w:r>
              <w:t>state</w:t>
            </w:r>
            <w:r w:rsidRPr="002E18A9">
              <w:rPr>
                <w:spacing w:val="-1"/>
              </w:rPr>
              <w:t xml:space="preserve"> </w:t>
            </w:r>
            <w:r>
              <w:t>revenues</w:t>
            </w:r>
            <w:r w:rsidRPr="002E18A9">
              <w:rPr>
                <w:spacing w:val="-2"/>
              </w:rPr>
              <w:t xml:space="preserve"> </w:t>
            </w:r>
            <w:r>
              <w:t>to</w:t>
            </w:r>
            <w:r w:rsidRPr="002E18A9">
              <w:rPr>
                <w:spacing w:val="-3"/>
              </w:rPr>
              <w:t xml:space="preserve"> </w:t>
            </w:r>
            <w:r>
              <w:t>counties</w:t>
            </w:r>
            <w:r w:rsidRPr="002E18A9">
              <w:rPr>
                <w:spacing w:val="-4"/>
              </w:rPr>
              <w:t xml:space="preserve"> </w:t>
            </w:r>
            <w:r>
              <w:t>to</w:t>
            </w:r>
            <w:r w:rsidRPr="002E18A9">
              <w:rPr>
                <w:spacing w:val="-3"/>
              </w:rPr>
              <w:t xml:space="preserve"> </w:t>
            </w:r>
            <w:r>
              <w:t>support</w:t>
            </w:r>
            <w:r w:rsidRPr="002E18A9">
              <w:rPr>
                <w:spacing w:val="-1"/>
              </w:rPr>
              <w:t xml:space="preserve"> </w:t>
            </w:r>
            <w:r>
              <w:t xml:space="preserve">recycling programs, household hazardous waste (HHW) management, public education, and waste reduction initiatives; counties </w:t>
            </w:r>
            <w:r>
              <w:lastRenderedPageBreak/>
              <w:t>retain flexibility to tailor implementation to local needs</w:t>
            </w:r>
          </w:p>
          <w:p w14:paraId="58555277" w14:textId="77777777" w:rsidR="00604480" w:rsidRDefault="00604480" w:rsidP="00123358">
            <w:r w:rsidRPr="002E18A9">
              <w:rPr>
                <w:b/>
              </w:rPr>
              <w:t>Local</w:t>
            </w:r>
            <w:r w:rsidRPr="002E18A9">
              <w:rPr>
                <w:b/>
                <w:spacing w:val="-2"/>
              </w:rPr>
              <w:t xml:space="preserve"> </w:t>
            </w:r>
            <w:r w:rsidRPr="002E18A9">
              <w:rPr>
                <w:b/>
              </w:rPr>
              <w:t>Recycling</w:t>
            </w:r>
            <w:r w:rsidRPr="002E18A9">
              <w:rPr>
                <w:b/>
                <w:spacing w:val="-2"/>
              </w:rPr>
              <w:t xml:space="preserve"> </w:t>
            </w:r>
            <w:r w:rsidRPr="002E18A9">
              <w:rPr>
                <w:b/>
              </w:rPr>
              <w:t>Development</w:t>
            </w:r>
            <w:r w:rsidRPr="002E18A9">
              <w:rPr>
                <w:b/>
                <w:spacing w:val="-3"/>
              </w:rPr>
              <w:t xml:space="preserve"> </w:t>
            </w:r>
            <w:r w:rsidRPr="002E18A9">
              <w:rPr>
                <w:b/>
              </w:rPr>
              <w:t>Grants</w:t>
            </w:r>
            <w:r w:rsidRPr="002E18A9">
              <w:rPr>
                <w:b/>
                <w:spacing w:val="-5"/>
              </w:rPr>
              <w:t xml:space="preserve"> </w:t>
            </w:r>
            <w:r w:rsidRPr="002E18A9">
              <w:rPr>
                <w:b/>
              </w:rPr>
              <w:t>(LRDG)</w:t>
            </w:r>
            <w:r>
              <w:t>:</w:t>
            </w:r>
            <w:r w:rsidRPr="002E18A9">
              <w:rPr>
                <w:spacing w:val="-4"/>
              </w:rPr>
              <w:t xml:space="preserve"> </w:t>
            </w:r>
            <w:r>
              <w:t>provide</w:t>
            </w:r>
            <w:r w:rsidRPr="002E18A9">
              <w:rPr>
                <w:spacing w:val="-5"/>
              </w:rPr>
              <w:t xml:space="preserve"> </w:t>
            </w:r>
            <w:r>
              <w:t>ongoing</w:t>
            </w:r>
            <w:r w:rsidRPr="002E18A9">
              <w:rPr>
                <w:spacing w:val="-4"/>
              </w:rPr>
              <w:t xml:space="preserve"> </w:t>
            </w:r>
            <w:r>
              <w:t>funding</w:t>
            </w:r>
            <w:r w:rsidRPr="002E18A9">
              <w:rPr>
                <w:spacing w:val="-4"/>
              </w:rPr>
              <w:t xml:space="preserve"> </w:t>
            </w:r>
            <w:r>
              <w:t>to</w:t>
            </w:r>
            <w:r w:rsidRPr="002E18A9">
              <w:rPr>
                <w:spacing w:val="-4"/>
              </w:rPr>
              <w:t xml:space="preserve"> </w:t>
            </w:r>
            <w:r>
              <w:t>metropolitan</w:t>
            </w:r>
            <w:r w:rsidRPr="002E18A9">
              <w:rPr>
                <w:spacing w:val="-4"/>
              </w:rPr>
              <w:t xml:space="preserve"> </w:t>
            </w:r>
            <w:r>
              <w:t>counties within the TCMA to support regional recycling and organics initiatives</w:t>
            </w:r>
          </w:p>
          <w:p w14:paraId="5C499252" w14:textId="77777777" w:rsidR="00604480" w:rsidRPr="008A7684" w:rsidRDefault="00604480" w:rsidP="00123358">
            <w:r>
              <w:t>These</w:t>
            </w:r>
            <w:r>
              <w:rPr>
                <w:spacing w:val="-3"/>
              </w:rPr>
              <w:t xml:space="preserve"> </w:t>
            </w:r>
            <w:r>
              <w:t>formula-based</w:t>
            </w:r>
            <w:r>
              <w:rPr>
                <w:spacing w:val="-4"/>
              </w:rPr>
              <w:t xml:space="preserve"> </w:t>
            </w:r>
            <w:r>
              <w:t>programs</w:t>
            </w:r>
            <w:r>
              <w:rPr>
                <w:spacing w:val="-4"/>
              </w:rPr>
              <w:t xml:space="preserve"> </w:t>
            </w:r>
            <w:r>
              <w:t>form</w:t>
            </w:r>
            <w:r>
              <w:rPr>
                <w:spacing w:val="-3"/>
              </w:rPr>
              <w:t xml:space="preserve"> </w:t>
            </w:r>
            <w:r>
              <w:t>the</w:t>
            </w:r>
            <w:r>
              <w:rPr>
                <w:spacing w:val="-3"/>
              </w:rPr>
              <w:t xml:space="preserve"> </w:t>
            </w:r>
            <w:r>
              <w:t>backbone</w:t>
            </w:r>
            <w:r>
              <w:rPr>
                <w:spacing w:val="-5"/>
              </w:rPr>
              <w:t xml:space="preserve"> </w:t>
            </w:r>
            <w:r>
              <w:t>of</w:t>
            </w:r>
            <w:r>
              <w:rPr>
                <w:spacing w:val="-5"/>
              </w:rPr>
              <w:t xml:space="preserve"> </w:t>
            </w:r>
            <w:r>
              <w:t>Minnesota’s</w:t>
            </w:r>
            <w:r>
              <w:rPr>
                <w:spacing w:val="-4"/>
              </w:rPr>
              <w:t xml:space="preserve"> </w:t>
            </w:r>
            <w:r>
              <w:t>diversion</w:t>
            </w:r>
            <w:r>
              <w:rPr>
                <w:spacing w:val="-4"/>
              </w:rPr>
              <w:t xml:space="preserve"> </w:t>
            </w:r>
            <w:r>
              <w:t>infrastructure</w:t>
            </w:r>
            <w:r>
              <w:rPr>
                <w:spacing w:val="-3"/>
              </w:rPr>
              <w:t xml:space="preserve"> </w:t>
            </w:r>
            <w:r>
              <w:t>and</w:t>
            </w:r>
            <w:r>
              <w:rPr>
                <w:spacing w:val="-4"/>
              </w:rPr>
              <w:t xml:space="preserve"> </w:t>
            </w:r>
            <w:r>
              <w:t>provide consistent support for education, operations, and compliance activities.”</w:t>
            </w:r>
          </w:p>
        </w:tc>
        <w:tc>
          <w:tcPr>
            <w:tcW w:w="4405" w:type="dxa"/>
          </w:tcPr>
          <w:p w14:paraId="0D7F2DA2" w14:textId="77777777" w:rsidR="00604480" w:rsidRDefault="00604480" w:rsidP="00123358">
            <w:r>
              <w:lastRenderedPageBreak/>
              <w:t xml:space="preserve">It should come as no surprise that current distributions of SCORE funding throughout Greater MN are consistently too low to cover the cost of extensive recycling programming. How does the state intend to adjust this distribution to help reach the goals highlighted throughout the first portion of this report? If the intent (as later discussed on page 105) is to rely on a mixed funding model, how will local jurisdictions with limited existing infrastructure (and who exist in proximity </w:t>
            </w:r>
            <w:r>
              <w:lastRenderedPageBreak/>
              <w:t>to outstate disposal resources without these requirements) ensure that additional funding needs are met?</w:t>
            </w:r>
          </w:p>
        </w:tc>
      </w:tr>
      <w:tr w:rsidR="00604480" w14:paraId="26096F0F" w14:textId="77777777" w:rsidTr="00123358">
        <w:tc>
          <w:tcPr>
            <w:tcW w:w="783" w:type="dxa"/>
          </w:tcPr>
          <w:p w14:paraId="037E3D4A" w14:textId="77777777" w:rsidR="00604480" w:rsidRDefault="00604480" w:rsidP="00123358">
            <w:r>
              <w:lastRenderedPageBreak/>
              <w:t>107</w:t>
            </w:r>
          </w:p>
        </w:tc>
        <w:tc>
          <w:tcPr>
            <w:tcW w:w="4162" w:type="dxa"/>
          </w:tcPr>
          <w:p w14:paraId="1D01E7BF" w14:textId="77777777" w:rsidR="00604480" w:rsidRPr="00737CED" w:rsidRDefault="00604480" w:rsidP="00123358">
            <w:pPr>
              <w:pStyle w:val="Heading6"/>
              <w:spacing w:before="113"/>
              <w:rPr>
                <w:bCs/>
              </w:rPr>
            </w:pPr>
            <w:r>
              <w:rPr>
                <w:bCs/>
                <w:i w:val="0"/>
                <w:iCs w:val="0"/>
              </w:rPr>
              <w:t>“</w:t>
            </w:r>
            <w:r w:rsidRPr="00737CED">
              <w:rPr>
                <w:bCs/>
              </w:rPr>
              <w:t xml:space="preserve">Even with ambitious prevention, reuse, and source-separated recycling programs, it is unlikely that Minnesota could reach 90% diversion without some role for MWP. MWP facilities can recover recyclable materials and organics that are </w:t>
            </w:r>
            <w:proofErr w:type="gramStart"/>
            <w:r w:rsidRPr="00737CED">
              <w:rPr>
                <w:bCs/>
              </w:rPr>
              <w:t>missed</w:t>
            </w:r>
            <w:proofErr w:type="gramEnd"/>
            <w:r w:rsidRPr="00737CED">
              <w:rPr>
                <w:bCs/>
              </w:rPr>
              <w:t xml:space="preserve"> upstream, but they do so at higher cost and with lower-value outputs.</w:t>
            </w:r>
            <w:r>
              <w:rPr>
                <w:bCs/>
              </w:rPr>
              <w:t>”</w:t>
            </w:r>
          </w:p>
        </w:tc>
        <w:tc>
          <w:tcPr>
            <w:tcW w:w="4405" w:type="dxa"/>
          </w:tcPr>
          <w:p w14:paraId="6D245623" w14:textId="77777777" w:rsidR="00604480" w:rsidRDefault="00604480" w:rsidP="00123358">
            <w:r>
              <w:t>Does the state intend to continue supporting the role of mixed waste processing as an interim measure for 1) diversion of current and legacy waste streams and 2) building modular capital that can pivot to support new systems, given the limited practicality of implementing broad systems for reuse and recycling from scratch?</w:t>
            </w:r>
          </w:p>
        </w:tc>
      </w:tr>
    </w:tbl>
    <w:p w14:paraId="1A3D3BD8" w14:textId="77777777" w:rsidR="008A2B5B" w:rsidRDefault="008A2B5B" w:rsidP="00520DCF"/>
    <w:p w14:paraId="3C4223DF" w14:textId="6767F55F" w:rsidR="003E7B55" w:rsidRDefault="004A7441" w:rsidP="00520DCF">
      <w:r w:rsidRPr="004A7441">
        <w:t>Thank you again for the opportunity to share our feedback. We appreciate your work on this report.</w:t>
      </w:r>
    </w:p>
    <w:p w14:paraId="57413C85" w14:textId="77777777" w:rsidR="004A7441" w:rsidRDefault="004A7441" w:rsidP="00520DCF"/>
    <w:p w14:paraId="42831BF6" w14:textId="64F7350E" w:rsidR="004A7441" w:rsidRDefault="004A7441" w:rsidP="00520DCF">
      <w:r>
        <w:t>Sincerely,</w:t>
      </w:r>
    </w:p>
    <w:p w14:paraId="7FD16292" w14:textId="42087F45" w:rsidR="004A7441" w:rsidRPr="005869A6" w:rsidRDefault="005869A6" w:rsidP="00520DCF">
      <w:pPr>
        <w:rPr>
          <w:rFonts w:ascii="Rastanty Cortez" w:hAnsi="Rastanty Cortez"/>
          <w:sz w:val="56"/>
          <w:szCs w:val="56"/>
        </w:rPr>
      </w:pPr>
      <w:r w:rsidRPr="005869A6">
        <w:rPr>
          <w:rFonts w:ascii="Rastanty Cortez" w:hAnsi="Rastanty Cortez"/>
          <w:sz w:val="56"/>
          <w:szCs w:val="56"/>
        </w:rPr>
        <w:t>Taylor Piotter</w:t>
      </w:r>
    </w:p>
    <w:p w14:paraId="1FE3196D" w14:textId="753F90FF" w:rsidR="00AC71EE" w:rsidRDefault="00AC71EE" w:rsidP="005869A6">
      <w:pPr>
        <w:spacing w:after="0"/>
      </w:pPr>
      <w:r>
        <w:t xml:space="preserve">Taylor Piotter </w:t>
      </w:r>
    </w:p>
    <w:p w14:paraId="02405794" w14:textId="2A8D94C7" w:rsidR="00AC71EE" w:rsidRDefault="00AC71EE" w:rsidP="005869A6">
      <w:pPr>
        <w:spacing w:after="0"/>
      </w:pPr>
      <w:r>
        <w:t>Blue Earth County Property and Environmental Services</w:t>
      </w:r>
    </w:p>
    <w:p w14:paraId="03B95A07" w14:textId="74F97FE2" w:rsidR="00AF65BB" w:rsidRDefault="00AC71EE" w:rsidP="005869A6">
      <w:pPr>
        <w:spacing w:after="0"/>
      </w:pPr>
      <w:r>
        <w:t>507-304-4106</w:t>
      </w:r>
    </w:p>
    <w:p w14:paraId="3C4A989E" w14:textId="13749D38" w:rsidR="00AF65BB" w:rsidRPr="00520DCF" w:rsidRDefault="00AF65BB" w:rsidP="005869A6">
      <w:pPr>
        <w:spacing w:after="0"/>
      </w:pPr>
      <w:r>
        <w:t>taylor.piotter@blueearthcountymn.gov</w:t>
      </w:r>
    </w:p>
    <w:sectPr w:rsidR="00AF65BB" w:rsidRPr="00520DCF" w:rsidSect="009E1A70">
      <w:headerReference w:type="even" r:id="rId11"/>
      <w:headerReference w:type="default" r:id="rId12"/>
      <w:footerReference w:type="even" r:id="rId13"/>
      <w:footerReference w:type="default" r:id="rId14"/>
      <w:headerReference w:type="first" r:id="rId15"/>
      <w:footerReference w:type="first" r:id="rId16"/>
      <w:type w:val="continuous"/>
      <w:pgSz w:w="12240" w:h="15840"/>
      <w:pgMar w:top="2520" w:right="1440" w:bottom="1440" w:left="144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362CF" w14:textId="77777777" w:rsidR="00A5283E" w:rsidRDefault="00A5283E" w:rsidP="005F7B8F">
      <w:pPr>
        <w:spacing w:after="0" w:line="240" w:lineRule="auto"/>
      </w:pPr>
      <w:r>
        <w:separator/>
      </w:r>
    </w:p>
  </w:endnote>
  <w:endnote w:type="continuationSeparator" w:id="0">
    <w:p w14:paraId="054F6450" w14:textId="77777777" w:rsidR="00A5283E" w:rsidRDefault="00A5283E" w:rsidP="005F7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Rastanty Cortez">
    <w:charset w:val="00"/>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F99D" w14:textId="77777777" w:rsidR="00FF3EBE" w:rsidRDefault="00FF3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C98F1" w14:textId="7E7C7A1E" w:rsidR="005017BD" w:rsidRPr="00B90B7D" w:rsidRDefault="005017BD" w:rsidP="005017BD">
    <w:pPr>
      <w:spacing w:after="0"/>
      <w:jc w:val="center"/>
      <w:rPr>
        <w:rFonts w:cs="Calibri"/>
        <w:i/>
        <w:iCs/>
        <w:color w:val="0D0D0D" w:themeColor="text1" w:themeTint="F2"/>
        <w:sz w:val="22"/>
        <w:szCs w:val="22"/>
      </w:rPr>
    </w:pPr>
    <w:r w:rsidRPr="00B90B7D">
      <w:rPr>
        <w:rFonts w:cs="Calibri"/>
        <w:i/>
        <w:iCs/>
        <w:color w:val="0D0D0D" w:themeColor="text1" w:themeTint="F2"/>
        <w:sz w:val="22"/>
        <w:szCs w:val="22"/>
      </w:rPr>
      <w:t>Property &amp; Environmental Resources</w:t>
    </w:r>
  </w:p>
  <w:p w14:paraId="63240654" w14:textId="77777777" w:rsidR="005017BD" w:rsidRPr="00B90B7D" w:rsidRDefault="005017BD" w:rsidP="005017BD">
    <w:pPr>
      <w:spacing w:after="0"/>
      <w:jc w:val="center"/>
      <w:rPr>
        <w:rFonts w:cs="Calibri"/>
        <w:color w:val="0D0D0D" w:themeColor="text1" w:themeTint="F2"/>
        <w:sz w:val="18"/>
        <w:szCs w:val="18"/>
      </w:rPr>
    </w:pPr>
    <w:r w:rsidRPr="00B90B7D">
      <w:rPr>
        <w:rFonts w:cs="Calibri"/>
        <w:i/>
        <w:iCs/>
        <w:color w:val="0D0D0D" w:themeColor="text1" w:themeTint="F2"/>
        <w:sz w:val="18"/>
        <w:szCs w:val="18"/>
      </w:rPr>
      <w:t>410 S 5</w:t>
    </w:r>
    <w:r w:rsidRPr="00B90B7D">
      <w:rPr>
        <w:rFonts w:cs="Calibri"/>
        <w:i/>
        <w:iCs/>
        <w:color w:val="0D0D0D" w:themeColor="text1" w:themeTint="F2"/>
        <w:sz w:val="18"/>
        <w:szCs w:val="18"/>
        <w:vertAlign w:val="superscript"/>
      </w:rPr>
      <w:t>th</w:t>
    </w:r>
    <w:r w:rsidRPr="00B90B7D">
      <w:rPr>
        <w:rFonts w:cs="Calibri"/>
        <w:i/>
        <w:iCs/>
        <w:color w:val="0D0D0D" w:themeColor="text1" w:themeTint="F2"/>
        <w:sz w:val="18"/>
        <w:szCs w:val="18"/>
      </w:rPr>
      <w:t xml:space="preserve"> St Mankato, MN 56001 ~ PH: 507-304-4251 ~ Fax: 507-278-0021 ~ PO Box 3566 Mankato, MN 56002-3566</w:t>
    </w:r>
  </w:p>
  <w:p w14:paraId="4BEFBFAC" w14:textId="2ED6B8CE" w:rsidR="005017BD" w:rsidRDefault="005017BD">
    <w:pPr>
      <w:pStyle w:val="Footer"/>
    </w:pPr>
  </w:p>
  <w:p w14:paraId="4D146274" w14:textId="77777777" w:rsidR="005017BD" w:rsidRDefault="005017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5732E" w14:textId="77777777" w:rsidR="00FF3EBE" w:rsidRDefault="00FF3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B65C0" w14:textId="77777777" w:rsidR="00A5283E" w:rsidRDefault="00A5283E" w:rsidP="005F7B8F">
      <w:pPr>
        <w:spacing w:after="0" w:line="240" w:lineRule="auto"/>
      </w:pPr>
      <w:r>
        <w:separator/>
      </w:r>
    </w:p>
  </w:footnote>
  <w:footnote w:type="continuationSeparator" w:id="0">
    <w:p w14:paraId="741C57F0" w14:textId="77777777" w:rsidR="00A5283E" w:rsidRDefault="00A5283E" w:rsidP="005F7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E326" w14:textId="77777777" w:rsidR="005F7B8F" w:rsidRDefault="00A5283E">
    <w:pPr>
      <w:pStyle w:val="Header"/>
    </w:pPr>
    <w:r>
      <w:rPr>
        <w:noProof/>
      </w:rPr>
      <w:pict w14:anchorId="4E4B34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79094" o:spid="_x0000_s1032" type="#_x0000_t75" style="position:absolute;margin-left:0;margin-top:0;width:612.35pt;height:11in;z-index:-251657216;mso-position-horizontal:center;mso-position-horizontal-relative:margin;mso-position-vertical:center;mso-position-vertical-relative:margin" o:allowincell="f">
          <v:imagedata r:id="rId1" o:title="2026 letterhea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60FC3" w14:textId="77777777" w:rsidR="005F7B8F" w:rsidRDefault="00A5283E">
    <w:pPr>
      <w:pStyle w:val="Header"/>
    </w:pPr>
    <w:r>
      <w:rPr>
        <w:noProof/>
      </w:rPr>
      <w:pict w14:anchorId="36288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79095" o:spid="_x0000_s1033" type="#_x0000_t75" style="position:absolute;margin-left:-74.4pt;margin-top:-34.8pt;width:612.35pt;height:805.8pt;z-index:-251659265;mso-position-horizontal-relative:margin;mso-position-vertical-relative:text" o:allowincell="f">
          <v:imagedata r:id="rId1" o:title="2026 letterhead"/>
          <w10:wrap anchorx="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C2318" w14:textId="77777777" w:rsidR="005F7B8F" w:rsidRDefault="00A5283E">
    <w:pPr>
      <w:pStyle w:val="Header"/>
    </w:pPr>
    <w:r>
      <w:rPr>
        <w:noProof/>
      </w:rPr>
      <w:pict w14:anchorId="4B479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79093" o:spid="_x0000_s1031" type="#_x0000_t75" style="position:absolute;margin-left:0;margin-top:0;width:612.35pt;height:11in;z-index:-251658240;mso-position-horizontal:center;mso-position-horizontal-relative:margin;mso-position-vertical:center;mso-position-vertical-relative:margin" o:allowincell="f">
          <v:imagedata r:id="rId1" o:title="2026 letterhea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A31C1"/>
    <w:multiLevelType w:val="hybridMultilevel"/>
    <w:tmpl w:val="EEC211BE"/>
    <w:lvl w:ilvl="0" w:tplc="1722FB30">
      <w:numFmt w:val="bullet"/>
      <w:lvlText w:val=""/>
      <w:lvlJc w:val="left"/>
      <w:pPr>
        <w:ind w:left="1079" w:hanging="361"/>
      </w:pPr>
      <w:rPr>
        <w:rFonts w:ascii="Symbol" w:eastAsia="Symbol" w:hAnsi="Symbol" w:cs="Symbol" w:hint="default"/>
        <w:b w:val="0"/>
        <w:bCs w:val="0"/>
        <w:i w:val="0"/>
        <w:iCs w:val="0"/>
        <w:spacing w:val="0"/>
        <w:w w:val="100"/>
        <w:sz w:val="22"/>
        <w:szCs w:val="22"/>
        <w:lang w:val="en-US" w:eastAsia="en-US" w:bidi="ar-SA"/>
      </w:rPr>
    </w:lvl>
    <w:lvl w:ilvl="1" w:tplc="230CC9E0">
      <w:numFmt w:val="bullet"/>
      <w:lvlText w:val="•"/>
      <w:lvlJc w:val="left"/>
      <w:pPr>
        <w:ind w:left="2016" w:hanging="361"/>
      </w:pPr>
      <w:rPr>
        <w:rFonts w:hint="default"/>
        <w:lang w:val="en-US" w:eastAsia="en-US" w:bidi="ar-SA"/>
      </w:rPr>
    </w:lvl>
    <w:lvl w:ilvl="2" w:tplc="3D1A6BE8">
      <w:numFmt w:val="bullet"/>
      <w:lvlText w:val="•"/>
      <w:lvlJc w:val="left"/>
      <w:pPr>
        <w:ind w:left="2952" w:hanging="361"/>
      </w:pPr>
      <w:rPr>
        <w:rFonts w:hint="default"/>
        <w:lang w:val="en-US" w:eastAsia="en-US" w:bidi="ar-SA"/>
      </w:rPr>
    </w:lvl>
    <w:lvl w:ilvl="3" w:tplc="31E8F21C">
      <w:numFmt w:val="bullet"/>
      <w:lvlText w:val="•"/>
      <w:lvlJc w:val="left"/>
      <w:pPr>
        <w:ind w:left="3888" w:hanging="361"/>
      </w:pPr>
      <w:rPr>
        <w:rFonts w:hint="default"/>
        <w:lang w:val="en-US" w:eastAsia="en-US" w:bidi="ar-SA"/>
      </w:rPr>
    </w:lvl>
    <w:lvl w:ilvl="4" w:tplc="C728070A">
      <w:numFmt w:val="bullet"/>
      <w:lvlText w:val="•"/>
      <w:lvlJc w:val="left"/>
      <w:pPr>
        <w:ind w:left="4824" w:hanging="361"/>
      </w:pPr>
      <w:rPr>
        <w:rFonts w:hint="default"/>
        <w:lang w:val="en-US" w:eastAsia="en-US" w:bidi="ar-SA"/>
      </w:rPr>
    </w:lvl>
    <w:lvl w:ilvl="5" w:tplc="801660FA">
      <w:numFmt w:val="bullet"/>
      <w:lvlText w:val="•"/>
      <w:lvlJc w:val="left"/>
      <w:pPr>
        <w:ind w:left="5760" w:hanging="361"/>
      </w:pPr>
      <w:rPr>
        <w:rFonts w:hint="default"/>
        <w:lang w:val="en-US" w:eastAsia="en-US" w:bidi="ar-SA"/>
      </w:rPr>
    </w:lvl>
    <w:lvl w:ilvl="6" w:tplc="DA32528A">
      <w:numFmt w:val="bullet"/>
      <w:lvlText w:val="•"/>
      <w:lvlJc w:val="left"/>
      <w:pPr>
        <w:ind w:left="6696" w:hanging="361"/>
      </w:pPr>
      <w:rPr>
        <w:rFonts w:hint="default"/>
        <w:lang w:val="en-US" w:eastAsia="en-US" w:bidi="ar-SA"/>
      </w:rPr>
    </w:lvl>
    <w:lvl w:ilvl="7" w:tplc="E66C5588">
      <w:numFmt w:val="bullet"/>
      <w:lvlText w:val="•"/>
      <w:lvlJc w:val="left"/>
      <w:pPr>
        <w:ind w:left="7632" w:hanging="361"/>
      </w:pPr>
      <w:rPr>
        <w:rFonts w:hint="default"/>
        <w:lang w:val="en-US" w:eastAsia="en-US" w:bidi="ar-SA"/>
      </w:rPr>
    </w:lvl>
    <w:lvl w:ilvl="8" w:tplc="C8B68F8C">
      <w:numFmt w:val="bullet"/>
      <w:lvlText w:val="•"/>
      <w:lvlJc w:val="left"/>
      <w:pPr>
        <w:ind w:left="8568" w:hanging="361"/>
      </w:pPr>
      <w:rPr>
        <w:rFonts w:hint="default"/>
        <w:lang w:val="en-US" w:eastAsia="en-US" w:bidi="ar-SA"/>
      </w:rPr>
    </w:lvl>
  </w:abstractNum>
  <w:num w:numId="1" w16cid:durableId="37826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91"/>
    <w:rsid w:val="00011919"/>
    <w:rsid w:val="000233F5"/>
    <w:rsid w:val="00051D87"/>
    <w:rsid w:val="00057DEE"/>
    <w:rsid w:val="00080A34"/>
    <w:rsid w:val="000F2284"/>
    <w:rsid w:val="00100EB6"/>
    <w:rsid w:val="00102BD5"/>
    <w:rsid w:val="00107EEF"/>
    <w:rsid w:val="00135E39"/>
    <w:rsid w:val="001B7464"/>
    <w:rsid w:val="00230431"/>
    <w:rsid w:val="00235003"/>
    <w:rsid w:val="00250533"/>
    <w:rsid w:val="00270293"/>
    <w:rsid w:val="00296FF6"/>
    <w:rsid w:val="002D2D75"/>
    <w:rsid w:val="002D3F68"/>
    <w:rsid w:val="002E5722"/>
    <w:rsid w:val="00305998"/>
    <w:rsid w:val="0030716D"/>
    <w:rsid w:val="0031134A"/>
    <w:rsid w:val="003511DD"/>
    <w:rsid w:val="003530B6"/>
    <w:rsid w:val="003B3CAD"/>
    <w:rsid w:val="003E4F0C"/>
    <w:rsid w:val="003E7B55"/>
    <w:rsid w:val="00430837"/>
    <w:rsid w:val="004570AB"/>
    <w:rsid w:val="004A2BB3"/>
    <w:rsid w:val="004A7441"/>
    <w:rsid w:val="004F4090"/>
    <w:rsid w:val="005017BD"/>
    <w:rsid w:val="00520DCF"/>
    <w:rsid w:val="00544A2B"/>
    <w:rsid w:val="005869A6"/>
    <w:rsid w:val="005F7B8F"/>
    <w:rsid w:val="00604480"/>
    <w:rsid w:val="006373C3"/>
    <w:rsid w:val="006A67D0"/>
    <w:rsid w:val="006F1A9E"/>
    <w:rsid w:val="007057A0"/>
    <w:rsid w:val="00712DD8"/>
    <w:rsid w:val="00790E89"/>
    <w:rsid w:val="00805D2D"/>
    <w:rsid w:val="00813256"/>
    <w:rsid w:val="00845F50"/>
    <w:rsid w:val="008900D2"/>
    <w:rsid w:val="008A2B5B"/>
    <w:rsid w:val="008D5777"/>
    <w:rsid w:val="009063B4"/>
    <w:rsid w:val="009065F1"/>
    <w:rsid w:val="0095321F"/>
    <w:rsid w:val="00965F5E"/>
    <w:rsid w:val="009B0141"/>
    <w:rsid w:val="009E024A"/>
    <w:rsid w:val="009E05EA"/>
    <w:rsid w:val="009E1A70"/>
    <w:rsid w:val="00A24A8C"/>
    <w:rsid w:val="00A403E9"/>
    <w:rsid w:val="00A507D0"/>
    <w:rsid w:val="00A5283E"/>
    <w:rsid w:val="00A62BE9"/>
    <w:rsid w:val="00A90621"/>
    <w:rsid w:val="00A916CC"/>
    <w:rsid w:val="00AC71EE"/>
    <w:rsid w:val="00AD6AA9"/>
    <w:rsid w:val="00AF65BB"/>
    <w:rsid w:val="00B23AAF"/>
    <w:rsid w:val="00B90B7D"/>
    <w:rsid w:val="00B93343"/>
    <w:rsid w:val="00BB7FEF"/>
    <w:rsid w:val="00BC0DE3"/>
    <w:rsid w:val="00BE3D3B"/>
    <w:rsid w:val="00BE7403"/>
    <w:rsid w:val="00C12420"/>
    <w:rsid w:val="00C32FFF"/>
    <w:rsid w:val="00D85E2D"/>
    <w:rsid w:val="00DA247B"/>
    <w:rsid w:val="00DA5621"/>
    <w:rsid w:val="00DA63AB"/>
    <w:rsid w:val="00DA7891"/>
    <w:rsid w:val="00DB317F"/>
    <w:rsid w:val="00DC478B"/>
    <w:rsid w:val="00F014CB"/>
    <w:rsid w:val="00F059AE"/>
    <w:rsid w:val="00F51049"/>
    <w:rsid w:val="00FD6D0F"/>
    <w:rsid w:val="00FF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00D9E"/>
  <w15:chartTrackingRefBased/>
  <w15:docId w15:val="{169A552D-4ACD-4409-A3E5-A3D3B5404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7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7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7B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7B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B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F7B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B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B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B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B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7B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7B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7B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7B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7B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B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B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B8F"/>
    <w:rPr>
      <w:rFonts w:eastAsiaTheme="majorEastAsia" w:cstheme="majorBidi"/>
      <w:color w:val="272727" w:themeColor="text1" w:themeTint="D8"/>
    </w:rPr>
  </w:style>
  <w:style w:type="paragraph" w:styleId="Title">
    <w:name w:val="Title"/>
    <w:basedOn w:val="Normal"/>
    <w:next w:val="Normal"/>
    <w:link w:val="TitleChar"/>
    <w:uiPriority w:val="10"/>
    <w:qFormat/>
    <w:rsid w:val="005F7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B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B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B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B8F"/>
    <w:pPr>
      <w:spacing w:before="160"/>
      <w:jc w:val="center"/>
    </w:pPr>
    <w:rPr>
      <w:i/>
      <w:iCs/>
      <w:color w:val="404040" w:themeColor="text1" w:themeTint="BF"/>
    </w:rPr>
  </w:style>
  <w:style w:type="character" w:customStyle="1" w:styleId="QuoteChar">
    <w:name w:val="Quote Char"/>
    <w:basedOn w:val="DefaultParagraphFont"/>
    <w:link w:val="Quote"/>
    <w:uiPriority w:val="29"/>
    <w:rsid w:val="005F7B8F"/>
    <w:rPr>
      <w:i/>
      <w:iCs/>
      <w:color w:val="404040" w:themeColor="text1" w:themeTint="BF"/>
    </w:rPr>
  </w:style>
  <w:style w:type="paragraph" w:styleId="ListParagraph">
    <w:name w:val="List Paragraph"/>
    <w:basedOn w:val="Normal"/>
    <w:uiPriority w:val="1"/>
    <w:qFormat/>
    <w:rsid w:val="005F7B8F"/>
    <w:pPr>
      <w:ind w:left="720"/>
      <w:contextualSpacing/>
    </w:pPr>
  </w:style>
  <w:style w:type="character" w:styleId="IntenseEmphasis">
    <w:name w:val="Intense Emphasis"/>
    <w:basedOn w:val="DefaultParagraphFont"/>
    <w:uiPriority w:val="21"/>
    <w:qFormat/>
    <w:rsid w:val="005F7B8F"/>
    <w:rPr>
      <w:i/>
      <w:iCs/>
      <w:color w:val="0F4761" w:themeColor="accent1" w:themeShade="BF"/>
    </w:rPr>
  </w:style>
  <w:style w:type="paragraph" w:styleId="IntenseQuote">
    <w:name w:val="Intense Quote"/>
    <w:basedOn w:val="Normal"/>
    <w:next w:val="Normal"/>
    <w:link w:val="IntenseQuoteChar"/>
    <w:uiPriority w:val="30"/>
    <w:qFormat/>
    <w:rsid w:val="005F7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B8F"/>
    <w:rPr>
      <w:i/>
      <w:iCs/>
      <w:color w:val="0F4761" w:themeColor="accent1" w:themeShade="BF"/>
    </w:rPr>
  </w:style>
  <w:style w:type="character" w:styleId="IntenseReference">
    <w:name w:val="Intense Reference"/>
    <w:basedOn w:val="DefaultParagraphFont"/>
    <w:uiPriority w:val="32"/>
    <w:qFormat/>
    <w:rsid w:val="005F7B8F"/>
    <w:rPr>
      <w:b/>
      <w:bCs/>
      <w:smallCaps/>
      <w:color w:val="0F4761" w:themeColor="accent1" w:themeShade="BF"/>
      <w:spacing w:val="5"/>
    </w:rPr>
  </w:style>
  <w:style w:type="paragraph" w:styleId="Header">
    <w:name w:val="header"/>
    <w:basedOn w:val="Normal"/>
    <w:link w:val="HeaderChar"/>
    <w:uiPriority w:val="99"/>
    <w:unhideWhenUsed/>
    <w:rsid w:val="005F7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B8F"/>
  </w:style>
  <w:style w:type="paragraph" w:styleId="Footer">
    <w:name w:val="footer"/>
    <w:basedOn w:val="Normal"/>
    <w:link w:val="FooterChar"/>
    <w:uiPriority w:val="99"/>
    <w:unhideWhenUsed/>
    <w:rsid w:val="005F7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B8F"/>
  </w:style>
  <w:style w:type="table" w:styleId="TableGrid">
    <w:name w:val="Table Grid"/>
    <w:basedOn w:val="TableNormal"/>
    <w:uiPriority w:val="39"/>
    <w:rsid w:val="00604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04480"/>
    <w:rPr>
      <w:sz w:val="16"/>
      <w:szCs w:val="16"/>
    </w:rPr>
  </w:style>
  <w:style w:type="paragraph" w:styleId="CommentText">
    <w:name w:val="annotation text"/>
    <w:basedOn w:val="Normal"/>
    <w:link w:val="CommentTextChar"/>
    <w:uiPriority w:val="99"/>
    <w:unhideWhenUsed/>
    <w:rsid w:val="00604480"/>
    <w:pPr>
      <w:widowControl w:val="0"/>
      <w:autoSpaceDE w:val="0"/>
      <w:autoSpaceDN w:val="0"/>
      <w:spacing w:after="0" w:line="240" w:lineRule="auto"/>
    </w:pPr>
    <w:rPr>
      <w:rFonts w:ascii="Calibri" w:eastAsia="Calibri" w:hAnsi="Calibri" w:cs="Calibri"/>
      <w:kern w:val="0"/>
      <w:sz w:val="20"/>
      <w:szCs w:val="20"/>
      <w14:ligatures w14:val="none"/>
    </w:rPr>
  </w:style>
  <w:style w:type="character" w:customStyle="1" w:styleId="CommentTextChar">
    <w:name w:val="Comment Text Char"/>
    <w:basedOn w:val="DefaultParagraphFont"/>
    <w:link w:val="CommentText"/>
    <w:uiPriority w:val="99"/>
    <w:rsid w:val="00604480"/>
    <w:rPr>
      <w:rFonts w:ascii="Calibri" w:eastAsia="Calibri" w:hAnsi="Calibri" w:cs="Calibri"/>
      <w:kern w:val="0"/>
      <w:sz w:val="20"/>
      <w:szCs w:val="20"/>
      <w14:ligatures w14:val="none"/>
    </w:rPr>
  </w:style>
  <w:style w:type="paragraph" w:styleId="BodyText">
    <w:name w:val="Body Text"/>
    <w:basedOn w:val="Normal"/>
    <w:link w:val="BodyTextChar"/>
    <w:uiPriority w:val="1"/>
    <w:qFormat/>
    <w:rsid w:val="00604480"/>
    <w:pPr>
      <w:widowControl w:val="0"/>
      <w:autoSpaceDE w:val="0"/>
      <w:autoSpaceDN w:val="0"/>
      <w:spacing w:before="59" w:after="0" w:line="240" w:lineRule="auto"/>
      <w:ind w:left="1439"/>
    </w:pPr>
    <w:rPr>
      <w:rFonts w:ascii="Calibri" w:eastAsia="Calibri" w:hAnsi="Calibri" w:cs="Calibri"/>
      <w:kern w:val="0"/>
      <w:sz w:val="22"/>
      <w:szCs w:val="22"/>
      <w14:ligatures w14:val="none"/>
    </w:rPr>
  </w:style>
  <w:style w:type="character" w:customStyle="1" w:styleId="BodyTextChar">
    <w:name w:val="Body Text Char"/>
    <w:basedOn w:val="DefaultParagraphFont"/>
    <w:link w:val="BodyText"/>
    <w:uiPriority w:val="1"/>
    <w:rsid w:val="00604480"/>
    <w:rPr>
      <w:rFonts w:ascii="Calibri" w:eastAsia="Calibri" w:hAnsi="Calibri" w:cs="Calibri"/>
      <w:kern w:val="0"/>
      <w:sz w:val="22"/>
      <w:szCs w:val="22"/>
      <w14:ligatures w14:val="none"/>
    </w:rPr>
  </w:style>
  <w:style w:type="character" w:styleId="Hyperlink">
    <w:name w:val="Hyperlink"/>
    <w:basedOn w:val="DefaultParagraphFont"/>
    <w:uiPriority w:val="99"/>
    <w:unhideWhenUsed/>
    <w:rsid w:val="0060448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johnson\OneDrive%20-%20Blue%20Earth%20County\M-Folder\Letterhead%20-%202026\2026%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57dbb9-1dd7-45f6-b833-2bcd22374340">
      <Terms xmlns="http://schemas.microsoft.com/office/infopath/2007/PartnerControls"/>
    </lcf76f155ced4ddcb4097134ff3c332f>
    <link xmlns="b257dbb9-1dd7-45f6-b833-2bcd22374340">
      <Url xsi:nil="true"/>
      <Description xsi:nil="true"/>
    </link>
    <Person xmlns="b257dbb9-1dd7-45f6-b833-2bcd22374340">
      <UserInfo>
        <DisplayName/>
        <AccountId xsi:nil="true"/>
        <AccountType/>
      </UserInfo>
    </Person>
    <Link0 xmlns="b257dbb9-1dd7-45f6-b833-2bcd22374340">
      <Url xsi:nil="true"/>
      <Description xsi:nil="true"/>
    </Link0>
    <FileType xmlns="b257dbb9-1dd7-45f6-b833-2bcd22374340">BECShare</FileType>
    <TaxCatchAll xmlns="2ff38e5c-4934-479a-93c3-9b5ebb64fe4a" xsi:nil="true"/>
    <_ApprovalAssignedTo xmlns="b257dbb9-1dd7-45f6-b833-2bcd22374340">
      <UserInfo>
        <DisplayName/>
        <AccountId xsi:nil="true"/>
        <AccountType/>
      </UserInfo>
    </_ApprovalAssignedTo>
    <_ApprovalSentBy xmlns="b257dbb9-1dd7-45f6-b833-2bcd22374340">
      <UserInfo>
        <DisplayName/>
        <AccountId xsi:nil="true"/>
        <AccountType/>
      </UserInfo>
    </_ApprovalSentBy>
    <_ApprovalStatus xmlns="b257dbb9-1dd7-45f6-b833-2bcd22374340">0</_ApprovalStatus>
    <_ApprovalRespondedBy xmlns="b257dbb9-1dd7-45f6-b833-2bcd22374340">
      <UserInfo>
        <DisplayName/>
        <AccountId xsi:nil="true"/>
        <AccountType/>
      </UserInfo>
    </_ApprovalResponded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20FCC16DC25A4D925B9E9EFCED892F" ma:contentTypeVersion="25" ma:contentTypeDescription="Create a new document." ma:contentTypeScope="" ma:versionID="c6c1a215d49e32d7bdbdab575f7d3031">
  <xsd:schema xmlns:xsd="http://www.w3.org/2001/XMLSchema" xmlns:xs="http://www.w3.org/2001/XMLSchema" xmlns:p="http://schemas.microsoft.com/office/2006/metadata/properties" xmlns:ns2="b257dbb9-1dd7-45f6-b833-2bcd22374340" xmlns:ns3="f741d744-eb31-43dc-8bf5-2b7452db79eb" xmlns:ns4="2ff38e5c-4934-479a-93c3-9b5ebb64fe4a" targetNamespace="http://schemas.microsoft.com/office/2006/metadata/properties" ma:root="true" ma:fieldsID="45365c39967ebe1315b8c24577a02597" ns2:_="" ns3:_="" ns4:_="">
    <xsd:import namespace="b257dbb9-1dd7-45f6-b833-2bcd22374340"/>
    <xsd:import namespace="f741d744-eb31-43dc-8bf5-2b7452db79eb"/>
    <xsd:import namespace="2ff38e5c-4934-479a-93c3-9b5ebb64fe4a"/>
    <xsd:element name="properties">
      <xsd:complexType>
        <xsd:sequence>
          <xsd:element name="documentManagement">
            <xsd:complexType>
              <xsd:all>
                <xsd:element ref="ns2:FileType" minOccurs="0"/>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link" minOccurs="0"/>
                <xsd:element ref="ns2:Person" minOccurs="0"/>
                <xsd:element ref="ns2:Link0"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7dbb9-1dd7-45f6-b833-2bcd22374340" elementFormDefault="qualified">
    <xsd:import namespace="http://schemas.microsoft.com/office/2006/documentManagement/types"/>
    <xsd:import namespace="http://schemas.microsoft.com/office/infopath/2007/PartnerControls"/>
    <xsd:element name="FileType" ma:index="8" nillable="true" ma:displayName="FileType" ma:default="BECShare" ma:internalName="FileTyp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94f363-30d9-4311-a84d-27f9bb33222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link" ma:index="25" nillable="true" ma:displayName="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Person" ma:index="26" nillable="true" ma:displayName="Person" ma:description="person submitting article"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0" ma:index="27" nillable="true" ma:displayName="Link" ma:internalName="Link0">
      <xsd:complexType>
        <xsd:complexContent>
          <xsd:extension base="dms:URL">
            <xsd:sequence>
              <xsd:element name="Url" type="dms:ValidUrl" minOccurs="0" nillable="true"/>
              <xsd:element name="Description" type="xsd:string" nillable="true"/>
            </xsd:sequence>
          </xsd:extension>
        </xsd:complexContent>
      </xsd:complex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41d744-eb31-43dc-8bf5-2b7452db79e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f38e5c-4934-479a-93c3-9b5ebb64fe4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d26ec3c-20a1-41de-be14-34e5d4f55f02}" ma:internalName="TaxCatchAll" ma:showField="CatchAllData" ma:web="2ff38e5c-4934-479a-93c3-9b5ebb64f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D21CDD-6D23-4827-9D73-25EAB65C4366}">
  <ds:schemaRefs>
    <ds:schemaRef ds:uri="http://schemas.microsoft.com/office/2006/metadata/properties"/>
    <ds:schemaRef ds:uri="http://schemas.microsoft.com/office/infopath/2007/PartnerControls"/>
    <ds:schemaRef ds:uri="b257dbb9-1dd7-45f6-b833-2bcd22374340"/>
    <ds:schemaRef ds:uri="2ff38e5c-4934-479a-93c3-9b5ebb64fe4a"/>
  </ds:schemaRefs>
</ds:datastoreItem>
</file>

<file path=customXml/itemProps2.xml><?xml version="1.0" encoding="utf-8"?>
<ds:datastoreItem xmlns:ds="http://schemas.openxmlformats.org/officeDocument/2006/customXml" ds:itemID="{AFE14583-82C5-4982-92A4-4F099D084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7dbb9-1dd7-45f6-b833-2bcd22374340"/>
    <ds:schemaRef ds:uri="f741d744-eb31-43dc-8bf5-2b7452db79eb"/>
    <ds:schemaRef ds:uri="2ff38e5c-4934-479a-93c3-9b5ebb64f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38E131-9F7D-485D-8A04-63230B1E145B}">
  <ds:schemaRefs>
    <ds:schemaRef ds:uri="http://schemas.microsoft.com/sharepoint/v3/contenttype/forms"/>
  </ds:schemaRefs>
</ds:datastoreItem>
</file>

<file path=docMetadata/LabelInfo.xml><?xml version="1.0" encoding="utf-8"?>
<clbl:labelList xmlns:clbl="http://schemas.microsoft.com/office/2020/mipLabelMetadata">
  <clbl:label id="{89698a7a-b4e7-4e11-9356-d3efbfc4d293}" enabled="0" method="" siteId="{89698a7a-b4e7-4e11-9356-d3efbfc4d293}" removed="1"/>
</clbl:labelList>
</file>

<file path=docProps/app.xml><?xml version="1.0" encoding="utf-8"?>
<Properties xmlns="http://schemas.openxmlformats.org/officeDocument/2006/extended-properties" xmlns:vt="http://schemas.openxmlformats.org/officeDocument/2006/docPropsVTypes">
  <Template>2026 Letterhead template</Template>
  <TotalTime>30</TotalTime>
  <Pages>6</Pages>
  <Words>1507</Words>
  <Characters>8967</Characters>
  <Application>Microsoft Office Word</Application>
  <DocSecurity>0</DocSecurity>
  <Lines>332</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Johnson</dc:creator>
  <cp:keywords/>
  <dc:description/>
  <cp:lastModifiedBy>Taylor Piotter</cp:lastModifiedBy>
  <cp:revision>34</cp:revision>
  <cp:lastPrinted>2026-01-20T14:38:00Z</cp:lastPrinted>
  <dcterms:created xsi:type="dcterms:W3CDTF">2026-07-31T21:12:00Z</dcterms:created>
  <dcterms:modified xsi:type="dcterms:W3CDTF">2026-08-10T13:27:00Z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0x0101002620FCC16DC25A4D925B9E9EFCED892F</vt:lpwstr>
  </property>
  <property fmtid="{D5CDD505-2E9C-101B-9397-08002B2CF9AE}" pid="3" name="MediaServiceImageTags">
    <vt:lpwstr/>
  </property>
</Properties>
</file>