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4FAF3" w14:textId="53581C10" w:rsidR="00AC4F3D" w:rsidRPr="00CA271E" w:rsidRDefault="00AC4F3D">
      <w:pPr>
        <w:rPr>
          <w:rFonts w:ascii="Times New Roman" w:hAnsi="Times New Roman"/>
          <w:sz w:val="22"/>
          <w:szCs w:val="22"/>
        </w:rPr>
      </w:pPr>
      <w:r w:rsidRPr="06AA6470">
        <w:rPr>
          <w:rFonts w:ascii="Times New Roman" w:hAnsi="Times New Roman"/>
          <w:sz w:val="22"/>
          <w:szCs w:val="22"/>
        </w:rPr>
        <w:t>September 17, 2026</w:t>
      </w:r>
    </w:p>
    <w:p w14:paraId="2FD0E95F" w14:textId="77777777" w:rsidR="00AC4F3D" w:rsidRDefault="00AC4F3D">
      <w:pPr>
        <w:rPr>
          <w:rFonts w:ascii="Times New Roman" w:hAnsi="Times New Roman"/>
          <w:b/>
          <w:sz w:val="22"/>
          <w:szCs w:val="22"/>
        </w:rPr>
      </w:pPr>
    </w:p>
    <w:p w14:paraId="63D1C6E0" w14:textId="2BD2D869" w:rsidR="00125415" w:rsidRPr="0047121A" w:rsidRDefault="008A4824">
      <w:pPr>
        <w:rPr>
          <w:b/>
        </w:rPr>
      </w:pPr>
      <w:r w:rsidRPr="0047121A">
        <w:rPr>
          <w:rFonts w:ascii="Times New Roman" w:hAnsi="Times New Roman"/>
          <w:b/>
          <w:sz w:val="22"/>
        </w:rPr>
        <w:t>Before the New Mexico Environment</w:t>
      </w:r>
      <w:r w:rsidR="00627969">
        <w:rPr>
          <w:rFonts w:ascii="Times New Roman" w:hAnsi="Times New Roman"/>
          <w:b/>
          <w:sz w:val="22"/>
        </w:rPr>
        <w:t xml:space="preserve"> Department</w:t>
      </w:r>
    </w:p>
    <w:p w14:paraId="572BEDFB" w14:textId="77777777" w:rsidR="00A2024A" w:rsidRDefault="008A4824">
      <w:pPr>
        <w:rPr>
          <w:rFonts w:ascii="Times New Roman" w:hAnsi="Times New Roman"/>
          <w:sz w:val="22"/>
          <w:szCs w:val="22"/>
        </w:rPr>
      </w:pPr>
      <w:r w:rsidRPr="06AA6470">
        <w:rPr>
          <w:rFonts w:ascii="Times New Roman" w:hAnsi="Times New Roman"/>
          <w:sz w:val="22"/>
          <w:szCs w:val="22"/>
        </w:rPr>
        <w:t xml:space="preserve">In the Matter of: </w:t>
      </w:r>
    </w:p>
    <w:p w14:paraId="530351A8" w14:textId="77777777" w:rsidR="000C266E" w:rsidRDefault="008A4824">
      <w:pPr>
        <w:rPr>
          <w:rFonts w:ascii="Times New Roman" w:hAnsi="Times New Roman"/>
          <w:sz w:val="22"/>
          <w:szCs w:val="22"/>
        </w:rPr>
      </w:pPr>
      <w:r w:rsidRPr="06AA6470">
        <w:rPr>
          <w:rFonts w:ascii="Times New Roman" w:hAnsi="Times New Roman"/>
          <w:sz w:val="22"/>
          <w:szCs w:val="22"/>
        </w:rPr>
        <w:t xml:space="preserve">House Joint Memorial 3 </w:t>
      </w:r>
    </w:p>
    <w:p w14:paraId="01C75E8A" w14:textId="0E970764" w:rsidR="00125415" w:rsidRPr="000A1E7D" w:rsidRDefault="008A4824">
      <w:pPr>
        <w:rPr>
          <w:bCs/>
        </w:rPr>
      </w:pPr>
      <w:r w:rsidRPr="000A1E7D">
        <w:rPr>
          <w:rFonts w:ascii="Times New Roman" w:hAnsi="Times New Roman"/>
          <w:bCs/>
          <w:sz w:val="22"/>
        </w:rPr>
        <w:t>Review of PFAS Protection Act Exemptions</w:t>
      </w:r>
    </w:p>
    <w:p w14:paraId="58827B78" w14:textId="23275D8D" w:rsidR="00125415" w:rsidRPr="0047121A" w:rsidRDefault="008A4824">
      <w:pPr>
        <w:rPr>
          <w:b/>
        </w:rPr>
      </w:pPr>
      <w:r w:rsidRPr="06AA6470">
        <w:rPr>
          <w:rFonts w:ascii="Times New Roman" w:hAnsi="Times New Roman"/>
          <w:b/>
          <w:sz w:val="22"/>
          <w:szCs w:val="22"/>
        </w:rPr>
        <w:t>Public Comment</w:t>
      </w:r>
      <w:r w:rsidR="00E46BEC" w:rsidRPr="06AA6470">
        <w:rPr>
          <w:rFonts w:ascii="Times New Roman" w:hAnsi="Times New Roman"/>
          <w:b/>
          <w:sz w:val="22"/>
          <w:szCs w:val="22"/>
        </w:rPr>
        <w:t>s</w:t>
      </w:r>
      <w:r w:rsidRPr="06AA6470">
        <w:rPr>
          <w:rFonts w:ascii="Times New Roman" w:hAnsi="Times New Roman"/>
          <w:b/>
          <w:sz w:val="22"/>
          <w:szCs w:val="22"/>
        </w:rPr>
        <w:t xml:space="preserve"> of the National Marine Manufacturers Association</w:t>
      </w:r>
    </w:p>
    <w:p w14:paraId="4B86CBAB" w14:textId="5DD5CD9F" w:rsidR="00C06B47" w:rsidRDefault="00C06B47" w:rsidP="4A8CA989">
      <w:pPr>
        <w:spacing w:after="80"/>
        <w:rPr>
          <w:rFonts w:ascii="Times New Roman" w:hAnsi="Times New Roman"/>
          <w:sz w:val="22"/>
          <w:szCs w:val="22"/>
        </w:rPr>
      </w:pPr>
    </w:p>
    <w:p w14:paraId="57947A45" w14:textId="3220C5EE" w:rsidR="000A1E7D" w:rsidRPr="000A1E7D" w:rsidRDefault="4A8CA989" w:rsidP="4A8CA989">
      <w:pPr>
        <w:spacing w:after="80"/>
        <w:rPr>
          <w:rFonts w:ascii="Times New Roman" w:hAnsi="Times New Roman"/>
          <w:sz w:val="22"/>
          <w:szCs w:val="22"/>
        </w:rPr>
      </w:pPr>
      <w:r w:rsidRPr="4A8CA989">
        <w:rPr>
          <w:rFonts w:ascii="Times New Roman" w:hAnsi="Times New Roman"/>
          <w:sz w:val="22"/>
          <w:szCs w:val="22"/>
        </w:rPr>
        <w:t>The National Marine Manufacturers Association (NMMA) appreciates the opportunity to provide comments regarding the New Mexico Environment Department’s (NMED) evaluation of existing exemptions under the PFAS Protection Act pursuant to House Joint Memorial 3 (HJM 3)</w:t>
      </w:r>
      <w:r w:rsidR="274E6078" w:rsidRPr="4A8CA989">
        <w:rPr>
          <w:rFonts w:ascii="Times New Roman" w:hAnsi="Times New Roman"/>
          <w:sz w:val="22"/>
          <w:szCs w:val="22"/>
        </w:rPr>
        <w:t>.</w:t>
      </w:r>
    </w:p>
    <w:p w14:paraId="76238FF1" w14:textId="6FAE3DEF" w:rsidR="000A1E7D" w:rsidRPr="000A1E7D" w:rsidRDefault="4A8CA989" w:rsidP="000A1E7D">
      <w:pPr>
        <w:spacing w:after="80"/>
        <w:rPr>
          <w:rFonts w:ascii="Times New Roman" w:hAnsi="Times New Roman"/>
          <w:sz w:val="22"/>
          <w:szCs w:val="22"/>
        </w:rPr>
      </w:pPr>
      <w:r w:rsidRPr="4A8CA989">
        <w:rPr>
          <w:rFonts w:ascii="Times New Roman" w:hAnsi="Times New Roman"/>
          <w:b/>
          <w:bCs/>
          <w:sz w:val="22"/>
          <w:szCs w:val="22"/>
        </w:rPr>
        <w:t>NMMA strongly urges NMED to recommend maintaining the existing statutory exemption for watercraft</w:t>
      </w:r>
      <w:r w:rsidRPr="4A8CA989">
        <w:rPr>
          <w:rFonts w:ascii="Times New Roman" w:hAnsi="Times New Roman"/>
          <w:sz w:val="22"/>
          <w:szCs w:val="22"/>
        </w:rPr>
        <w:t>. Removing or narrowing the exemption without demonstrated, technically feasible alternatives could create significant safety, performance, supply-chain, and economic challenges for recreational marine manufacturers while disrupting a highly integrated national market</w:t>
      </w:r>
      <w:r w:rsidR="276365E5" w:rsidRPr="06AA6470">
        <w:rPr>
          <w:rFonts w:ascii="Times New Roman" w:hAnsi="Times New Roman"/>
          <w:sz w:val="22"/>
          <w:szCs w:val="22"/>
        </w:rPr>
        <w:t>.</w:t>
      </w:r>
    </w:p>
    <w:p w14:paraId="037BAB98" w14:textId="4745AE5A" w:rsidR="4A8CA989" w:rsidRDefault="4A8CA989" w:rsidP="4A8CA989">
      <w:pPr>
        <w:spacing w:after="80"/>
        <w:rPr>
          <w:rFonts w:ascii="Times New Roman" w:eastAsia="Aptos" w:hAnsi="Times New Roman" w:cs="Arial"/>
          <w:sz w:val="22"/>
          <w:szCs w:val="22"/>
        </w:rPr>
      </w:pPr>
      <w:r w:rsidRPr="4A8CA989">
        <w:rPr>
          <w:rFonts w:ascii="Times New Roman" w:eastAsia="Aptos" w:hAnsi="Times New Roman" w:cs="Arial"/>
          <w:sz w:val="22"/>
          <w:szCs w:val="22"/>
        </w:rPr>
        <w:t>Key reasons to maintain the existing watercraft exemption include:</w:t>
      </w:r>
    </w:p>
    <w:p w14:paraId="7793A412" w14:textId="2BE9B0A0" w:rsidR="2B852FFB" w:rsidRDefault="4A8CA989" w:rsidP="2B852FFB">
      <w:pPr>
        <w:pStyle w:val="ListParagraph"/>
        <w:numPr>
          <w:ilvl w:val="0"/>
          <w:numId w:val="1"/>
        </w:numPr>
        <w:spacing w:after="80"/>
        <w:rPr>
          <w:rFonts w:ascii="Times New Roman" w:hAnsi="Times New Roman"/>
          <w:sz w:val="22"/>
          <w:szCs w:val="22"/>
        </w:rPr>
      </w:pPr>
      <w:r w:rsidRPr="4A8CA989">
        <w:rPr>
          <w:rFonts w:ascii="Times New Roman" w:hAnsi="Times New Roman"/>
          <w:sz w:val="22"/>
          <w:szCs w:val="22"/>
        </w:rPr>
        <w:t xml:space="preserve">Recreational boats have a </w:t>
      </w:r>
      <w:proofErr w:type="gramStart"/>
      <w:r w:rsidRPr="4A8CA989">
        <w:rPr>
          <w:rFonts w:ascii="Times New Roman" w:hAnsi="Times New Roman"/>
          <w:sz w:val="22"/>
          <w:szCs w:val="22"/>
        </w:rPr>
        <w:t>long useful</w:t>
      </w:r>
      <w:proofErr w:type="gramEnd"/>
      <w:r w:rsidRPr="4A8CA989">
        <w:rPr>
          <w:rFonts w:ascii="Times New Roman" w:hAnsi="Times New Roman"/>
          <w:sz w:val="22"/>
          <w:szCs w:val="22"/>
        </w:rPr>
        <w:t xml:space="preserve"> life of 30 </w:t>
      </w:r>
      <w:r w:rsidR="67D472BC" w:rsidRPr="06AA6470">
        <w:rPr>
          <w:rFonts w:ascii="Times New Roman" w:hAnsi="Times New Roman"/>
          <w:sz w:val="22"/>
          <w:szCs w:val="22"/>
        </w:rPr>
        <w:t>to</w:t>
      </w:r>
      <w:r w:rsidRPr="4A8CA989">
        <w:rPr>
          <w:rFonts w:ascii="Times New Roman" w:hAnsi="Times New Roman"/>
          <w:sz w:val="22"/>
          <w:szCs w:val="22"/>
        </w:rPr>
        <w:t xml:space="preserve"> 50 years and operate in conditions involving prolonged exposure to water, moisture, temperature fluctuations, fuels and oils, ultraviolet exposure, corrosion, vibration, and other demanding environmental conditions.</w:t>
      </w:r>
    </w:p>
    <w:p w14:paraId="311A3D3F" w14:textId="58022FE6" w:rsidR="2B852FFB" w:rsidRDefault="4A8CA989" w:rsidP="2B852FFB">
      <w:pPr>
        <w:pStyle w:val="ListParagraph"/>
        <w:numPr>
          <w:ilvl w:val="0"/>
          <w:numId w:val="1"/>
        </w:numPr>
        <w:spacing w:after="80"/>
        <w:rPr>
          <w:rFonts w:ascii="Times New Roman" w:hAnsi="Times New Roman"/>
          <w:sz w:val="22"/>
          <w:szCs w:val="22"/>
        </w:rPr>
      </w:pPr>
      <w:r w:rsidRPr="4A8CA989">
        <w:rPr>
          <w:rFonts w:ascii="Times New Roman" w:hAnsi="Times New Roman"/>
          <w:sz w:val="22"/>
          <w:szCs w:val="22"/>
        </w:rPr>
        <w:t xml:space="preserve">Recreational boats must meet stringent U.S. Coast Guard and American Boat and Yacht Council regulations and safety standards.  </w:t>
      </w:r>
    </w:p>
    <w:p w14:paraId="1B2461D1" w14:textId="470B2E07" w:rsidR="2B852FFB" w:rsidRDefault="4A8CA989" w:rsidP="2B852FFB">
      <w:pPr>
        <w:pStyle w:val="ListParagraph"/>
        <w:numPr>
          <w:ilvl w:val="0"/>
          <w:numId w:val="1"/>
        </w:numPr>
        <w:spacing w:after="80"/>
        <w:rPr>
          <w:rFonts w:ascii="Times New Roman" w:hAnsi="Times New Roman"/>
          <w:sz w:val="22"/>
          <w:szCs w:val="22"/>
        </w:rPr>
      </w:pPr>
      <w:r w:rsidRPr="4A8CA989">
        <w:rPr>
          <w:rFonts w:ascii="Times New Roman" w:hAnsi="Times New Roman"/>
          <w:sz w:val="22"/>
          <w:szCs w:val="22"/>
        </w:rPr>
        <w:t>Ninety-three percent (93%) of boatbuilders are small businesses and have limited visibility into proprietary chemical formulations used by upstream suppliers and do not have the ability to independently identify or substitute individual substances within purchased components.</w:t>
      </w:r>
    </w:p>
    <w:p w14:paraId="66AE1ECF" w14:textId="20F3EDE3" w:rsidR="2B852FFB" w:rsidRDefault="4A8CA989" w:rsidP="06AA6470">
      <w:pPr>
        <w:pStyle w:val="ListParagraph"/>
        <w:numPr>
          <w:ilvl w:val="0"/>
          <w:numId w:val="1"/>
        </w:numPr>
        <w:spacing w:after="80"/>
        <w:rPr>
          <w:rFonts w:ascii="Times New Roman" w:hAnsi="Times New Roman"/>
          <w:sz w:val="22"/>
          <w:szCs w:val="22"/>
        </w:rPr>
      </w:pPr>
      <w:r w:rsidRPr="4A8CA989">
        <w:rPr>
          <w:rFonts w:ascii="Times New Roman" w:hAnsi="Times New Roman"/>
          <w:sz w:val="22"/>
          <w:szCs w:val="22"/>
        </w:rPr>
        <w:t xml:space="preserve">Reporting PFAS at the component level unfairly marginalizes small businesses </w:t>
      </w:r>
      <w:r w:rsidR="276365E5" w:rsidRPr="06AA6470">
        <w:rPr>
          <w:rFonts w:ascii="Times New Roman" w:hAnsi="Times New Roman"/>
          <w:sz w:val="22"/>
          <w:szCs w:val="22"/>
        </w:rPr>
        <w:t>that</w:t>
      </w:r>
      <w:r w:rsidRPr="4A8CA989">
        <w:rPr>
          <w:rFonts w:ascii="Times New Roman" w:hAnsi="Times New Roman"/>
          <w:sz w:val="22"/>
          <w:szCs w:val="22"/>
        </w:rPr>
        <w:t xml:space="preserve"> lack the ability, manpower, and finances to collect such information.</w:t>
      </w:r>
    </w:p>
    <w:p w14:paraId="4D55F973" w14:textId="77777777" w:rsidR="000A1E7D" w:rsidRPr="000A1E7D" w:rsidRDefault="000A1E7D" w:rsidP="000A1E7D">
      <w:pPr>
        <w:spacing w:after="80"/>
        <w:rPr>
          <w:rFonts w:ascii="Times New Roman" w:hAnsi="Times New Roman"/>
          <w:bCs/>
          <w:sz w:val="22"/>
        </w:rPr>
      </w:pPr>
      <w:r w:rsidRPr="000A1E7D">
        <w:rPr>
          <w:rFonts w:ascii="Times New Roman" w:hAnsi="Times New Roman"/>
          <w:bCs/>
          <w:sz w:val="22"/>
        </w:rPr>
        <w:t xml:space="preserve">NMMA is the leading recreational marine trade association in North America, representing more than 1,300 manufacturers of boats, engines, trailers, and marine accessories. Recreational boating has a $230 billion impact on the nation’s economy, supporting more than 812,000 jobs and 36,000 businesses. Recreational boat building is also a uniquely American industry, with 95 percent of boats sold in the United States made in the United States. These same industry characteristics informed NMMA’s comments during implementation of House Bill 212. </w:t>
      </w:r>
    </w:p>
    <w:p w14:paraId="764F9601" w14:textId="77777777" w:rsidR="000A1E7D" w:rsidRPr="000A1E7D" w:rsidRDefault="000A1E7D" w:rsidP="000A1E7D">
      <w:pPr>
        <w:spacing w:after="80"/>
        <w:rPr>
          <w:rFonts w:ascii="Times New Roman" w:hAnsi="Times New Roman"/>
          <w:b/>
          <w:bCs/>
          <w:sz w:val="22"/>
        </w:rPr>
      </w:pPr>
      <w:r w:rsidRPr="000A1E7D">
        <w:rPr>
          <w:rFonts w:ascii="Times New Roman" w:hAnsi="Times New Roman"/>
          <w:b/>
          <w:bCs/>
          <w:sz w:val="22"/>
        </w:rPr>
        <w:t>Maintaining the Watercraft Exemption</w:t>
      </w:r>
    </w:p>
    <w:p w14:paraId="70B2D873" w14:textId="6155B606" w:rsidR="000A1E7D" w:rsidRPr="000A1E7D" w:rsidRDefault="55A09C91" w:rsidP="2B852FFB">
      <w:pPr>
        <w:spacing w:after="80" w:line="259" w:lineRule="auto"/>
      </w:pPr>
      <w:r w:rsidRPr="55A09C91">
        <w:rPr>
          <w:rFonts w:ascii="Times New Roman" w:hAnsi="Times New Roman"/>
          <w:sz w:val="22"/>
          <w:szCs w:val="22"/>
        </w:rPr>
        <w:t>Recreational boats are complex durable goods assembled from thousands of individual components sourced through global, multi-tiered supply chains. A typical 20-foot recreational boat contains more than 1,000 distinct stock</w:t>
      </w:r>
      <w:r w:rsidR="00E7269F">
        <w:rPr>
          <w:rFonts w:ascii="Times New Roman" w:hAnsi="Times New Roman"/>
          <w:sz w:val="22"/>
          <w:szCs w:val="22"/>
        </w:rPr>
        <w:t>-</w:t>
      </w:r>
      <w:r w:rsidRPr="55A09C91">
        <w:rPr>
          <w:rFonts w:ascii="Times New Roman" w:hAnsi="Times New Roman"/>
          <w:sz w:val="22"/>
          <w:szCs w:val="22"/>
        </w:rPr>
        <w:t>keeping units</w:t>
      </w:r>
      <w:r w:rsidR="00E7269F">
        <w:rPr>
          <w:rFonts w:ascii="Times New Roman" w:hAnsi="Times New Roman"/>
          <w:sz w:val="22"/>
          <w:szCs w:val="22"/>
        </w:rPr>
        <w:t>,</w:t>
      </w:r>
      <w:r w:rsidRPr="55A09C91">
        <w:rPr>
          <w:rFonts w:ascii="Times New Roman" w:hAnsi="Times New Roman"/>
          <w:sz w:val="22"/>
          <w:szCs w:val="22"/>
        </w:rPr>
        <w:t xml:space="preserve"> which contain subassemblies of upwards of 10,000 individual components. Marine manufacturers generally do not manufacture the chemical formulations contained within these components; rather, they purchase components and subassemblies from numerous suppliers and integrate them into a finished vessel. This distinction is particularly important when considering whether alternatives to intentionally added PFAS are reasonably available. </w:t>
      </w:r>
    </w:p>
    <w:p w14:paraId="6F4FE875" w14:textId="00060A87" w:rsidR="000A1E7D" w:rsidRPr="000A1E7D" w:rsidRDefault="55A09C91" w:rsidP="2B852FFB">
      <w:pPr>
        <w:spacing w:after="80" w:line="259" w:lineRule="auto"/>
        <w:rPr>
          <w:rFonts w:ascii="Times New Roman" w:hAnsi="Times New Roman"/>
          <w:sz w:val="22"/>
          <w:szCs w:val="22"/>
        </w:rPr>
      </w:pPr>
      <w:r w:rsidRPr="55A09C91">
        <w:rPr>
          <w:rFonts w:ascii="Times New Roman" w:hAnsi="Times New Roman"/>
          <w:sz w:val="22"/>
          <w:szCs w:val="22"/>
        </w:rPr>
        <w:t>Boatbuilders,</w:t>
      </w:r>
      <w:r w:rsidRPr="55A09C91" w:rsidDel="00F415A4">
        <w:rPr>
          <w:rFonts w:ascii="Times New Roman" w:hAnsi="Times New Roman"/>
          <w:sz w:val="22"/>
          <w:szCs w:val="22"/>
        </w:rPr>
        <w:t xml:space="preserve"> </w:t>
      </w:r>
      <w:r w:rsidRPr="55A09C91">
        <w:rPr>
          <w:rFonts w:ascii="Times New Roman" w:hAnsi="Times New Roman"/>
          <w:sz w:val="22"/>
          <w:szCs w:val="22"/>
        </w:rPr>
        <w:t xml:space="preserve">93% </w:t>
      </w:r>
      <w:r w:rsidR="00F415A4">
        <w:rPr>
          <w:rFonts w:ascii="Times New Roman" w:hAnsi="Times New Roman"/>
          <w:sz w:val="22"/>
          <w:szCs w:val="22"/>
        </w:rPr>
        <w:t xml:space="preserve">of which </w:t>
      </w:r>
      <w:r w:rsidRPr="55A09C91">
        <w:rPr>
          <w:rFonts w:ascii="Times New Roman" w:hAnsi="Times New Roman"/>
          <w:sz w:val="22"/>
          <w:szCs w:val="22"/>
        </w:rPr>
        <w:t xml:space="preserve">are small businesses, have limited visibility </w:t>
      </w:r>
      <w:proofErr w:type="gramStart"/>
      <w:r w:rsidRPr="55A09C91">
        <w:rPr>
          <w:rFonts w:ascii="Times New Roman" w:hAnsi="Times New Roman"/>
          <w:sz w:val="22"/>
          <w:szCs w:val="22"/>
        </w:rPr>
        <w:t>into</w:t>
      </w:r>
      <w:proofErr w:type="gramEnd"/>
      <w:r w:rsidRPr="55A09C91">
        <w:rPr>
          <w:rFonts w:ascii="Times New Roman" w:hAnsi="Times New Roman"/>
          <w:sz w:val="22"/>
          <w:szCs w:val="22"/>
        </w:rPr>
        <w:t xml:space="preserve"> proprietary chemical formulations used by upstream suppliers and do not have the ability to independently identify or substitute individual substances within purchased components. Furthermore, small businesses do not have the ability to drive their supply chain, particularly </w:t>
      </w:r>
      <w:r w:rsidR="00891480">
        <w:rPr>
          <w:rFonts w:ascii="Times New Roman" w:hAnsi="Times New Roman"/>
          <w:sz w:val="22"/>
          <w:szCs w:val="22"/>
        </w:rPr>
        <w:t xml:space="preserve">given that </w:t>
      </w:r>
      <w:r w:rsidRPr="55A09C91">
        <w:rPr>
          <w:rFonts w:ascii="Times New Roman" w:hAnsi="Times New Roman"/>
          <w:sz w:val="22"/>
          <w:szCs w:val="22"/>
        </w:rPr>
        <w:t xml:space="preserve">there are </w:t>
      </w:r>
      <w:r w:rsidR="00891480">
        <w:rPr>
          <w:rFonts w:ascii="Times New Roman" w:hAnsi="Times New Roman"/>
          <w:sz w:val="22"/>
          <w:szCs w:val="22"/>
        </w:rPr>
        <w:t xml:space="preserve">approximately </w:t>
      </w:r>
      <w:r w:rsidRPr="55A09C91">
        <w:rPr>
          <w:rFonts w:ascii="Times New Roman" w:hAnsi="Times New Roman"/>
          <w:sz w:val="22"/>
          <w:szCs w:val="22"/>
        </w:rPr>
        <w:t xml:space="preserve">3,000 </w:t>
      </w:r>
      <w:r w:rsidR="5B5938BC" w:rsidRPr="06AA6470">
        <w:rPr>
          <w:rFonts w:ascii="Times New Roman" w:hAnsi="Times New Roman"/>
          <w:sz w:val="22"/>
          <w:szCs w:val="22"/>
        </w:rPr>
        <w:t>boatbuilders</w:t>
      </w:r>
      <w:r w:rsidRPr="55A09C91">
        <w:rPr>
          <w:rFonts w:ascii="Times New Roman" w:hAnsi="Times New Roman"/>
          <w:sz w:val="22"/>
          <w:szCs w:val="22"/>
        </w:rPr>
        <w:t xml:space="preserve"> across the U.S., </w:t>
      </w:r>
      <w:r w:rsidR="1811D2D6" w:rsidRPr="06AA6470">
        <w:rPr>
          <w:rFonts w:ascii="Times New Roman" w:hAnsi="Times New Roman"/>
          <w:sz w:val="22"/>
          <w:szCs w:val="22"/>
        </w:rPr>
        <w:t>some</w:t>
      </w:r>
      <w:r w:rsidR="00134559">
        <w:rPr>
          <w:rFonts w:ascii="Times New Roman" w:hAnsi="Times New Roman"/>
          <w:sz w:val="22"/>
          <w:szCs w:val="22"/>
        </w:rPr>
        <w:t xml:space="preserve"> of which </w:t>
      </w:r>
      <w:r w:rsidR="00ED62B1">
        <w:rPr>
          <w:rFonts w:ascii="Times New Roman" w:hAnsi="Times New Roman"/>
          <w:sz w:val="22"/>
          <w:szCs w:val="22"/>
        </w:rPr>
        <w:t>build only</w:t>
      </w:r>
      <w:r w:rsidRPr="55A09C91">
        <w:rPr>
          <w:rFonts w:ascii="Times New Roman" w:hAnsi="Times New Roman"/>
          <w:sz w:val="22"/>
          <w:szCs w:val="22"/>
        </w:rPr>
        <w:t xml:space="preserve"> a handful of boats per year. </w:t>
      </w:r>
      <w:r w:rsidRPr="55A09C91">
        <w:rPr>
          <w:rFonts w:ascii="Times New Roman" w:hAnsi="Times New Roman"/>
          <w:b/>
          <w:bCs/>
          <w:sz w:val="22"/>
          <w:szCs w:val="22"/>
        </w:rPr>
        <w:t xml:space="preserve"> Reporting PFAS at the component level unfairly marginalizes small businesses </w:t>
      </w:r>
      <w:r w:rsidR="7A8DE457" w:rsidRPr="06AA6470">
        <w:rPr>
          <w:rFonts w:ascii="Times New Roman" w:hAnsi="Times New Roman"/>
          <w:b/>
          <w:bCs/>
          <w:sz w:val="22"/>
          <w:szCs w:val="22"/>
        </w:rPr>
        <w:t>that</w:t>
      </w:r>
      <w:r w:rsidRPr="55A09C91">
        <w:rPr>
          <w:rFonts w:ascii="Times New Roman" w:hAnsi="Times New Roman"/>
          <w:b/>
          <w:bCs/>
          <w:sz w:val="22"/>
          <w:szCs w:val="22"/>
        </w:rPr>
        <w:t xml:space="preserve"> lack the ability, manpower, and finances to collect such information.   </w:t>
      </w:r>
    </w:p>
    <w:p w14:paraId="6795BF3F" w14:textId="1B267975" w:rsidR="000A1E7D" w:rsidRPr="000A1E7D" w:rsidRDefault="2B852FFB" w:rsidP="2B852FFB">
      <w:pPr>
        <w:spacing w:after="80" w:line="259" w:lineRule="auto"/>
        <w:rPr>
          <w:rFonts w:ascii="Times New Roman" w:hAnsi="Times New Roman"/>
          <w:sz w:val="22"/>
          <w:szCs w:val="22"/>
        </w:rPr>
      </w:pPr>
      <w:r w:rsidRPr="2B852FFB">
        <w:rPr>
          <w:rFonts w:ascii="Times New Roman" w:hAnsi="Times New Roman"/>
          <w:sz w:val="22"/>
          <w:szCs w:val="22"/>
        </w:rPr>
        <w:t>Where PFAS-containing materials are used in marine applications, any proposed substitute must be evaluated not simply on whether an alternative material exists, but whether that alternative can provide the necessary safety, durability, reliability, and performance in a demanding marine environment.  Chemical substitution for low</w:t>
      </w:r>
      <w:r w:rsidR="00F72697">
        <w:rPr>
          <w:rFonts w:ascii="Times New Roman" w:hAnsi="Times New Roman"/>
          <w:sz w:val="22"/>
          <w:szCs w:val="22"/>
        </w:rPr>
        <w:t>-</w:t>
      </w:r>
      <w:r w:rsidRPr="2B852FFB">
        <w:rPr>
          <w:rFonts w:ascii="Times New Roman" w:hAnsi="Times New Roman"/>
          <w:sz w:val="22"/>
          <w:szCs w:val="22"/>
        </w:rPr>
        <w:t>volume parts sourced globally is something that small</w:t>
      </w:r>
      <w:r w:rsidR="00F7121D">
        <w:rPr>
          <w:rFonts w:ascii="Times New Roman" w:hAnsi="Times New Roman"/>
          <w:sz w:val="22"/>
          <w:szCs w:val="22"/>
        </w:rPr>
        <w:t>-</w:t>
      </w:r>
      <w:r w:rsidRPr="2B852FFB">
        <w:rPr>
          <w:rFonts w:ascii="Times New Roman" w:hAnsi="Times New Roman"/>
          <w:sz w:val="22"/>
          <w:szCs w:val="22"/>
        </w:rPr>
        <w:t xml:space="preserve">business </w:t>
      </w:r>
      <w:r w:rsidR="18791596" w:rsidRPr="06AA6470">
        <w:rPr>
          <w:rFonts w:ascii="Times New Roman" w:hAnsi="Times New Roman"/>
          <w:sz w:val="22"/>
          <w:szCs w:val="22"/>
        </w:rPr>
        <w:t>boatbuilders</w:t>
      </w:r>
      <w:r w:rsidRPr="2B852FFB">
        <w:rPr>
          <w:rFonts w:ascii="Times New Roman" w:hAnsi="Times New Roman"/>
          <w:sz w:val="22"/>
          <w:szCs w:val="22"/>
        </w:rPr>
        <w:t xml:space="preserve"> cannot possibly drive.</w:t>
      </w:r>
    </w:p>
    <w:p w14:paraId="76D6BFB5" w14:textId="6656B529" w:rsidR="000A1E7D" w:rsidRPr="000A1E7D" w:rsidRDefault="2B852FFB" w:rsidP="2B852FFB">
      <w:pPr>
        <w:spacing w:after="80" w:line="259" w:lineRule="auto"/>
        <w:rPr>
          <w:rFonts w:ascii="Times New Roman" w:hAnsi="Times New Roman"/>
          <w:sz w:val="22"/>
          <w:szCs w:val="22"/>
        </w:rPr>
      </w:pPr>
      <w:r w:rsidRPr="2B852FFB">
        <w:rPr>
          <w:rFonts w:ascii="Times New Roman" w:hAnsi="Times New Roman"/>
          <w:sz w:val="22"/>
          <w:szCs w:val="22"/>
        </w:rPr>
        <w:t>NMMA strongly urges NMED to evaluate alternatives based on demonstrated technical feasibility, product performance, safety, commercial availability, economic feasibility, and the ability to satisfy applicable regulatory and industry requirements specifically for recreational marine use cases. The theoretical existence of an alternative should not, by itself, establish that an existing exemption is no longer necessary.</w:t>
      </w:r>
    </w:p>
    <w:p w14:paraId="27856B35" w14:textId="77777777" w:rsidR="000A1E7D" w:rsidRPr="000A1E7D" w:rsidRDefault="2B852FFB" w:rsidP="000A1E7D">
      <w:pPr>
        <w:spacing w:after="80"/>
        <w:rPr>
          <w:rFonts w:ascii="Times New Roman" w:hAnsi="Times New Roman"/>
          <w:b/>
          <w:bCs/>
          <w:sz w:val="22"/>
        </w:rPr>
      </w:pPr>
      <w:r w:rsidRPr="2B852FFB">
        <w:rPr>
          <w:rFonts w:ascii="Times New Roman" w:hAnsi="Times New Roman"/>
          <w:b/>
          <w:bCs/>
          <w:sz w:val="22"/>
          <w:szCs w:val="22"/>
        </w:rPr>
        <w:t>Safety and Performance Considerations</w:t>
      </w:r>
    </w:p>
    <w:p w14:paraId="74E13F3D" w14:textId="53FB9A65" w:rsidR="000A1E7D" w:rsidRPr="000A1E7D" w:rsidRDefault="55A09C91" w:rsidP="2B852FFB">
      <w:pPr>
        <w:spacing w:after="80" w:line="259" w:lineRule="auto"/>
      </w:pPr>
      <w:r w:rsidRPr="55A09C91">
        <w:rPr>
          <w:rFonts w:ascii="Times New Roman" w:hAnsi="Times New Roman"/>
          <w:sz w:val="22"/>
          <w:szCs w:val="22"/>
        </w:rPr>
        <w:t xml:space="preserve">Recreational boats have a </w:t>
      </w:r>
      <w:proofErr w:type="gramStart"/>
      <w:r w:rsidRPr="55A09C91">
        <w:rPr>
          <w:rFonts w:ascii="Times New Roman" w:hAnsi="Times New Roman"/>
          <w:sz w:val="22"/>
          <w:szCs w:val="22"/>
        </w:rPr>
        <w:t>long useful</w:t>
      </w:r>
      <w:proofErr w:type="gramEnd"/>
      <w:r w:rsidRPr="55A09C91">
        <w:rPr>
          <w:rFonts w:ascii="Times New Roman" w:hAnsi="Times New Roman"/>
          <w:sz w:val="22"/>
          <w:szCs w:val="22"/>
        </w:rPr>
        <w:t xml:space="preserve"> life of 30 </w:t>
      </w:r>
      <w:r w:rsidR="447E9E34" w:rsidRPr="06AA6470">
        <w:rPr>
          <w:rFonts w:ascii="Times New Roman" w:hAnsi="Times New Roman"/>
          <w:sz w:val="22"/>
          <w:szCs w:val="22"/>
        </w:rPr>
        <w:t>to</w:t>
      </w:r>
      <w:r w:rsidRPr="55A09C91">
        <w:rPr>
          <w:rFonts w:ascii="Times New Roman" w:hAnsi="Times New Roman"/>
          <w:sz w:val="22"/>
          <w:szCs w:val="22"/>
        </w:rPr>
        <w:t xml:space="preserve"> 50 years and operate in conditions involving prolonged exposure to water, moisture, temperature fluctuations, fuels and oils, ultraviolet exposure, corrosion, vibration, and other demanding environmental conditions. Materials and components used in these applications must continue to perform reliably throughout their expected service life. Changing a material or component will require engineering analysis, supplier qualification, validation testing, certification, or product redesign before an alternative can safely be incorporated into production. </w:t>
      </w:r>
    </w:p>
    <w:p w14:paraId="5FF6E0A3" w14:textId="0669A301" w:rsidR="000A1E7D" w:rsidRPr="000A1E7D" w:rsidRDefault="55A09C91" w:rsidP="2B852FFB">
      <w:pPr>
        <w:spacing w:after="80" w:line="259" w:lineRule="auto"/>
        <w:rPr>
          <w:rFonts w:ascii="Times New Roman" w:hAnsi="Times New Roman"/>
          <w:sz w:val="22"/>
          <w:szCs w:val="22"/>
        </w:rPr>
      </w:pPr>
      <w:r w:rsidRPr="55A09C91">
        <w:rPr>
          <w:rFonts w:ascii="Times New Roman" w:hAnsi="Times New Roman"/>
          <w:sz w:val="22"/>
          <w:szCs w:val="22"/>
        </w:rPr>
        <w:t xml:space="preserve">Accordingly, removing an exemption before alternatives have been adequately tested and validated could create unintended safety, durability, and performance consequences. There are potentially </w:t>
      </w:r>
      <w:r w:rsidR="005401D0">
        <w:rPr>
          <w:rFonts w:ascii="Times New Roman" w:hAnsi="Times New Roman"/>
          <w:sz w:val="22"/>
          <w:szCs w:val="22"/>
        </w:rPr>
        <w:t xml:space="preserve">more than </w:t>
      </w:r>
      <w:r w:rsidRPr="55A09C91">
        <w:rPr>
          <w:rFonts w:ascii="Times New Roman" w:hAnsi="Times New Roman"/>
          <w:sz w:val="22"/>
          <w:szCs w:val="22"/>
        </w:rPr>
        <w:t xml:space="preserve">10,000 components in recreational boats that would require evaluation. It is </w:t>
      </w:r>
      <w:r w:rsidR="425A9AD3" w:rsidRPr="06AA6470">
        <w:rPr>
          <w:rFonts w:ascii="Times New Roman" w:hAnsi="Times New Roman"/>
          <w:sz w:val="22"/>
          <w:szCs w:val="22"/>
        </w:rPr>
        <w:t>impractical</w:t>
      </w:r>
      <w:r w:rsidR="00613915">
        <w:rPr>
          <w:rFonts w:ascii="Times New Roman" w:hAnsi="Times New Roman"/>
          <w:sz w:val="22"/>
          <w:szCs w:val="22"/>
        </w:rPr>
        <w:t xml:space="preserve"> and inequitable</w:t>
      </w:r>
      <w:r w:rsidRPr="55A09C91">
        <w:rPr>
          <w:rFonts w:ascii="Times New Roman" w:hAnsi="Times New Roman"/>
          <w:sz w:val="22"/>
          <w:szCs w:val="22"/>
        </w:rPr>
        <w:t xml:space="preserve"> </w:t>
      </w:r>
      <w:r w:rsidR="0000796A">
        <w:rPr>
          <w:rFonts w:ascii="Times New Roman" w:hAnsi="Times New Roman"/>
          <w:sz w:val="22"/>
          <w:szCs w:val="22"/>
        </w:rPr>
        <w:t xml:space="preserve">to place </w:t>
      </w:r>
      <w:r w:rsidRPr="55A09C91">
        <w:rPr>
          <w:rFonts w:ascii="Times New Roman" w:hAnsi="Times New Roman"/>
          <w:sz w:val="22"/>
          <w:szCs w:val="22"/>
        </w:rPr>
        <w:t>this burden on thousands of small</w:t>
      </w:r>
      <w:r w:rsidR="009A69FE">
        <w:rPr>
          <w:rFonts w:ascii="Times New Roman" w:hAnsi="Times New Roman"/>
          <w:sz w:val="22"/>
          <w:szCs w:val="22"/>
        </w:rPr>
        <w:t>-</w:t>
      </w:r>
      <w:r w:rsidRPr="55A09C91">
        <w:rPr>
          <w:rFonts w:ascii="Times New Roman" w:hAnsi="Times New Roman"/>
          <w:sz w:val="22"/>
          <w:szCs w:val="22"/>
        </w:rPr>
        <w:t xml:space="preserve">business </w:t>
      </w:r>
      <w:r w:rsidR="5B5938BC" w:rsidRPr="06AA6470">
        <w:rPr>
          <w:rFonts w:ascii="Times New Roman" w:hAnsi="Times New Roman"/>
          <w:sz w:val="22"/>
          <w:szCs w:val="22"/>
        </w:rPr>
        <w:t>boatbuilders</w:t>
      </w:r>
      <w:r w:rsidRPr="55A09C91">
        <w:rPr>
          <w:rFonts w:ascii="Times New Roman" w:hAnsi="Times New Roman"/>
          <w:sz w:val="22"/>
          <w:szCs w:val="22"/>
        </w:rPr>
        <w:t xml:space="preserve">.  </w:t>
      </w:r>
    </w:p>
    <w:p w14:paraId="1D14B5E4" w14:textId="77777777" w:rsidR="000A1E7D" w:rsidRPr="000A1E7D" w:rsidRDefault="000A1E7D" w:rsidP="000A1E7D">
      <w:pPr>
        <w:spacing w:after="80"/>
        <w:rPr>
          <w:rFonts w:ascii="Times New Roman" w:hAnsi="Times New Roman"/>
          <w:bCs/>
          <w:sz w:val="22"/>
        </w:rPr>
      </w:pPr>
      <w:r w:rsidRPr="000A1E7D">
        <w:rPr>
          <w:rFonts w:ascii="Times New Roman" w:hAnsi="Times New Roman"/>
          <w:bCs/>
          <w:sz w:val="22"/>
        </w:rPr>
        <w:t xml:space="preserve">NMMA supports continued development and evaluation of alternatives. However, NMED should distinguish between an alternative that is theoretically available and one that has been demonstrated to meet the technical and safety requirements of a particular marine </w:t>
      </w:r>
      <w:proofErr w:type="gramStart"/>
      <w:r w:rsidRPr="000A1E7D">
        <w:rPr>
          <w:rFonts w:ascii="Times New Roman" w:hAnsi="Times New Roman"/>
          <w:bCs/>
          <w:sz w:val="22"/>
        </w:rPr>
        <w:t>application at</w:t>
      </w:r>
      <w:proofErr w:type="gramEnd"/>
      <w:r w:rsidRPr="000A1E7D">
        <w:rPr>
          <w:rFonts w:ascii="Times New Roman" w:hAnsi="Times New Roman"/>
          <w:bCs/>
          <w:sz w:val="22"/>
        </w:rPr>
        <w:t xml:space="preserve"> commercial scale.</w:t>
      </w:r>
    </w:p>
    <w:p w14:paraId="3E92BC27" w14:textId="4DC569D7" w:rsidR="000A1E7D" w:rsidRPr="000A1E7D" w:rsidRDefault="5A3FC0DB" w:rsidP="55A09C91">
      <w:pPr>
        <w:spacing w:after="80"/>
        <w:rPr>
          <w:rFonts w:ascii="Times New Roman" w:hAnsi="Times New Roman"/>
          <w:b/>
          <w:bCs/>
          <w:sz w:val="22"/>
          <w:szCs w:val="22"/>
        </w:rPr>
      </w:pPr>
      <w:r w:rsidRPr="72C3FCDB">
        <w:rPr>
          <w:rFonts w:ascii="Times New Roman" w:hAnsi="Times New Roman"/>
          <w:b/>
          <w:bCs/>
          <w:sz w:val="22"/>
          <w:szCs w:val="22"/>
        </w:rPr>
        <w:t>Supply</w:t>
      </w:r>
      <w:r w:rsidR="1345B234" w:rsidRPr="72C3FCDB">
        <w:rPr>
          <w:rFonts w:ascii="Times New Roman" w:hAnsi="Times New Roman"/>
          <w:b/>
          <w:bCs/>
          <w:sz w:val="22"/>
          <w:szCs w:val="22"/>
        </w:rPr>
        <w:t>-</w:t>
      </w:r>
      <w:r w:rsidRPr="72C3FCDB">
        <w:rPr>
          <w:rFonts w:ascii="Times New Roman" w:hAnsi="Times New Roman"/>
          <w:b/>
          <w:bCs/>
          <w:sz w:val="22"/>
          <w:szCs w:val="22"/>
        </w:rPr>
        <w:t>Chain and Economic Impacts</w:t>
      </w:r>
    </w:p>
    <w:p w14:paraId="1E48F338" w14:textId="49748F74" w:rsidR="000A1E7D" w:rsidRPr="000A1E7D" w:rsidRDefault="000A1E7D" w:rsidP="000A1E7D">
      <w:pPr>
        <w:spacing w:after="80"/>
        <w:rPr>
          <w:rFonts w:ascii="Times New Roman" w:hAnsi="Times New Roman"/>
          <w:sz w:val="22"/>
          <w:szCs w:val="22"/>
        </w:rPr>
      </w:pPr>
      <w:r w:rsidRPr="06AA6470">
        <w:rPr>
          <w:rFonts w:ascii="Times New Roman" w:hAnsi="Times New Roman"/>
          <w:sz w:val="22"/>
          <w:szCs w:val="22"/>
        </w:rPr>
        <w:t>Removing the watercraft exemption would also create compliance and supply-chain challenges, particularly for small</w:t>
      </w:r>
      <w:r w:rsidR="00A5188F" w:rsidRPr="06AA6470">
        <w:rPr>
          <w:rFonts w:ascii="Times New Roman" w:hAnsi="Times New Roman"/>
          <w:sz w:val="22"/>
          <w:szCs w:val="22"/>
        </w:rPr>
        <w:t>-</w:t>
      </w:r>
      <w:r w:rsidRPr="06AA6470">
        <w:rPr>
          <w:rFonts w:ascii="Times New Roman" w:hAnsi="Times New Roman"/>
          <w:sz w:val="22"/>
          <w:szCs w:val="22"/>
        </w:rPr>
        <w:t xml:space="preserve"> and medium-sized boat manufacturers.</w:t>
      </w:r>
    </w:p>
    <w:p w14:paraId="6FA77705" w14:textId="77777777" w:rsidR="000A1E7D" w:rsidRPr="000A1E7D" w:rsidRDefault="000A1E7D" w:rsidP="000A1E7D">
      <w:pPr>
        <w:spacing w:after="80"/>
        <w:rPr>
          <w:rFonts w:ascii="Times New Roman" w:hAnsi="Times New Roman"/>
          <w:sz w:val="22"/>
        </w:rPr>
      </w:pPr>
      <w:r w:rsidRPr="000A1E7D">
        <w:rPr>
          <w:rFonts w:ascii="Times New Roman" w:hAnsi="Times New Roman"/>
          <w:sz w:val="22"/>
        </w:rPr>
        <w:t xml:space="preserve">As NMMA previously explained to the Environmental Improvement Board, manufacturers assemble thousands of individually purchased components, and </w:t>
      </w:r>
      <w:proofErr w:type="gramStart"/>
      <w:r w:rsidRPr="000A1E7D">
        <w:rPr>
          <w:rFonts w:ascii="Times New Roman" w:hAnsi="Times New Roman"/>
          <w:sz w:val="22"/>
        </w:rPr>
        <w:t>identifying</w:t>
      </w:r>
      <w:proofErr w:type="gramEnd"/>
      <w:r w:rsidRPr="000A1E7D">
        <w:rPr>
          <w:rFonts w:ascii="Times New Roman" w:hAnsi="Times New Roman"/>
          <w:sz w:val="22"/>
        </w:rPr>
        <w:t xml:space="preserve"> potentially thousands of PFAS substances within each component and subassembly presents substantial operational challenges. The global and multi-tiered nature of the recreational marine supply chain further complicates manufacturers’ ability to obtain detailed chemical information from upstream suppliers. </w:t>
      </w:r>
    </w:p>
    <w:p w14:paraId="068DE631" w14:textId="5BB2C848" w:rsidR="000A1E7D" w:rsidRPr="000A1E7D" w:rsidRDefault="000A1E7D" w:rsidP="000A1E7D">
      <w:pPr>
        <w:spacing w:after="80"/>
        <w:rPr>
          <w:rFonts w:ascii="Times New Roman" w:hAnsi="Times New Roman"/>
          <w:sz w:val="22"/>
          <w:szCs w:val="22"/>
        </w:rPr>
      </w:pPr>
      <w:r w:rsidRPr="06AA6470">
        <w:rPr>
          <w:rFonts w:ascii="Times New Roman" w:hAnsi="Times New Roman"/>
          <w:sz w:val="22"/>
          <w:szCs w:val="22"/>
        </w:rPr>
        <w:t xml:space="preserve">New Mexico represents a comparatively small portion of the national recreational boating market. NMMA previously reported that 27,952 recreational boats are registered in New Mexico, ranking the state 48th nationally </w:t>
      </w:r>
      <w:r w:rsidR="66F5266E" w:rsidRPr="06AA6470">
        <w:rPr>
          <w:rFonts w:ascii="Times New Roman" w:hAnsi="Times New Roman"/>
          <w:sz w:val="22"/>
          <w:szCs w:val="22"/>
        </w:rPr>
        <w:t>in</w:t>
      </w:r>
      <w:r w:rsidRPr="06AA6470">
        <w:rPr>
          <w:rFonts w:ascii="Times New Roman" w:hAnsi="Times New Roman"/>
          <w:sz w:val="22"/>
          <w:szCs w:val="22"/>
        </w:rPr>
        <w:t xml:space="preserve"> recreational boat registrations. Recreational marine products, however, are manufactured and distributed through national and international markets. </w:t>
      </w:r>
    </w:p>
    <w:p w14:paraId="0CC4A485" w14:textId="77777777" w:rsidR="000A1E7D" w:rsidRPr="000A1E7D" w:rsidRDefault="000A1E7D" w:rsidP="000A1E7D">
      <w:pPr>
        <w:spacing w:after="80"/>
        <w:rPr>
          <w:rFonts w:ascii="Times New Roman" w:hAnsi="Times New Roman"/>
          <w:sz w:val="22"/>
        </w:rPr>
      </w:pPr>
      <w:r w:rsidRPr="000A1E7D">
        <w:rPr>
          <w:rFonts w:ascii="Times New Roman" w:hAnsi="Times New Roman"/>
          <w:sz w:val="22"/>
        </w:rPr>
        <w:t>Requirements unique to New Mexico could therefore require manufacturers to establish separate compliance, inventory, distribution, or product-design systems for products entering a relatively small market. Such requirements could increase costs throughout the supply chain and potentially affect product availability without producing a commensurate environmental benefit.</w:t>
      </w:r>
    </w:p>
    <w:p w14:paraId="6EE83710" w14:textId="77777777" w:rsidR="000A1E7D" w:rsidRPr="000A1E7D" w:rsidRDefault="000A1E7D" w:rsidP="000A1E7D">
      <w:pPr>
        <w:spacing w:after="80"/>
        <w:rPr>
          <w:rFonts w:ascii="Times New Roman" w:hAnsi="Times New Roman"/>
          <w:b/>
          <w:bCs/>
          <w:sz w:val="22"/>
        </w:rPr>
      </w:pPr>
      <w:r w:rsidRPr="000A1E7D">
        <w:rPr>
          <w:rFonts w:ascii="Times New Roman" w:hAnsi="Times New Roman"/>
          <w:b/>
          <w:bCs/>
          <w:sz w:val="22"/>
        </w:rPr>
        <w:t>Regulatory Consistency and Scope of the Exemption</w:t>
      </w:r>
    </w:p>
    <w:p w14:paraId="5D955C38" w14:textId="77777777" w:rsidR="000A1E7D" w:rsidRPr="000A1E7D" w:rsidRDefault="000A1E7D" w:rsidP="000A1E7D">
      <w:pPr>
        <w:spacing w:after="80"/>
        <w:rPr>
          <w:rFonts w:ascii="Times New Roman" w:hAnsi="Times New Roman"/>
          <w:bCs/>
          <w:sz w:val="22"/>
        </w:rPr>
      </w:pPr>
      <w:r w:rsidRPr="000A1E7D">
        <w:rPr>
          <w:rFonts w:ascii="Times New Roman" w:hAnsi="Times New Roman"/>
          <w:bCs/>
          <w:sz w:val="22"/>
        </w:rPr>
        <w:t>NMMA also encourages NMED to consider the existing federal regulatory framework governing recreational vessels and associated equipment when evaluating the watercraft exemption.</w:t>
      </w:r>
    </w:p>
    <w:p w14:paraId="45FFB07A" w14:textId="1E874951" w:rsidR="000A1E7D" w:rsidRPr="000A1E7D" w:rsidRDefault="1345B234" w:rsidP="72C3FCDB">
      <w:pPr>
        <w:spacing w:after="80"/>
        <w:rPr>
          <w:rFonts w:ascii="Times New Roman" w:hAnsi="Times New Roman"/>
          <w:sz w:val="22"/>
          <w:szCs w:val="22"/>
        </w:rPr>
      </w:pPr>
      <w:r w:rsidRPr="72C3FCDB">
        <w:rPr>
          <w:rFonts w:ascii="Times New Roman" w:hAnsi="Times New Roman"/>
          <w:sz w:val="22"/>
          <w:szCs w:val="22"/>
        </w:rPr>
        <w:t>NMMA previously recommended that New Mexico reference the U</w:t>
      </w:r>
      <w:r w:rsidR="0827424F" w:rsidRPr="72C3FCDB">
        <w:rPr>
          <w:rFonts w:ascii="Times New Roman" w:hAnsi="Times New Roman"/>
          <w:sz w:val="22"/>
          <w:szCs w:val="22"/>
        </w:rPr>
        <w:t>.</w:t>
      </w:r>
      <w:r w:rsidRPr="72C3FCDB">
        <w:rPr>
          <w:rFonts w:ascii="Times New Roman" w:hAnsi="Times New Roman"/>
          <w:sz w:val="22"/>
          <w:szCs w:val="22"/>
        </w:rPr>
        <w:t>S</w:t>
      </w:r>
      <w:r w:rsidR="3BBFE640" w:rsidRPr="72C3FCDB">
        <w:rPr>
          <w:rFonts w:ascii="Times New Roman" w:hAnsi="Times New Roman"/>
          <w:sz w:val="22"/>
          <w:szCs w:val="22"/>
        </w:rPr>
        <w:t>.</w:t>
      </w:r>
      <w:r w:rsidRPr="72C3FCDB">
        <w:rPr>
          <w:rFonts w:ascii="Times New Roman" w:hAnsi="Times New Roman"/>
          <w:sz w:val="22"/>
          <w:szCs w:val="22"/>
        </w:rPr>
        <w:t xml:space="preserve"> Coast Guard definition of a “vessel,” together with the federal definition of “associated equipment,” to ensure that the exemption encompasses the integrated equipment, parts, and accessories necessary to manufacture and safely operate a recreational vessel. </w:t>
      </w:r>
    </w:p>
    <w:p w14:paraId="4BA00A1C" w14:textId="45908B3D" w:rsidR="000A1E7D" w:rsidRDefault="1345B234" w:rsidP="000A1E7D">
      <w:pPr>
        <w:spacing w:after="80"/>
        <w:rPr>
          <w:rFonts w:ascii="Times New Roman" w:hAnsi="Times New Roman"/>
          <w:sz w:val="22"/>
          <w:szCs w:val="22"/>
        </w:rPr>
      </w:pPr>
      <w:r w:rsidRPr="72C3FCDB">
        <w:rPr>
          <w:rFonts w:ascii="Times New Roman" w:hAnsi="Times New Roman"/>
          <w:sz w:val="22"/>
          <w:szCs w:val="22"/>
        </w:rPr>
        <w:t>Maintaining a clear and appropriately scoped watercraft exemption would provide manufacturers with regulatory certainty while avoiding conflicting requirements for products designed and distributed nationally.</w:t>
      </w:r>
    </w:p>
    <w:p w14:paraId="7EE7979F" w14:textId="273B8C67" w:rsidR="000A1E7D" w:rsidRPr="000A1E7D" w:rsidRDefault="2B852FFB" w:rsidP="2B852FFB">
      <w:pPr>
        <w:spacing w:after="80"/>
        <w:rPr>
          <w:rFonts w:ascii="Times New Roman" w:hAnsi="Times New Roman"/>
          <w:sz w:val="22"/>
          <w:szCs w:val="22"/>
        </w:rPr>
      </w:pPr>
      <w:r w:rsidRPr="2B852FFB">
        <w:rPr>
          <w:rFonts w:ascii="Times New Roman" w:hAnsi="Times New Roman"/>
          <w:sz w:val="22"/>
          <w:szCs w:val="22"/>
        </w:rPr>
        <w:t>NMMA supports responsible efforts to address PFAS and the continued development of safer, technically feasible alternatives. At the same time, decisions regarding existing statutory exemptions should account for product safety, technical feasibility, demonstrated performance, commercial availability, supply-chain realities, economic impacts, and existing regulatory requirements</w:t>
      </w:r>
      <w:r w:rsidR="00494C5B" w:rsidRPr="00494C5B">
        <w:rPr>
          <w:rFonts w:ascii="Times New Roman" w:hAnsi="Times New Roman"/>
          <w:sz w:val="22"/>
          <w:szCs w:val="22"/>
        </w:rPr>
        <w:t>, while recognizing the challenges facing an industry composed primarily of small-business boatbuilders.</w:t>
      </w:r>
    </w:p>
    <w:p w14:paraId="15B0B2F0" w14:textId="28C41ABC" w:rsidR="000A1E7D" w:rsidRPr="000A1E7D" w:rsidRDefault="2B852FFB" w:rsidP="2B852FFB">
      <w:pPr>
        <w:spacing w:after="80" w:line="259" w:lineRule="auto"/>
        <w:rPr>
          <w:rFonts w:ascii="Times New Roman" w:hAnsi="Times New Roman"/>
          <w:sz w:val="22"/>
          <w:szCs w:val="22"/>
        </w:rPr>
      </w:pPr>
      <w:r w:rsidRPr="2B852FFB">
        <w:rPr>
          <w:rFonts w:ascii="Times New Roman" w:hAnsi="Times New Roman"/>
          <w:sz w:val="22"/>
          <w:szCs w:val="22"/>
        </w:rPr>
        <w:t>Based on these considerations, NMMA strongly urges NMED to recommend maintaining the existing statutory exemption for watercraft. Removing or narrowing the exemption before technically feasible, commercially available, and adequately validated alternatives exist could create substantial manufacturing and supply-chain challenges, increase costs, undermine product safety and performance, and contribute to regulatory fragmentation.</w:t>
      </w:r>
    </w:p>
    <w:p w14:paraId="18E80D87" w14:textId="29EA94BB" w:rsidR="00125415" w:rsidRDefault="1345B234" w:rsidP="06AA6470">
      <w:pPr>
        <w:spacing w:after="80"/>
        <w:rPr>
          <w:rFonts w:ascii="Times New Roman" w:hAnsi="Times New Roman"/>
          <w:sz w:val="22"/>
          <w:szCs w:val="22"/>
        </w:rPr>
      </w:pPr>
      <w:r w:rsidRPr="72C3FCDB">
        <w:rPr>
          <w:rFonts w:ascii="Times New Roman" w:hAnsi="Times New Roman"/>
          <w:sz w:val="22"/>
          <w:szCs w:val="22"/>
        </w:rPr>
        <w:t>NMMA appreciates NMED’s consideration of these comments and looks forward to continuing to engage with the Department as it develops its recommendations pursuant to HJM 3.</w:t>
      </w:r>
    </w:p>
    <w:p w14:paraId="74D3E077" w14:textId="77777777" w:rsidR="00F7741D" w:rsidRDefault="00F7741D">
      <w:pPr>
        <w:spacing w:after="200"/>
        <w:rPr>
          <w:rFonts w:ascii="Times New Roman" w:hAnsi="Times New Roman"/>
          <w:sz w:val="22"/>
          <w:szCs w:val="22"/>
        </w:rPr>
      </w:pPr>
    </w:p>
    <w:p w14:paraId="195BB2E9" w14:textId="77777777" w:rsidR="00125415" w:rsidRDefault="008A4824">
      <w:pPr>
        <w:spacing w:after="200"/>
      </w:pPr>
      <w:r>
        <w:rPr>
          <w:rFonts w:ascii="Times New Roman" w:hAnsi="Times New Roman"/>
          <w:sz w:val="22"/>
        </w:rPr>
        <w:t>Respectfully submitted,</w:t>
      </w:r>
    </w:p>
    <w:p w14:paraId="600698BE" w14:textId="77777777" w:rsidR="00F7741D" w:rsidRDefault="00F7741D">
      <w:pPr>
        <w:rPr>
          <w:rFonts w:ascii="Times New Roman" w:hAnsi="Times New Roman"/>
          <w:sz w:val="22"/>
          <w:szCs w:val="22"/>
        </w:rPr>
      </w:pPr>
    </w:p>
    <w:p w14:paraId="6DEB5754" w14:textId="77777777" w:rsidR="00125415" w:rsidRDefault="008A4824">
      <w:r>
        <w:rPr>
          <w:rFonts w:ascii="Times New Roman" w:hAnsi="Times New Roman"/>
          <w:sz w:val="22"/>
        </w:rPr>
        <w:t>Emily Villanueva</w:t>
      </w:r>
    </w:p>
    <w:p w14:paraId="6E324181" w14:textId="1AE7FA7C" w:rsidR="004F1C42" w:rsidRPr="00CA271E" w:rsidRDefault="004F1C42">
      <w:r w:rsidRPr="06AA6470">
        <w:rPr>
          <w:rFonts w:ascii="Times New Roman" w:hAnsi="Times New Roman"/>
          <w:sz w:val="22"/>
          <w:szCs w:val="22"/>
        </w:rPr>
        <w:t>Western Government Relations Manager</w:t>
      </w:r>
    </w:p>
    <w:p w14:paraId="5FC70855" w14:textId="7B39A9C1" w:rsidR="000A1E7D" w:rsidRDefault="008A4824">
      <w:r>
        <w:rPr>
          <w:rFonts w:ascii="Times New Roman" w:hAnsi="Times New Roman"/>
          <w:sz w:val="22"/>
        </w:rPr>
        <w:t>National Marine Manufacturers Association</w:t>
      </w:r>
    </w:p>
    <w:p w14:paraId="33C60818" w14:textId="6592E9C1" w:rsidR="00125415" w:rsidRDefault="00125415">
      <w:pPr>
        <w:rPr>
          <w:rFonts w:ascii="Times New Roman" w:hAnsi="Times New Roman"/>
          <w:sz w:val="22"/>
          <w:szCs w:val="22"/>
        </w:rPr>
      </w:pPr>
    </w:p>
    <w:sectPr w:rsidR="00125415" w:rsidSect="005D3562">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F29777" w14:textId="77777777" w:rsidR="00B45045" w:rsidRDefault="00B45045" w:rsidP="004F7E3A">
      <w:r>
        <w:separator/>
      </w:r>
    </w:p>
  </w:endnote>
  <w:endnote w:type="continuationSeparator" w:id="0">
    <w:p w14:paraId="42A50574" w14:textId="77777777" w:rsidR="00B45045" w:rsidRDefault="00B45045" w:rsidP="004F7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5B22E" w14:textId="77777777" w:rsidR="00EB1A1A" w:rsidRDefault="00EB1A1A" w:rsidP="00EB1A1A">
    <w:pPr>
      <w:pStyle w:val="Footer"/>
      <w:tabs>
        <w:tab w:val="clear" w:pos="4680"/>
        <w:tab w:val="clear" w:pos="9360"/>
        <w:tab w:val="left" w:pos="69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3F94F" w14:textId="77777777" w:rsidR="00B45045" w:rsidRDefault="00B45045" w:rsidP="004F7E3A">
      <w:r>
        <w:separator/>
      </w:r>
    </w:p>
  </w:footnote>
  <w:footnote w:type="continuationSeparator" w:id="0">
    <w:p w14:paraId="3969A51C" w14:textId="77777777" w:rsidR="00B45045" w:rsidRDefault="00B45045" w:rsidP="004F7E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DF51C" w14:textId="77777777" w:rsidR="007E544D" w:rsidRDefault="007E544D">
    <w:pPr>
      <w:pStyle w:val="Header"/>
    </w:pPr>
    <w:r>
      <w:rPr>
        <w:noProof/>
      </w:rPr>
      <w:drawing>
        <wp:anchor distT="0" distB="0" distL="114300" distR="114300" simplePos="0" relativeHeight="251658240" behindDoc="1" locked="0" layoutInCell="1" allowOverlap="1" wp14:anchorId="5333D247" wp14:editId="0616D293">
          <wp:simplePos x="0" y="0"/>
          <wp:positionH relativeFrom="column">
            <wp:posOffset>-901700</wp:posOffset>
          </wp:positionH>
          <wp:positionV relativeFrom="paragraph">
            <wp:posOffset>-444476</wp:posOffset>
          </wp:positionV>
          <wp:extent cx="7784028" cy="10073448"/>
          <wp:effectExtent l="0" t="0" r="1270" b="0"/>
          <wp:wrapNone/>
          <wp:docPr id="1560923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92369"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84028" cy="10073448"/>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9BD06"/>
    <w:multiLevelType w:val="hybridMultilevel"/>
    <w:tmpl w:val="FFFFFFFF"/>
    <w:lvl w:ilvl="0" w:tplc="5B88E860">
      <w:start w:val="1"/>
      <w:numFmt w:val="bullet"/>
      <w:lvlText w:val=""/>
      <w:lvlJc w:val="left"/>
      <w:pPr>
        <w:ind w:left="720" w:hanging="360"/>
      </w:pPr>
      <w:rPr>
        <w:rFonts w:ascii="Symbol" w:hAnsi="Symbol" w:hint="default"/>
      </w:rPr>
    </w:lvl>
    <w:lvl w:ilvl="1" w:tplc="494ECD32">
      <w:start w:val="1"/>
      <w:numFmt w:val="bullet"/>
      <w:lvlText w:val="o"/>
      <w:lvlJc w:val="left"/>
      <w:pPr>
        <w:ind w:left="1440" w:hanging="360"/>
      </w:pPr>
      <w:rPr>
        <w:rFonts w:ascii="Courier New" w:hAnsi="Courier New" w:hint="default"/>
      </w:rPr>
    </w:lvl>
    <w:lvl w:ilvl="2" w:tplc="9E3AA8A2">
      <w:start w:val="1"/>
      <w:numFmt w:val="bullet"/>
      <w:lvlText w:val=""/>
      <w:lvlJc w:val="left"/>
      <w:pPr>
        <w:ind w:left="2160" w:hanging="360"/>
      </w:pPr>
      <w:rPr>
        <w:rFonts w:ascii="Wingdings" w:hAnsi="Wingdings" w:hint="default"/>
      </w:rPr>
    </w:lvl>
    <w:lvl w:ilvl="3" w:tplc="F91ADF02">
      <w:start w:val="1"/>
      <w:numFmt w:val="bullet"/>
      <w:lvlText w:val=""/>
      <w:lvlJc w:val="left"/>
      <w:pPr>
        <w:ind w:left="2880" w:hanging="360"/>
      </w:pPr>
      <w:rPr>
        <w:rFonts w:ascii="Symbol" w:hAnsi="Symbol" w:hint="default"/>
      </w:rPr>
    </w:lvl>
    <w:lvl w:ilvl="4" w:tplc="ED6CD39E">
      <w:start w:val="1"/>
      <w:numFmt w:val="bullet"/>
      <w:lvlText w:val="o"/>
      <w:lvlJc w:val="left"/>
      <w:pPr>
        <w:ind w:left="3600" w:hanging="360"/>
      </w:pPr>
      <w:rPr>
        <w:rFonts w:ascii="Courier New" w:hAnsi="Courier New" w:hint="default"/>
      </w:rPr>
    </w:lvl>
    <w:lvl w:ilvl="5" w:tplc="FD52BA9C">
      <w:start w:val="1"/>
      <w:numFmt w:val="bullet"/>
      <w:lvlText w:val=""/>
      <w:lvlJc w:val="left"/>
      <w:pPr>
        <w:ind w:left="4320" w:hanging="360"/>
      </w:pPr>
      <w:rPr>
        <w:rFonts w:ascii="Wingdings" w:hAnsi="Wingdings" w:hint="default"/>
      </w:rPr>
    </w:lvl>
    <w:lvl w:ilvl="6" w:tplc="8E225B26">
      <w:start w:val="1"/>
      <w:numFmt w:val="bullet"/>
      <w:lvlText w:val=""/>
      <w:lvlJc w:val="left"/>
      <w:pPr>
        <w:ind w:left="5040" w:hanging="360"/>
      </w:pPr>
      <w:rPr>
        <w:rFonts w:ascii="Symbol" w:hAnsi="Symbol" w:hint="default"/>
      </w:rPr>
    </w:lvl>
    <w:lvl w:ilvl="7" w:tplc="3A60DE9E">
      <w:start w:val="1"/>
      <w:numFmt w:val="bullet"/>
      <w:lvlText w:val="o"/>
      <w:lvlJc w:val="left"/>
      <w:pPr>
        <w:ind w:left="5760" w:hanging="360"/>
      </w:pPr>
      <w:rPr>
        <w:rFonts w:ascii="Courier New" w:hAnsi="Courier New" w:hint="default"/>
      </w:rPr>
    </w:lvl>
    <w:lvl w:ilvl="8" w:tplc="FCFE4A1A">
      <w:start w:val="1"/>
      <w:numFmt w:val="bullet"/>
      <w:lvlText w:val=""/>
      <w:lvlJc w:val="left"/>
      <w:pPr>
        <w:ind w:left="6480" w:hanging="360"/>
      </w:pPr>
      <w:rPr>
        <w:rFonts w:ascii="Wingdings" w:hAnsi="Wingdings" w:hint="default"/>
      </w:rPr>
    </w:lvl>
  </w:abstractNum>
  <w:abstractNum w:abstractNumId="1" w15:restartNumberingAfterBreak="0">
    <w:nsid w:val="264E28AC"/>
    <w:multiLevelType w:val="multilevel"/>
    <w:tmpl w:val="FF9A6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07023518">
    <w:abstractNumId w:val="0"/>
  </w:num>
  <w:num w:numId="2" w16cid:durableId="599458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08E"/>
    <w:rsid w:val="000006BF"/>
    <w:rsid w:val="0000796A"/>
    <w:rsid w:val="000140F3"/>
    <w:rsid w:val="00017C55"/>
    <w:rsid w:val="00032D29"/>
    <w:rsid w:val="0005624D"/>
    <w:rsid w:val="00057155"/>
    <w:rsid w:val="00070D62"/>
    <w:rsid w:val="00070FF8"/>
    <w:rsid w:val="000926E7"/>
    <w:rsid w:val="000A1E7D"/>
    <w:rsid w:val="000A30A1"/>
    <w:rsid w:val="000A7FCD"/>
    <w:rsid w:val="000C266E"/>
    <w:rsid w:val="000C76FB"/>
    <w:rsid w:val="000E226F"/>
    <w:rsid w:val="00100061"/>
    <w:rsid w:val="00125415"/>
    <w:rsid w:val="00134559"/>
    <w:rsid w:val="00151E57"/>
    <w:rsid w:val="001754D8"/>
    <w:rsid w:val="001802B1"/>
    <w:rsid w:val="00183FE1"/>
    <w:rsid w:val="001C19A3"/>
    <w:rsid w:val="00267446"/>
    <w:rsid w:val="00267EEA"/>
    <w:rsid w:val="00271BD4"/>
    <w:rsid w:val="002A1AC5"/>
    <w:rsid w:val="002A7C16"/>
    <w:rsid w:val="002A7F5E"/>
    <w:rsid w:val="002B3103"/>
    <w:rsid w:val="002B34AA"/>
    <w:rsid w:val="002C078D"/>
    <w:rsid w:val="002D61CC"/>
    <w:rsid w:val="002F5C4A"/>
    <w:rsid w:val="00316F47"/>
    <w:rsid w:val="003564DF"/>
    <w:rsid w:val="0036148B"/>
    <w:rsid w:val="003C2B63"/>
    <w:rsid w:val="003C2BA5"/>
    <w:rsid w:val="003F3064"/>
    <w:rsid w:val="003F4FDD"/>
    <w:rsid w:val="0040678A"/>
    <w:rsid w:val="00415246"/>
    <w:rsid w:val="00441DF1"/>
    <w:rsid w:val="00461F2D"/>
    <w:rsid w:val="0047121A"/>
    <w:rsid w:val="00494C5B"/>
    <w:rsid w:val="0049741C"/>
    <w:rsid w:val="004A2767"/>
    <w:rsid w:val="004B3FC4"/>
    <w:rsid w:val="004B617C"/>
    <w:rsid w:val="004F0CA5"/>
    <w:rsid w:val="004F1C42"/>
    <w:rsid w:val="004F7E3A"/>
    <w:rsid w:val="00501E97"/>
    <w:rsid w:val="0050495C"/>
    <w:rsid w:val="00513EF6"/>
    <w:rsid w:val="0052077B"/>
    <w:rsid w:val="005401D0"/>
    <w:rsid w:val="00562AFF"/>
    <w:rsid w:val="00576EB0"/>
    <w:rsid w:val="00577F6D"/>
    <w:rsid w:val="00594995"/>
    <w:rsid w:val="005D3562"/>
    <w:rsid w:val="005E2D2C"/>
    <w:rsid w:val="006046A8"/>
    <w:rsid w:val="00604F5D"/>
    <w:rsid w:val="00613915"/>
    <w:rsid w:val="00616925"/>
    <w:rsid w:val="006218D7"/>
    <w:rsid w:val="00627969"/>
    <w:rsid w:val="00656B27"/>
    <w:rsid w:val="00680282"/>
    <w:rsid w:val="00685BBC"/>
    <w:rsid w:val="006A6747"/>
    <w:rsid w:val="006A67D8"/>
    <w:rsid w:val="006A6C1D"/>
    <w:rsid w:val="006D5C23"/>
    <w:rsid w:val="00751A5D"/>
    <w:rsid w:val="00752C7D"/>
    <w:rsid w:val="007533C9"/>
    <w:rsid w:val="00761E15"/>
    <w:rsid w:val="0077708E"/>
    <w:rsid w:val="00786856"/>
    <w:rsid w:val="00787037"/>
    <w:rsid w:val="00794695"/>
    <w:rsid w:val="007C42A9"/>
    <w:rsid w:val="007E0415"/>
    <w:rsid w:val="007E1925"/>
    <w:rsid w:val="007E544D"/>
    <w:rsid w:val="007F792A"/>
    <w:rsid w:val="008049DE"/>
    <w:rsid w:val="0081304B"/>
    <w:rsid w:val="00846364"/>
    <w:rsid w:val="00865209"/>
    <w:rsid w:val="00874359"/>
    <w:rsid w:val="0087551F"/>
    <w:rsid w:val="00890A42"/>
    <w:rsid w:val="00891480"/>
    <w:rsid w:val="008A4824"/>
    <w:rsid w:val="008A5268"/>
    <w:rsid w:val="008A58B4"/>
    <w:rsid w:val="008E2B22"/>
    <w:rsid w:val="00905A0A"/>
    <w:rsid w:val="00910343"/>
    <w:rsid w:val="00914050"/>
    <w:rsid w:val="009338E3"/>
    <w:rsid w:val="00945B74"/>
    <w:rsid w:val="00973D1C"/>
    <w:rsid w:val="009A6227"/>
    <w:rsid w:val="009A69FE"/>
    <w:rsid w:val="009C4AFE"/>
    <w:rsid w:val="009C6B62"/>
    <w:rsid w:val="009E0C1A"/>
    <w:rsid w:val="009F02EC"/>
    <w:rsid w:val="00A12873"/>
    <w:rsid w:val="00A2024A"/>
    <w:rsid w:val="00A30F6A"/>
    <w:rsid w:val="00A5188F"/>
    <w:rsid w:val="00A616DB"/>
    <w:rsid w:val="00A74E62"/>
    <w:rsid w:val="00AA17AF"/>
    <w:rsid w:val="00AA2F46"/>
    <w:rsid w:val="00AA35C1"/>
    <w:rsid w:val="00AA751C"/>
    <w:rsid w:val="00AC4F3D"/>
    <w:rsid w:val="00AC6775"/>
    <w:rsid w:val="00AD5762"/>
    <w:rsid w:val="00B02D10"/>
    <w:rsid w:val="00B16F9F"/>
    <w:rsid w:val="00B21827"/>
    <w:rsid w:val="00B32D52"/>
    <w:rsid w:val="00B439F6"/>
    <w:rsid w:val="00B45045"/>
    <w:rsid w:val="00B507B7"/>
    <w:rsid w:val="00B75FC0"/>
    <w:rsid w:val="00B769DF"/>
    <w:rsid w:val="00BA1C07"/>
    <w:rsid w:val="00BD2D94"/>
    <w:rsid w:val="00BD33B1"/>
    <w:rsid w:val="00C00957"/>
    <w:rsid w:val="00C0549B"/>
    <w:rsid w:val="00C06B47"/>
    <w:rsid w:val="00C10AA7"/>
    <w:rsid w:val="00C10D22"/>
    <w:rsid w:val="00C37F4E"/>
    <w:rsid w:val="00C44932"/>
    <w:rsid w:val="00C470BB"/>
    <w:rsid w:val="00C51514"/>
    <w:rsid w:val="00C77D86"/>
    <w:rsid w:val="00C82E37"/>
    <w:rsid w:val="00CA271E"/>
    <w:rsid w:val="00CA7192"/>
    <w:rsid w:val="00CB3DAF"/>
    <w:rsid w:val="00CE0191"/>
    <w:rsid w:val="00D078DA"/>
    <w:rsid w:val="00D07F05"/>
    <w:rsid w:val="00D356EC"/>
    <w:rsid w:val="00D538F3"/>
    <w:rsid w:val="00D67A24"/>
    <w:rsid w:val="00DA7758"/>
    <w:rsid w:val="00DB37E1"/>
    <w:rsid w:val="00E16B02"/>
    <w:rsid w:val="00E24EC4"/>
    <w:rsid w:val="00E46BEC"/>
    <w:rsid w:val="00E7269F"/>
    <w:rsid w:val="00E72984"/>
    <w:rsid w:val="00E823A7"/>
    <w:rsid w:val="00E92EE7"/>
    <w:rsid w:val="00EB1A1A"/>
    <w:rsid w:val="00EB5DAF"/>
    <w:rsid w:val="00EC4ADE"/>
    <w:rsid w:val="00EC7527"/>
    <w:rsid w:val="00ED461E"/>
    <w:rsid w:val="00ED62B1"/>
    <w:rsid w:val="00F10C4A"/>
    <w:rsid w:val="00F13659"/>
    <w:rsid w:val="00F2590B"/>
    <w:rsid w:val="00F36139"/>
    <w:rsid w:val="00F415A4"/>
    <w:rsid w:val="00F42348"/>
    <w:rsid w:val="00F52C2E"/>
    <w:rsid w:val="00F620A2"/>
    <w:rsid w:val="00F7121D"/>
    <w:rsid w:val="00F72697"/>
    <w:rsid w:val="00F7741D"/>
    <w:rsid w:val="00F816BE"/>
    <w:rsid w:val="00F845D2"/>
    <w:rsid w:val="00FB041F"/>
    <w:rsid w:val="05B0F986"/>
    <w:rsid w:val="06AA6470"/>
    <w:rsid w:val="0827424F"/>
    <w:rsid w:val="0C7C7942"/>
    <w:rsid w:val="11BDFA4A"/>
    <w:rsid w:val="1345B234"/>
    <w:rsid w:val="1811D2D6"/>
    <w:rsid w:val="18791596"/>
    <w:rsid w:val="24049907"/>
    <w:rsid w:val="274E6078"/>
    <w:rsid w:val="276365E5"/>
    <w:rsid w:val="2AD1B1A0"/>
    <w:rsid w:val="2B852FFB"/>
    <w:rsid w:val="3163E9BE"/>
    <w:rsid w:val="3237B652"/>
    <w:rsid w:val="3559A798"/>
    <w:rsid w:val="35E73A94"/>
    <w:rsid w:val="37A6D93D"/>
    <w:rsid w:val="3BBFE640"/>
    <w:rsid w:val="3CAFB14E"/>
    <w:rsid w:val="425A9AD3"/>
    <w:rsid w:val="447E9E34"/>
    <w:rsid w:val="44DCBF90"/>
    <w:rsid w:val="4A8CA989"/>
    <w:rsid w:val="55A09C91"/>
    <w:rsid w:val="5A3FC0DB"/>
    <w:rsid w:val="5B5938BC"/>
    <w:rsid w:val="5D8050D4"/>
    <w:rsid w:val="616F165E"/>
    <w:rsid w:val="66273F55"/>
    <w:rsid w:val="66790D3E"/>
    <w:rsid w:val="66F5266E"/>
    <w:rsid w:val="67D472BC"/>
    <w:rsid w:val="6C93129A"/>
    <w:rsid w:val="6EC98534"/>
    <w:rsid w:val="6F48EC76"/>
    <w:rsid w:val="70F59358"/>
    <w:rsid w:val="723BF81E"/>
    <w:rsid w:val="72C3FCDB"/>
    <w:rsid w:val="74881FA2"/>
    <w:rsid w:val="74D8B70E"/>
    <w:rsid w:val="7A4CFC0A"/>
    <w:rsid w:val="7A8DE457"/>
    <w:rsid w:val="7CE820FD"/>
    <w:rsid w:val="7D1F10EF"/>
    <w:rsid w:val="7FA525D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9311A6"/>
  <w14:defaultImageDpi w14:val="32767"/>
  <w15:chartTrackingRefBased/>
  <w15:docId w15:val="{68734157-3A63-47B2-8602-D8AB6A369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7E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7E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E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E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E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E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E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E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E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E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E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7E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E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E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E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E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E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E3A"/>
    <w:rPr>
      <w:rFonts w:eastAsiaTheme="majorEastAsia" w:cstheme="majorBidi"/>
      <w:color w:val="272727" w:themeColor="text1" w:themeTint="D8"/>
    </w:rPr>
  </w:style>
  <w:style w:type="paragraph" w:styleId="Title">
    <w:name w:val="Title"/>
    <w:basedOn w:val="Normal"/>
    <w:next w:val="Normal"/>
    <w:link w:val="TitleChar"/>
    <w:uiPriority w:val="10"/>
    <w:qFormat/>
    <w:rsid w:val="004F7E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E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E3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E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E3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F7E3A"/>
    <w:rPr>
      <w:i/>
      <w:iCs/>
      <w:color w:val="404040" w:themeColor="text1" w:themeTint="BF"/>
    </w:rPr>
  </w:style>
  <w:style w:type="paragraph" w:styleId="ListParagraph">
    <w:name w:val="List Paragraph"/>
    <w:basedOn w:val="Normal"/>
    <w:uiPriority w:val="34"/>
    <w:qFormat/>
    <w:rsid w:val="004F7E3A"/>
    <w:pPr>
      <w:ind w:left="720"/>
      <w:contextualSpacing/>
    </w:pPr>
  </w:style>
  <w:style w:type="character" w:styleId="IntenseEmphasis">
    <w:name w:val="Intense Emphasis"/>
    <w:basedOn w:val="DefaultParagraphFont"/>
    <w:uiPriority w:val="21"/>
    <w:qFormat/>
    <w:rsid w:val="004F7E3A"/>
    <w:rPr>
      <w:i/>
      <w:iCs/>
      <w:color w:val="0F4761" w:themeColor="accent1" w:themeShade="BF"/>
    </w:rPr>
  </w:style>
  <w:style w:type="paragraph" w:styleId="IntenseQuote">
    <w:name w:val="Intense Quote"/>
    <w:basedOn w:val="Normal"/>
    <w:next w:val="Normal"/>
    <w:link w:val="IntenseQuoteChar"/>
    <w:uiPriority w:val="30"/>
    <w:qFormat/>
    <w:rsid w:val="004F7E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E3A"/>
    <w:rPr>
      <w:i/>
      <w:iCs/>
      <w:color w:val="0F4761" w:themeColor="accent1" w:themeShade="BF"/>
    </w:rPr>
  </w:style>
  <w:style w:type="character" w:styleId="IntenseReference">
    <w:name w:val="Intense Reference"/>
    <w:basedOn w:val="DefaultParagraphFont"/>
    <w:uiPriority w:val="32"/>
    <w:qFormat/>
    <w:rsid w:val="004F7E3A"/>
    <w:rPr>
      <w:b/>
      <w:bCs/>
      <w:smallCaps/>
      <w:color w:val="0F4761" w:themeColor="accent1" w:themeShade="BF"/>
      <w:spacing w:val="5"/>
    </w:rPr>
  </w:style>
  <w:style w:type="paragraph" w:styleId="Header">
    <w:name w:val="header"/>
    <w:basedOn w:val="Normal"/>
    <w:link w:val="HeaderChar"/>
    <w:uiPriority w:val="99"/>
    <w:unhideWhenUsed/>
    <w:rsid w:val="004F7E3A"/>
    <w:pPr>
      <w:tabs>
        <w:tab w:val="center" w:pos="4680"/>
        <w:tab w:val="right" w:pos="9360"/>
      </w:tabs>
    </w:pPr>
  </w:style>
  <w:style w:type="character" w:customStyle="1" w:styleId="HeaderChar">
    <w:name w:val="Header Char"/>
    <w:basedOn w:val="DefaultParagraphFont"/>
    <w:link w:val="Header"/>
    <w:uiPriority w:val="99"/>
    <w:rsid w:val="004F7E3A"/>
  </w:style>
  <w:style w:type="paragraph" w:styleId="Footer">
    <w:name w:val="footer"/>
    <w:basedOn w:val="Normal"/>
    <w:link w:val="FooterChar"/>
    <w:uiPriority w:val="99"/>
    <w:unhideWhenUsed/>
    <w:rsid w:val="004F7E3A"/>
    <w:pPr>
      <w:tabs>
        <w:tab w:val="center" w:pos="4680"/>
        <w:tab w:val="right" w:pos="9360"/>
      </w:tabs>
    </w:pPr>
  </w:style>
  <w:style w:type="character" w:customStyle="1" w:styleId="FooterChar">
    <w:name w:val="Footer Char"/>
    <w:basedOn w:val="DefaultParagraphFont"/>
    <w:link w:val="Footer"/>
    <w:uiPriority w:val="99"/>
    <w:rsid w:val="004F7E3A"/>
  </w:style>
  <w:style w:type="paragraph" w:styleId="NormalWeb">
    <w:name w:val="Normal (Web)"/>
    <w:basedOn w:val="Normal"/>
    <w:uiPriority w:val="99"/>
    <w:unhideWhenUsed/>
    <w:rsid w:val="0077708E"/>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77708E"/>
    <w:rPr>
      <w:color w:val="467886" w:themeColor="hyperlink"/>
      <w:u w:val="single"/>
    </w:rPr>
  </w:style>
  <w:style w:type="character" w:styleId="UnresolvedMention">
    <w:name w:val="Unresolved Mention"/>
    <w:basedOn w:val="DefaultParagraphFont"/>
    <w:uiPriority w:val="99"/>
    <w:rsid w:val="00EB1A1A"/>
    <w:rPr>
      <w:color w:val="605E5C"/>
      <w:shd w:val="clear" w:color="auto" w:fill="E1DFDD"/>
    </w:rPr>
  </w:style>
  <w:style w:type="character" w:styleId="CommentReference">
    <w:name w:val="annotation reference"/>
    <w:basedOn w:val="DefaultParagraphFont"/>
    <w:uiPriority w:val="99"/>
    <w:semiHidden/>
    <w:unhideWhenUsed/>
    <w:rsid w:val="00AC6775"/>
    <w:rPr>
      <w:sz w:val="16"/>
      <w:szCs w:val="16"/>
    </w:rPr>
  </w:style>
  <w:style w:type="paragraph" w:styleId="CommentText">
    <w:name w:val="annotation text"/>
    <w:basedOn w:val="Normal"/>
    <w:link w:val="CommentTextChar"/>
    <w:uiPriority w:val="99"/>
    <w:unhideWhenUsed/>
    <w:rsid w:val="00AC6775"/>
    <w:rPr>
      <w:sz w:val="20"/>
      <w:szCs w:val="20"/>
    </w:rPr>
  </w:style>
  <w:style w:type="character" w:customStyle="1" w:styleId="CommentTextChar">
    <w:name w:val="Comment Text Char"/>
    <w:basedOn w:val="DefaultParagraphFont"/>
    <w:link w:val="CommentText"/>
    <w:uiPriority w:val="99"/>
    <w:rsid w:val="00AC6775"/>
    <w:rPr>
      <w:sz w:val="20"/>
      <w:szCs w:val="20"/>
    </w:rPr>
  </w:style>
  <w:style w:type="paragraph" w:styleId="CommentSubject">
    <w:name w:val="annotation subject"/>
    <w:basedOn w:val="CommentText"/>
    <w:next w:val="CommentText"/>
    <w:link w:val="CommentSubjectChar"/>
    <w:uiPriority w:val="99"/>
    <w:semiHidden/>
    <w:unhideWhenUsed/>
    <w:rsid w:val="00AC6775"/>
    <w:rPr>
      <w:b/>
      <w:bCs/>
    </w:rPr>
  </w:style>
  <w:style w:type="character" w:customStyle="1" w:styleId="CommentSubjectChar">
    <w:name w:val="Comment Subject Char"/>
    <w:basedOn w:val="CommentTextChar"/>
    <w:link w:val="CommentSubject"/>
    <w:uiPriority w:val="99"/>
    <w:semiHidden/>
    <w:rsid w:val="00AC6775"/>
    <w:rPr>
      <w:b/>
      <w:bCs/>
      <w:sz w:val="20"/>
      <w:szCs w:val="20"/>
    </w:rPr>
  </w:style>
  <w:style w:type="paragraph" w:styleId="Revision">
    <w:name w:val="Revision"/>
    <w:hidden/>
    <w:uiPriority w:val="99"/>
    <w:semiHidden/>
    <w:rsid w:val="00AC6775"/>
  </w:style>
  <w:style w:type="paragraph" w:styleId="FootnoteText">
    <w:name w:val="footnote text"/>
    <w:basedOn w:val="Normal"/>
    <w:link w:val="FootnoteTextChar"/>
    <w:uiPriority w:val="99"/>
    <w:semiHidden/>
    <w:unhideWhenUsed/>
    <w:rsid w:val="00751A5D"/>
    <w:rPr>
      <w:sz w:val="20"/>
      <w:szCs w:val="20"/>
    </w:rPr>
  </w:style>
  <w:style w:type="character" w:customStyle="1" w:styleId="FootnoteTextChar">
    <w:name w:val="Footnote Text Char"/>
    <w:basedOn w:val="DefaultParagraphFont"/>
    <w:link w:val="FootnoteText"/>
    <w:uiPriority w:val="99"/>
    <w:semiHidden/>
    <w:rsid w:val="00751A5D"/>
    <w:rPr>
      <w:sz w:val="20"/>
      <w:szCs w:val="20"/>
    </w:rPr>
  </w:style>
  <w:style w:type="character" w:styleId="FootnoteReference">
    <w:name w:val="footnote reference"/>
    <w:basedOn w:val="DefaultParagraphFont"/>
    <w:uiPriority w:val="99"/>
    <w:semiHidden/>
    <w:unhideWhenUsed/>
    <w:rsid w:val="00751A5D"/>
    <w:rPr>
      <w:vertAlign w:val="superscript"/>
    </w:rPr>
  </w:style>
  <w:style w:type="character" w:styleId="Mention">
    <w:name w:val="Mention"/>
    <w:basedOn w:val="DefaultParagraphFont"/>
    <w:uiPriority w:val="99"/>
    <w:unhideWhenUsed/>
    <w:rsid w:val="00C470B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199822">
      <w:bodyDiv w:val="1"/>
      <w:marLeft w:val="0"/>
      <w:marRight w:val="0"/>
      <w:marTop w:val="0"/>
      <w:marBottom w:val="0"/>
      <w:divBdr>
        <w:top w:val="none" w:sz="0" w:space="0" w:color="auto"/>
        <w:left w:val="none" w:sz="0" w:space="0" w:color="auto"/>
        <w:bottom w:val="none" w:sz="0" w:space="0" w:color="auto"/>
        <w:right w:val="none" w:sz="0" w:space="0" w:color="auto"/>
      </w:divBdr>
    </w:div>
    <w:div w:id="669989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murray\AppData\Local\Microsoft\Olk\Attachments\ooa-5d82bb60-7b4c-43f2-a9fc-511a3c4ebe84\f3ac6ae1507f849c3b8268e48e08f49ca5bd9f978637d5812548f6159f47c057\NMMA.DC_Letterhead-20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514C8-1FBA-49F5-9B9C-F50A8196C9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NMMA.DC_Letterhead-2025.dotx</Template>
  <TotalTime>26</TotalTime>
  <Pages>1</Pages>
  <Words>1368</Words>
  <Characters>7801</Characters>
  <Application>Microsoft Office Word</Application>
  <DocSecurity>4</DocSecurity>
  <Lines>65</Lines>
  <Paragraphs>18</Paragraphs>
  <ScaleCrop>false</ScaleCrop>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NMMA Public Comment - New Mexico HJM 3 PFAS Exemption Review</dc:title>
  <dc:subject>Watercraft exemption under New Mexico PFAS Protection Act</dc:subject>
  <dc:creator>Ben Murray</dc:creator>
  <cp:keywords/>
  <dc:description/>
  <cp:lastModifiedBy>Emily Villanueva</cp:lastModifiedBy>
  <cp:revision>87</cp:revision>
  <cp:lastPrinted>2024-06-28T23:21:00Z</cp:lastPrinted>
  <dcterms:created xsi:type="dcterms:W3CDTF">2026-09-15T00:15:00Z</dcterms:created>
  <dcterms:modified xsi:type="dcterms:W3CDTF">2026-09-17T17:51:00Z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387415e4-6b3e-4a94-8925-71082caec6da</vt:lpwstr>
  </property>
</Properties>
</file>