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1E9" w:rsidRDefault="009251E9" w:rsidP="000076E9">
      <w:pPr>
        <w:spacing w:before="11" w:line="244" w:lineRule="auto"/>
        <w:ind w:right="180"/>
        <w:jc w:val="center"/>
        <w:rPr>
          <w:b/>
          <w:w w:val="105"/>
          <w:sz w:val="27"/>
        </w:rPr>
      </w:pPr>
    </w:p>
    <w:p w:rsidR="009251E9" w:rsidRDefault="009251E9" w:rsidP="000076E9">
      <w:pPr>
        <w:spacing w:before="11" w:line="244" w:lineRule="auto"/>
        <w:ind w:right="180"/>
        <w:jc w:val="center"/>
        <w:rPr>
          <w:b/>
          <w:w w:val="105"/>
          <w:sz w:val="27"/>
        </w:rPr>
      </w:pPr>
    </w:p>
    <w:p w:rsidR="00966AA0" w:rsidRDefault="00966AA0" w:rsidP="000076E9">
      <w:pPr>
        <w:spacing w:before="11" w:line="244" w:lineRule="auto"/>
        <w:ind w:right="180"/>
        <w:jc w:val="center"/>
        <w:rPr>
          <w:b/>
          <w:w w:val="105"/>
          <w:sz w:val="27"/>
        </w:rPr>
      </w:pPr>
    </w:p>
    <w:p w:rsidR="0039160D" w:rsidRDefault="0039160D">
      <w:pPr>
        <w:pStyle w:val="BodyText"/>
        <w:rPr>
          <w:rFonts w:asciiTheme="minorHAnsi" w:hAnsiTheme="minorHAnsi" w:cstheme="minorHAnsi"/>
        </w:rPr>
      </w:pPr>
    </w:p>
    <w:p w:rsidR="002C5785" w:rsidRDefault="002C5785" w:rsidP="00493510">
      <w:pPr>
        <w:rPr>
          <w:sz w:val="24"/>
          <w:szCs w:val="24"/>
        </w:rPr>
      </w:pPr>
    </w:p>
    <w:p w:rsidR="00493510" w:rsidRPr="002F1FBA" w:rsidRDefault="00493510" w:rsidP="00493510">
      <w:pPr>
        <w:rPr>
          <w:sz w:val="24"/>
          <w:szCs w:val="24"/>
        </w:rPr>
      </w:pPr>
      <w:bookmarkStart w:id="0" w:name="_GoBack"/>
      <w:bookmarkEnd w:id="0"/>
      <w:r w:rsidRPr="002F1FBA">
        <w:rPr>
          <w:sz w:val="24"/>
          <w:szCs w:val="24"/>
        </w:rPr>
        <w:t>June 20, 2024</w:t>
      </w:r>
    </w:p>
    <w:p w:rsidR="00493510" w:rsidRPr="002F1FBA" w:rsidRDefault="00493510" w:rsidP="00493510">
      <w:pPr>
        <w:rPr>
          <w:sz w:val="24"/>
          <w:szCs w:val="24"/>
        </w:rPr>
      </w:pPr>
    </w:p>
    <w:p w:rsidR="00493510" w:rsidRPr="002F1FBA" w:rsidRDefault="00493510" w:rsidP="00493510">
      <w:pPr>
        <w:contextualSpacing/>
        <w:rPr>
          <w:sz w:val="24"/>
          <w:szCs w:val="24"/>
        </w:rPr>
      </w:pPr>
      <w:r w:rsidRPr="002F1FBA">
        <w:rPr>
          <w:sz w:val="24"/>
          <w:szCs w:val="24"/>
        </w:rPr>
        <w:t>Gwen Rico, MC 205</w:t>
      </w:r>
    </w:p>
    <w:p w:rsidR="00493510" w:rsidRPr="002F1FBA" w:rsidRDefault="00493510" w:rsidP="00493510">
      <w:pPr>
        <w:contextualSpacing/>
        <w:rPr>
          <w:sz w:val="24"/>
          <w:szCs w:val="24"/>
        </w:rPr>
      </w:pPr>
      <w:r w:rsidRPr="002F1FBA">
        <w:rPr>
          <w:sz w:val="24"/>
          <w:szCs w:val="24"/>
        </w:rPr>
        <w:t>Office of Legal Services</w:t>
      </w:r>
    </w:p>
    <w:p w:rsidR="00493510" w:rsidRPr="002F1FBA" w:rsidRDefault="00493510" w:rsidP="00493510">
      <w:pPr>
        <w:contextualSpacing/>
        <w:rPr>
          <w:sz w:val="24"/>
          <w:szCs w:val="24"/>
        </w:rPr>
      </w:pPr>
      <w:r w:rsidRPr="002F1FBA">
        <w:rPr>
          <w:sz w:val="24"/>
          <w:szCs w:val="24"/>
        </w:rPr>
        <w:t>Texas Commission on Environmental Quality</w:t>
      </w:r>
    </w:p>
    <w:p w:rsidR="00493510" w:rsidRPr="002F1FBA" w:rsidRDefault="00493510" w:rsidP="00493510">
      <w:pPr>
        <w:contextualSpacing/>
        <w:rPr>
          <w:sz w:val="24"/>
          <w:szCs w:val="24"/>
        </w:rPr>
      </w:pPr>
      <w:r w:rsidRPr="002F1FBA">
        <w:rPr>
          <w:sz w:val="24"/>
          <w:szCs w:val="24"/>
        </w:rPr>
        <w:t>P.O. Box 13087</w:t>
      </w:r>
    </w:p>
    <w:p w:rsidR="00493510" w:rsidRPr="002F1FBA" w:rsidRDefault="00493510" w:rsidP="00493510">
      <w:pPr>
        <w:contextualSpacing/>
        <w:rPr>
          <w:sz w:val="24"/>
          <w:szCs w:val="24"/>
        </w:rPr>
      </w:pPr>
      <w:r w:rsidRPr="002F1FBA">
        <w:rPr>
          <w:sz w:val="24"/>
          <w:szCs w:val="24"/>
        </w:rPr>
        <w:t xml:space="preserve">Austin, </w:t>
      </w:r>
      <w:proofErr w:type="gramStart"/>
      <w:r w:rsidRPr="002F1FBA">
        <w:rPr>
          <w:sz w:val="24"/>
          <w:szCs w:val="24"/>
        </w:rPr>
        <w:t>Texas  78711</w:t>
      </w:r>
      <w:proofErr w:type="gramEnd"/>
      <w:r w:rsidRPr="002F1FBA">
        <w:rPr>
          <w:sz w:val="24"/>
          <w:szCs w:val="24"/>
        </w:rPr>
        <w:t>-3087</w:t>
      </w:r>
    </w:p>
    <w:p w:rsidR="00493510" w:rsidRPr="002F1FBA" w:rsidRDefault="00493510" w:rsidP="00493510">
      <w:pPr>
        <w:contextualSpacing/>
        <w:rPr>
          <w:sz w:val="24"/>
          <w:szCs w:val="24"/>
        </w:rPr>
      </w:pPr>
    </w:p>
    <w:p w:rsidR="00493510" w:rsidRPr="002F1FBA" w:rsidRDefault="00493510" w:rsidP="00493510">
      <w:pPr>
        <w:contextualSpacing/>
        <w:rPr>
          <w:sz w:val="24"/>
          <w:szCs w:val="24"/>
        </w:rPr>
      </w:pPr>
      <w:r w:rsidRPr="002F1FBA">
        <w:rPr>
          <w:sz w:val="24"/>
          <w:szCs w:val="24"/>
        </w:rPr>
        <w:t>Re:  Commissioners court waiver of groundwater availability certifications pursuant to Tex. Local Gov’t Code §232.0032</w:t>
      </w:r>
    </w:p>
    <w:p w:rsidR="00493510" w:rsidRPr="002F1FBA" w:rsidRDefault="00493510" w:rsidP="00493510">
      <w:pPr>
        <w:contextualSpacing/>
        <w:rPr>
          <w:sz w:val="24"/>
          <w:szCs w:val="24"/>
        </w:rPr>
      </w:pPr>
    </w:p>
    <w:p w:rsidR="00493510" w:rsidRPr="002F1FBA" w:rsidRDefault="00493510" w:rsidP="00493510">
      <w:pPr>
        <w:contextualSpacing/>
        <w:rPr>
          <w:sz w:val="24"/>
          <w:szCs w:val="24"/>
        </w:rPr>
      </w:pPr>
      <w:r w:rsidRPr="002F1FBA">
        <w:rPr>
          <w:sz w:val="24"/>
          <w:szCs w:val="24"/>
        </w:rPr>
        <w:t>Dear Ms. Rico,</w:t>
      </w:r>
    </w:p>
    <w:p w:rsidR="00493510" w:rsidRPr="002F1FBA" w:rsidRDefault="00493510" w:rsidP="00493510">
      <w:pPr>
        <w:contextualSpacing/>
        <w:rPr>
          <w:sz w:val="24"/>
          <w:szCs w:val="24"/>
        </w:rPr>
      </w:pPr>
    </w:p>
    <w:p w:rsidR="00493510" w:rsidRPr="002F1FBA" w:rsidRDefault="00493510" w:rsidP="00493510">
      <w:pPr>
        <w:contextualSpacing/>
        <w:rPr>
          <w:sz w:val="24"/>
          <w:szCs w:val="24"/>
        </w:rPr>
      </w:pPr>
      <w:r w:rsidRPr="002F1FBA">
        <w:rPr>
          <w:sz w:val="24"/>
          <w:szCs w:val="24"/>
        </w:rPr>
        <w:t>The Parker County Commissioners Court (“Court”) has concerns regarding what would constitute “credible evidence” of groundwater availability in situations where a proposed subdivision divides a tract into ten parts or less.  The Commissioners Court seeks your guidance in this regard.</w:t>
      </w:r>
    </w:p>
    <w:p w:rsidR="00493510" w:rsidRPr="002F1FBA" w:rsidRDefault="00493510" w:rsidP="00493510">
      <w:pPr>
        <w:contextualSpacing/>
        <w:rPr>
          <w:sz w:val="24"/>
          <w:szCs w:val="24"/>
        </w:rPr>
      </w:pPr>
    </w:p>
    <w:p w:rsidR="00493510" w:rsidRPr="002F1FBA" w:rsidRDefault="00493510" w:rsidP="00493510">
      <w:pPr>
        <w:contextualSpacing/>
        <w:rPr>
          <w:sz w:val="24"/>
          <w:szCs w:val="24"/>
        </w:rPr>
      </w:pPr>
      <w:r w:rsidRPr="002F1FBA">
        <w:rPr>
          <w:sz w:val="24"/>
          <w:szCs w:val="24"/>
        </w:rPr>
        <w:t xml:space="preserve">Where a land owner desires to subdivide a tract into ten parts or less, a full groundwater availability certificate (“GAC”) may be cost prohibitive.  While the Court does not wish to inhibit these types of subdivisions, we want to make sure that sufficient groundwater is available.  Several options have been raised.  One option is a single-well test pump, measuring flow rate, drawdown, and recovery for a </w:t>
      </w:r>
      <w:proofErr w:type="gramStart"/>
      <w:r w:rsidRPr="002F1FBA">
        <w:rPr>
          <w:sz w:val="24"/>
          <w:szCs w:val="24"/>
        </w:rPr>
        <w:t>twenty-four hour</w:t>
      </w:r>
      <w:proofErr w:type="gramEnd"/>
      <w:r w:rsidRPr="002F1FBA">
        <w:rPr>
          <w:sz w:val="24"/>
          <w:szCs w:val="24"/>
        </w:rPr>
        <w:t xml:space="preserve"> period.  While this option is not as costly as a full GAC, it also may be cost prohibitive.  </w:t>
      </w:r>
    </w:p>
    <w:p w:rsidR="00493510" w:rsidRPr="002F1FBA" w:rsidRDefault="00493510" w:rsidP="00493510">
      <w:pPr>
        <w:contextualSpacing/>
        <w:rPr>
          <w:sz w:val="24"/>
          <w:szCs w:val="24"/>
        </w:rPr>
      </w:pPr>
    </w:p>
    <w:p w:rsidR="00493510" w:rsidRPr="002F1FBA" w:rsidRDefault="00493510" w:rsidP="00493510">
      <w:pPr>
        <w:contextualSpacing/>
        <w:rPr>
          <w:sz w:val="24"/>
          <w:szCs w:val="24"/>
        </w:rPr>
      </w:pPr>
      <w:r w:rsidRPr="002F1FBA">
        <w:rPr>
          <w:sz w:val="24"/>
          <w:szCs w:val="24"/>
        </w:rPr>
        <w:t xml:space="preserve">Another option is using information from well logs in the vicinity of the proposed subdivision.  Would this well-log information adequately determine groundwater availability for a small number of homes and be sufficient to substantiate waiving a full GAC?  </w:t>
      </w:r>
    </w:p>
    <w:p w:rsidR="00493510" w:rsidRPr="002F1FBA" w:rsidRDefault="00493510" w:rsidP="00493510">
      <w:pPr>
        <w:contextualSpacing/>
        <w:rPr>
          <w:sz w:val="24"/>
          <w:szCs w:val="24"/>
        </w:rPr>
      </w:pPr>
    </w:p>
    <w:p w:rsidR="00493510" w:rsidRPr="002F1FBA" w:rsidRDefault="00493510" w:rsidP="00493510">
      <w:pPr>
        <w:contextualSpacing/>
        <w:rPr>
          <w:sz w:val="24"/>
          <w:szCs w:val="24"/>
        </w:rPr>
      </w:pPr>
      <w:r w:rsidRPr="002F1FBA">
        <w:rPr>
          <w:sz w:val="24"/>
          <w:szCs w:val="24"/>
        </w:rPr>
        <w:t>Thank you for any guidance you may give in this matter.</w:t>
      </w:r>
    </w:p>
    <w:p w:rsidR="00493510" w:rsidRPr="002F1FBA" w:rsidRDefault="00493510" w:rsidP="00493510">
      <w:pPr>
        <w:contextualSpacing/>
        <w:rPr>
          <w:sz w:val="24"/>
          <w:szCs w:val="24"/>
        </w:rPr>
      </w:pPr>
    </w:p>
    <w:p w:rsidR="00A55BBA" w:rsidRPr="002C5785" w:rsidRDefault="00493510" w:rsidP="002C5785">
      <w:pPr>
        <w:contextualSpacing/>
        <w:rPr>
          <w:sz w:val="24"/>
          <w:szCs w:val="24"/>
        </w:rPr>
      </w:pPr>
      <w:r w:rsidRPr="002F1FBA">
        <w:rPr>
          <w:sz w:val="24"/>
          <w:szCs w:val="24"/>
        </w:rPr>
        <w:t>Sincerely,</w:t>
      </w:r>
    </w:p>
    <w:p w:rsidR="00A55BBA" w:rsidRPr="007F2F17" w:rsidRDefault="00A55BBA" w:rsidP="00A55BBA">
      <w:pPr>
        <w:pStyle w:val="BodyText"/>
      </w:pPr>
      <w:r w:rsidRPr="007F2F17">
        <w:rPr>
          <w:noProof/>
        </w:rPr>
        <w:drawing>
          <wp:anchor distT="0" distB="0" distL="114300" distR="114300" simplePos="0" relativeHeight="251659264" behindDoc="0" locked="0" layoutInCell="1" allowOverlap="1" wp14:anchorId="3656E842" wp14:editId="3F190E22">
            <wp:simplePos x="0" y="0"/>
            <wp:positionH relativeFrom="margin">
              <wp:posOffset>-19050</wp:posOffset>
            </wp:positionH>
            <wp:positionV relativeFrom="paragraph">
              <wp:posOffset>102235</wp:posOffset>
            </wp:positionV>
            <wp:extent cx="1704975" cy="80200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4975" cy="802005"/>
                    </a:xfrm>
                    <a:prstGeom prst="rect">
                      <a:avLst/>
                    </a:prstGeom>
                  </pic:spPr>
                </pic:pic>
              </a:graphicData>
            </a:graphic>
            <wp14:sizeRelH relativeFrom="margin">
              <wp14:pctWidth>0</wp14:pctWidth>
            </wp14:sizeRelH>
            <wp14:sizeRelV relativeFrom="margin">
              <wp14:pctHeight>0</wp14:pctHeight>
            </wp14:sizeRelV>
          </wp:anchor>
        </w:drawing>
      </w:r>
    </w:p>
    <w:p w:rsidR="00A55BBA" w:rsidRPr="007F2F17" w:rsidRDefault="00A55BBA" w:rsidP="00A55BBA">
      <w:pPr>
        <w:pStyle w:val="BodyText"/>
      </w:pPr>
    </w:p>
    <w:p w:rsidR="00A55BBA" w:rsidRPr="007F2F17" w:rsidRDefault="00A55BBA" w:rsidP="00A55BBA">
      <w:pPr>
        <w:pStyle w:val="BodyText"/>
      </w:pPr>
    </w:p>
    <w:p w:rsidR="00A55BBA" w:rsidRPr="007F2F17" w:rsidRDefault="00A55BBA" w:rsidP="00A55BBA">
      <w:pPr>
        <w:pStyle w:val="BodyText"/>
      </w:pPr>
    </w:p>
    <w:p w:rsidR="00A55BBA" w:rsidRPr="007F2F17" w:rsidRDefault="00A55BBA" w:rsidP="00A55BBA">
      <w:pPr>
        <w:pStyle w:val="BodyText"/>
      </w:pPr>
    </w:p>
    <w:p w:rsidR="00A55BBA" w:rsidRPr="007F2F17" w:rsidRDefault="00A55BBA" w:rsidP="00A55BBA">
      <w:pPr>
        <w:pStyle w:val="BodyText"/>
      </w:pPr>
    </w:p>
    <w:p w:rsidR="00A55BBA" w:rsidRPr="007F2F17" w:rsidRDefault="00A55BBA" w:rsidP="00A55BBA">
      <w:pPr>
        <w:pStyle w:val="BodyText"/>
      </w:pPr>
      <w:r w:rsidRPr="007F2F17">
        <w:t>Pat Deen</w:t>
      </w:r>
    </w:p>
    <w:p w:rsidR="008B3A81" w:rsidRPr="00F86E21" w:rsidRDefault="00A55BBA" w:rsidP="00A55BBA">
      <w:pPr>
        <w:pStyle w:val="BodyText"/>
      </w:pPr>
      <w:r w:rsidRPr="007F2F17">
        <w:t>Parker County</w:t>
      </w:r>
      <w:r w:rsidRPr="00F86E21">
        <w:t xml:space="preserve"> Judge</w:t>
      </w:r>
    </w:p>
    <w:sectPr w:rsidR="008B3A81" w:rsidRPr="00F86E21">
      <w:headerReference w:type="default" r:id="rId10"/>
      <w:footerReference w:type="default" r:id="rId11"/>
      <w:pgSz w:w="12140" w:h="15890"/>
      <w:pgMar w:top="1160" w:right="1700" w:bottom="1280" w:left="1620" w:header="0" w:footer="10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52A" w:rsidRDefault="0046752A">
      <w:r>
        <w:separator/>
      </w:r>
    </w:p>
  </w:endnote>
  <w:endnote w:type="continuationSeparator" w:id="0">
    <w:p w:rsidR="0046752A" w:rsidRDefault="0046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4B5" w:rsidRDefault="005C74B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52A" w:rsidRDefault="0046752A">
      <w:r>
        <w:separator/>
      </w:r>
    </w:p>
  </w:footnote>
  <w:footnote w:type="continuationSeparator" w:id="0">
    <w:p w:rsidR="0046752A" w:rsidRDefault="00467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AA0" w:rsidRDefault="00966AA0">
    <w:pPr>
      <w:pStyle w:val="Header"/>
    </w:pPr>
  </w:p>
  <w:p w:rsidR="00966AA0" w:rsidRDefault="00966AA0">
    <w:pPr>
      <w:pStyle w:val="Header"/>
    </w:pPr>
    <w:r>
      <w:rPr>
        <w:noProof/>
      </w:rPr>
      <w:drawing>
        <wp:anchor distT="0" distB="0" distL="114300" distR="114300" simplePos="0" relativeHeight="503314792" behindDoc="1" locked="0" layoutInCell="1" allowOverlap="1" wp14:anchorId="42E214BA" wp14:editId="7641FDDB">
          <wp:simplePos x="0" y="0"/>
          <wp:positionH relativeFrom="page">
            <wp:posOffset>910590</wp:posOffset>
          </wp:positionH>
          <wp:positionV relativeFrom="paragraph">
            <wp:posOffset>162560</wp:posOffset>
          </wp:positionV>
          <wp:extent cx="6201410" cy="1571625"/>
          <wp:effectExtent l="0" t="0" r="0" b="0"/>
          <wp:wrapTight wrapText="bothSides">
            <wp:wrapPolygon edited="0">
              <wp:start x="10152" y="0"/>
              <wp:lineTo x="9754" y="262"/>
              <wp:lineTo x="8958" y="3142"/>
              <wp:lineTo x="8891" y="5498"/>
              <wp:lineTo x="8891" y="8902"/>
              <wp:lineTo x="9820" y="12567"/>
              <wp:lineTo x="3583" y="14138"/>
              <wp:lineTo x="3583" y="16756"/>
              <wp:lineTo x="332" y="17542"/>
              <wp:lineTo x="265" y="20422"/>
              <wp:lineTo x="3185" y="21207"/>
              <wp:lineTo x="19640" y="21207"/>
              <wp:lineTo x="21233" y="20422"/>
              <wp:lineTo x="21034" y="17542"/>
              <wp:lineTo x="17849" y="16756"/>
              <wp:lineTo x="17849" y="14400"/>
              <wp:lineTo x="11479" y="12567"/>
              <wp:lineTo x="12408" y="8902"/>
              <wp:lineTo x="12474" y="3665"/>
              <wp:lineTo x="11678" y="785"/>
              <wp:lineTo x="11214" y="0"/>
              <wp:lineTo x="1015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201410"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31375"/>
    <w:multiLevelType w:val="multilevel"/>
    <w:tmpl w:val="4F781408"/>
    <w:lvl w:ilvl="0">
      <w:start w:val="16"/>
      <w:numFmt w:val="lowerLetter"/>
      <w:lvlText w:val="%1"/>
      <w:lvlJc w:val="left"/>
      <w:pPr>
        <w:ind w:left="137" w:hanging="496"/>
      </w:pPr>
      <w:rPr>
        <w:rFonts w:hint="default"/>
      </w:rPr>
    </w:lvl>
    <w:lvl w:ilvl="1">
      <w:start w:val="13"/>
      <w:numFmt w:val="lowerLetter"/>
      <w:lvlText w:val="%1.%2."/>
      <w:lvlJc w:val="left"/>
      <w:pPr>
        <w:ind w:left="137" w:hanging="496"/>
      </w:pPr>
      <w:rPr>
        <w:rFonts w:ascii="Times New Roman" w:eastAsia="Times New Roman" w:hAnsi="Times New Roman" w:cs="Times New Roman" w:hint="default"/>
        <w:w w:val="102"/>
        <w:sz w:val="24"/>
        <w:szCs w:val="24"/>
      </w:rPr>
    </w:lvl>
    <w:lvl w:ilvl="2">
      <w:start w:val="1"/>
      <w:numFmt w:val="decimal"/>
      <w:lvlText w:val="%3."/>
      <w:lvlJc w:val="left"/>
      <w:pPr>
        <w:ind w:left="1955" w:hanging="366"/>
      </w:pPr>
      <w:rPr>
        <w:rFonts w:ascii="Times New Roman" w:eastAsia="Times New Roman" w:hAnsi="Times New Roman" w:cs="Times New Roman" w:hint="default"/>
        <w:w w:val="105"/>
        <w:sz w:val="24"/>
        <w:szCs w:val="24"/>
      </w:rPr>
    </w:lvl>
    <w:lvl w:ilvl="3">
      <w:numFmt w:val="bullet"/>
      <w:lvlText w:val="•"/>
      <w:lvlJc w:val="left"/>
      <w:pPr>
        <w:ind w:left="3628" w:hanging="366"/>
      </w:pPr>
      <w:rPr>
        <w:rFonts w:hint="default"/>
      </w:rPr>
    </w:lvl>
    <w:lvl w:ilvl="4">
      <w:numFmt w:val="bullet"/>
      <w:lvlText w:val="•"/>
      <w:lvlJc w:val="left"/>
      <w:pPr>
        <w:ind w:left="4462" w:hanging="366"/>
      </w:pPr>
      <w:rPr>
        <w:rFonts w:hint="default"/>
      </w:rPr>
    </w:lvl>
    <w:lvl w:ilvl="5">
      <w:numFmt w:val="bullet"/>
      <w:lvlText w:val="•"/>
      <w:lvlJc w:val="left"/>
      <w:pPr>
        <w:ind w:left="5296" w:hanging="366"/>
      </w:pPr>
      <w:rPr>
        <w:rFonts w:hint="default"/>
      </w:rPr>
    </w:lvl>
    <w:lvl w:ilvl="6">
      <w:numFmt w:val="bullet"/>
      <w:lvlText w:val="•"/>
      <w:lvlJc w:val="left"/>
      <w:pPr>
        <w:ind w:left="6131" w:hanging="366"/>
      </w:pPr>
      <w:rPr>
        <w:rFonts w:hint="default"/>
      </w:rPr>
    </w:lvl>
    <w:lvl w:ilvl="7">
      <w:numFmt w:val="bullet"/>
      <w:lvlText w:val="•"/>
      <w:lvlJc w:val="left"/>
      <w:pPr>
        <w:ind w:left="6965" w:hanging="366"/>
      </w:pPr>
      <w:rPr>
        <w:rFonts w:hint="default"/>
      </w:rPr>
    </w:lvl>
    <w:lvl w:ilvl="8">
      <w:numFmt w:val="bullet"/>
      <w:lvlText w:val="•"/>
      <w:lvlJc w:val="left"/>
      <w:pPr>
        <w:ind w:left="7799" w:hanging="36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4B5"/>
    <w:rsid w:val="000076E9"/>
    <w:rsid w:val="000111DD"/>
    <w:rsid w:val="00056EEA"/>
    <w:rsid w:val="00060E3F"/>
    <w:rsid w:val="000A1151"/>
    <w:rsid w:val="000A7001"/>
    <w:rsid w:val="000B7A2E"/>
    <w:rsid w:val="00101F36"/>
    <w:rsid w:val="00116DB3"/>
    <w:rsid w:val="00132B20"/>
    <w:rsid w:val="00175DF4"/>
    <w:rsid w:val="00207AA9"/>
    <w:rsid w:val="002343CE"/>
    <w:rsid w:val="00257EBB"/>
    <w:rsid w:val="002669F9"/>
    <w:rsid w:val="002C5785"/>
    <w:rsid w:val="00301992"/>
    <w:rsid w:val="00310D47"/>
    <w:rsid w:val="003433B4"/>
    <w:rsid w:val="00347D67"/>
    <w:rsid w:val="003669B2"/>
    <w:rsid w:val="003752CE"/>
    <w:rsid w:val="00390403"/>
    <w:rsid w:val="0039160D"/>
    <w:rsid w:val="003A5AFF"/>
    <w:rsid w:val="003B0DDE"/>
    <w:rsid w:val="003C2DE7"/>
    <w:rsid w:val="003D6D4C"/>
    <w:rsid w:val="004143DF"/>
    <w:rsid w:val="00440CFE"/>
    <w:rsid w:val="00461AE2"/>
    <w:rsid w:val="0046752A"/>
    <w:rsid w:val="004750E3"/>
    <w:rsid w:val="00483DDC"/>
    <w:rsid w:val="00493510"/>
    <w:rsid w:val="004B08F3"/>
    <w:rsid w:val="004B712D"/>
    <w:rsid w:val="004C4C9D"/>
    <w:rsid w:val="004D528C"/>
    <w:rsid w:val="004F4D0D"/>
    <w:rsid w:val="00510658"/>
    <w:rsid w:val="00521B61"/>
    <w:rsid w:val="00530FED"/>
    <w:rsid w:val="00535693"/>
    <w:rsid w:val="00537FCD"/>
    <w:rsid w:val="00542AC3"/>
    <w:rsid w:val="005576CB"/>
    <w:rsid w:val="00572188"/>
    <w:rsid w:val="00580D0D"/>
    <w:rsid w:val="00586377"/>
    <w:rsid w:val="00587DB0"/>
    <w:rsid w:val="00587E57"/>
    <w:rsid w:val="005A1CF5"/>
    <w:rsid w:val="005B6BE5"/>
    <w:rsid w:val="005C74B5"/>
    <w:rsid w:val="005E38A6"/>
    <w:rsid w:val="005F24B0"/>
    <w:rsid w:val="005F6176"/>
    <w:rsid w:val="0062059A"/>
    <w:rsid w:val="00622C9B"/>
    <w:rsid w:val="00637E79"/>
    <w:rsid w:val="00654663"/>
    <w:rsid w:val="006721A2"/>
    <w:rsid w:val="00673003"/>
    <w:rsid w:val="00673052"/>
    <w:rsid w:val="006A30AD"/>
    <w:rsid w:val="006A7E96"/>
    <w:rsid w:val="006E015E"/>
    <w:rsid w:val="006F6C69"/>
    <w:rsid w:val="006F7F2F"/>
    <w:rsid w:val="00722051"/>
    <w:rsid w:val="00742E34"/>
    <w:rsid w:val="00782E7C"/>
    <w:rsid w:val="007876CA"/>
    <w:rsid w:val="0079265A"/>
    <w:rsid w:val="007E6F57"/>
    <w:rsid w:val="007F2F17"/>
    <w:rsid w:val="00812C01"/>
    <w:rsid w:val="00824F18"/>
    <w:rsid w:val="00853AAA"/>
    <w:rsid w:val="008B043F"/>
    <w:rsid w:val="008B167C"/>
    <w:rsid w:val="008B3A81"/>
    <w:rsid w:val="00922BFB"/>
    <w:rsid w:val="00923CF0"/>
    <w:rsid w:val="009251E9"/>
    <w:rsid w:val="00926394"/>
    <w:rsid w:val="00936419"/>
    <w:rsid w:val="00952D1A"/>
    <w:rsid w:val="00957323"/>
    <w:rsid w:val="00966AA0"/>
    <w:rsid w:val="00972F83"/>
    <w:rsid w:val="0098037D"/>
    <w:rsid w:val="00987DAA"/>
    <w:rsid w:val="00990733"/>
    <w:rsid w:val="009D6DDD"/>
    <w:rsid w:val="009F1C71"/>
    <w:rsid w:val="00A14929"/>
    <w:rsid w:val="00A3235A"/>
    <w:rsid w:val="00A36A6E"/>
    <w:rsid w:val="00A55BBA"/>
    <w:rsid w:val="00A72505"/>
    <w:rsid w:val="00A74F9A"/>
    <w:rsid w:val="00A9363C"/>
    <w:rsid w:val="00A94199"/>
    <w:rsid w:val="00AB0B82"/>
    <w:rsid w:val="00B060DF"/>
    <w:rsid w:val="00B23812"/>
    <w:rsid w:val="00B23FB7"/>
    <w:rsid w:val="00B2616A"/>
    <w:rsid w:val="00B3403C"/>
    <w:rsid w:val="00B518B0"/>
    <w:rsid w:val="00B65641"/>
    <w:rsid w:val="00B81384"/>
    <w:rsid w:val="00B923A2"/>
    <w:rsid w:val="00B9466A"/>
    <w:rsid w:val="00BB1EBE"/>
    <w:rsid w:val="00BB24AC"/>
    <w:rsid w:val="00C1239C"/>
    <w:rsid w:val="00C43FFF"/>
    <w:rsid w:val="00C57C63"/>
    <w:rsid w:val="00C708A1"/>
    <w:rsid w:val="00C93830"/>
    <w:rsid w:val="00CC1198"/>
    <w:rsid w:val="00D058CA"/>
    <w:rsid w:val="00D502C1"/>
    <w:rsid w:val="00D528C7"/>
    <w:rsid w:val="00D94278"/>
    <w:rsid w:val="00DF02D1"/>
    <w:rsid w:val="00E22A43"/>
    <w:rsid w:val="00E35F09"/>
    <w:rsid w:val="00E40102"/>
    <w:rsid w:val="00E41EF7"/>
    <w:rsid w:val="00E43B35"/>
    <w:rsid w:val="00E630C3"/>
    <w:rsid w:val="00E66387"/>
    <w:rsid w:val="00E75743"/>
    <w:rsid w:val="00E812D1"/>
    <w:rsid w:val="00E91049"/>
    <w:rsid w:val="00EE4092"/>
    <w:rsid w:val="00F26BE2"/>
    <w:rsid w:val="00F277AE"/>
    <w:rsid w:val="00F30293"/>
    <w:rsid w:val="00F86E21"/>
    <w:rsid w:val="00F94469"/>
    <w:rsid w:val="00FB4035"/>
    <w:rsid w:val="00FB4EF1"/>
    <w:rsid w:val="00FD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160197"/>
  <w15:docId w15:val="{BA763FEB-B603-4FDE-B631-1A0CC530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
      <w:ind w:left="265"/>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7" w:right="103" w:hanging="36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6AA0"/>
    <w:pPr>
      <w:tabs>
        <w:tab w:val="center" w:pos="4680"/>
        <w:tab w:val="right" w:pos="9360"/>
      </w:tabs>
    </w:pPr>
  </w:style>
  <w:style w:type="character" w:customStyle="1" w:styleId="HeaderChar">
    <w:name w:val="Header Char"/>
    <w:basedOn w:val="DefaultParagraphFont"/>
    <w:link w:val="Header"/>
    <w:uiPriority w:val="99"/>
    <w:rsid w:val="00966AA0"/>
    <w:rPr>
      <w:rFonts w:ascii="Times New Roman" w:eastAsia="Times New Roman" w:hAnsi="Times New Roman" w:cs="Times New Roman"/>
    </w:rPr>
  </w:style>
  <w:style w:type="paragraph" w:styleId="Footer">
    <w:name w:val="footer"/>
    <w:basedOn w:val="Normal"/>
    <w:link w:val="FooterChar"/>
    <w:uiPriority w:val="99"/>
    <w:unhideWhenUsed/>
    <w:rsid w:val="00966AA0"/>
    <w:pPr>
      <w:tabs>
        <w:tab w:val="center" w:pos="4680"/>
        <w:tab w:val="right" w:pos="9360"/>
      </w:tabs>
    </w:pPr>
  </w:style>
  <w:style w:type="character" w:customStyle="1" w:styleId="FooterChar">
    <w:name w:val="Footer Char"/>
    <w:basedOn w:val="DefaultParagraphFont"/>
    <w:link w:val="Footer"/>
    <w:uiPriority w:val="99"/>
    <w:rsid w:val="00966AA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75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2CE"/>
    <w:rPr>
      <w:rFonts w:ascii="Segoe UI" w:eastAsia="Times New Roman" w:hAnsi="Segoe UI" w:cs="Segoe UI"/>
      <w:sz w:val="18"/>
      <w:szCs w:val="18"/>
    </w:rPr>
  </w:style>
  <w:style w:type="character" w:styleId="Hyperlink">
    <w:name w:val="Hyperlink"/>
    <w:basedOn w:val="DefaultParagraphFont"/>
    <w:uiPriority w:val="99"/>
    <w:unhideWhenUsed/>
    <w:rsid w:val="00BB24AC"/>
    <w:rPr>
      <w:color w:val="0000FF" w:themeColor="hyperlink"/>
      <w:u w:val="single"/>
    </w:rPr>
  </w:style>
  <w:style w:type="paragraph" w:styleId="PlainText">
    <w:name w:val="Plain Text"/>
    <w:basedOn w:val="Normal"/>
    <w:link w:val="PlainTextChar"/>
    <w:uiPriority w:val="99"/>
    <w:semiHidden/>
    <w:unhideWhenUsed/>
    <w:rsid w:val="00922BFB"/>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922BFB"/>
    <w:rPr>
      <w:rFonts w:ascii="Calibri" w:hAnsi="Calibri"/>
      <w:szCs w:val="21"/>
    </w:rPr>
  </w:style>
  <w:style w:type="paragraph" w:styleId="NormalWeb">
    <w:name w:val="Normal (Web)"/>
    <w:basedOn w:val="Normal"/>
    <w:uiPriority w:val="99"/>
    <w:semiHidden/>
    <w:unhideWhenUsed/>
    <w:rsid w:val="00E41EF7"/>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7622">
      <w:bodyDiv w:val="1"/>
      <w:marLeft w:val="0"/>
      <w:marRight w:val="0"/>
      <w:marTop w:val="0"/>
      <w:marBottom w:val="0"/>
      <w:divBdr>
        <w:top w:val="none" w:sz="0" w:space="0" w:color="auto"/>
        <w:left w:val="none" w:sz="0" w:space="0" w:color="auto"/>
        <w:bottom w:val="none" w:sz="0" w:space="0" w:color="auto"/>
        <w:right w:val="none" w:sz="0" w:space="0" w:color="auto"/>
      </w:divBdr>
    </w:div>
    <w:div w:id="206114743">
      <w:bodyDiv w:val="1"/>
      <w:marLeft w:val="0"/>
      <w:marRight w:val="0"/>
      <w:marTop w:val="0"/>
      <w:marBottom w:val="0"/>
      <w:divBdr>
        <w:top w:val="none" w:sz="0" w:space="0" w:color="auto"/>
        <w:left w:val="none" w:sz="0" w:space="0" w:color="auto"/>
        <w:bottom w:val="none" w:sz="0" w:space="0" w:color="auto"/>
        <w:right w:val="none" w:sz="0" w:space="0" w:color="auto"/>
      </w:divBdr>
    </w:div>
    <w:div w:id="226384184">
      <w:bodyDiv w:val="1"/>
      <w:marLeft w:val="0"/>
      <w:marRight w:val="0"/>
      <w:marTop w:val="0"/>
      <w:marBottom w:val="0"/>
      <w:divBdr>
        <w:top w:val="none" w:sz="0" w:space="0" w:color="auto"/>
        <w:left w:val="none" w:sz="0" w:space="0" w:color="auto"/>
        <w:bottom w:val="none" w:sz="0" w:space="0" w:color="auto"/>
        <w:right w:val="none" w:sz="0" w:space="0" w:color="auto"/>
      </w:divBdr>
    </w:div>
    <w:div w:id="539128543">
      <w:bodyDiv w:val="1"/>
      <w:marLeft w:val="0"/>
      <w:marRight w:val="0"/>
      <w:marTop w:val="0"/>
      <w:marBottom w:val="0"/>
      <w:divBdr>
        <w:top w:val="none" w:sz="0" w:space="0" w:color="auto"/>
        <w:left w:val="none" w:sz="0" w:space="0" w:color="auto"/>
        <w:bottom w:val="none" w:sz="0" w:space="0" w:color="auto"/>
        <w:right w:val="none" w:sz="0" w:space="0" w:color="auto"/>
      </w:divBdr>
    </w:div>
    <w:div w:id="548149079">
      <w:bodyDiv w:val="1"/>
      <w:marLeft w:val="0"/>
      <w:marRight w:val="0"/>
      <w:marTop w:val="0"/>
      <w:marBottom w:val="0"/>
      <w:divBdr>
        <w:top w:val="none" w:sz="0" w:space="0" w:color="auto"/>
        <w:left w:val="none" w:sz="0" w:space="0" w:color="auto"/>
        <w:bottom w:val="none" w:sz="0" w:space="0" w:color="auto"/>
        <w:right w:val="none" w:sz="0" w:space="0" w:color="auto"/>
      </w:divBdr>
    </w:div>
    <w:div w:id="753431300">
      <w:bodyDiv w:val="1"/>
      <w:marLeft w:val="0"/>
      <w:marRight w:val="0"/>
      <w:marTop w:val="0"/>
      <w:marBottom w:val="0"/>
      <w:divBdr>
        <w:top w:val="none" w:sz="0" w:space="0" w:color="auto"/>
        <w:left w:val="none" w:sz="0" w:space="0" w:color="auto"/>
        <w:bottom w:val="none" w:sz="0" w:space="0" w:color="auto"/>
        <w:right w:val="none" w:sz="0" w:space="0" w:color="auto"/>
      </w:divBdr>
    </w:div>
    <w:div w:id="795949551">
      <w:bodyDiv w:val="1"/>
      <w:marLeft w:val="0"/>
      <w:marRight w:val="0"/>
      <w:marTop w:val="0"/>
      <w:marBottom w:val="0"/>
      <w:divBdr>
        <w:top w:val="none" w:sz="0" w:space="0" w:color="auto"/>
        <w:left w:val="none" w:sz="0" w:space="0" w:color="auto"/>
        <w:bottom w:val="none" w:sz="0" w:space="0" w:color="auto"/>
        <w:right w:val="none" w:sz="0" w:space="0" w:color="auto"/>
      </w:divBdr>
    </w:div>
    <w:div w:id="951326807">
      <w:bodyDiv w:val="1"/>
      <w:marLeft w:val="0"/>
      <w:marRight w:val="0"/>
      <w:marTop w:val="0"/>
      <w:marBottom w:val="0"/>
      <w:divBdr>
        <w:top w:val="none" w:sz="0" w:space="0" w:color="auto"/>
        <w:left w:val="none" w:sz="0" w:space="0" w:color="auto"/>
        <w:bottom w:val="none" w:sz="0" w:space="0" w:color="auto"/>
        <w:right w:val="none" w:sz="0" w:space="0" w:color="auto"/>
      </w:divBdr>
    </w:div>
    <w:div w:id="1204949445">
      <w:bodyDiv w:val="1"/>
      <w:marLeft w:val="0"/>
      <w:marRight w:val="0"/>
      <w:marTop w:val="0"/>
      <w:marBottom w:val="0"/>
      <w:divBdr>
        <w:top w:val="none" w:sz="0" w:space="0" w:color="auto"/>
        <w:left w:val="none" w:sz="0" w:space="0" w:color="auto"/>
        <w:bottom w:val="none" w:sz="0" w:space="0" w:color="auto"/>
        <w:right w:val="none" w:sz="0" w:space="0" w:color="auto"/>
      </w:divBdr>
    </w:div>
    <w:div w:id="1565094871">
      <w:bodyDiv w:val="1"/>
      <w:marLeft w:val="0"/>
      <w:marRight w:val="0"/>
      <w:marTop w:val="0"/>
      <w:marBottom w:val="0"/>
      <w:divBdr>
        <w:top w:val="none" w:sz="0" w:space="0" w:color="auto"/>
        <w:left w:val="none" w:sz="0" w:space="0" w:color="auto"/>
        <w:bottom w:val="none" w:sz="0" w:space="0" w:color="auto"/>
        <w:right w:val="none" w:sz="0" w:space="0" w:color="auto"/>
      </w:divBdr>
    </w:div>
    <w:div w:id="1574925992">
      <w:bodyDiv w:val="1"/>
      <w:marLeft w:val="0"/>
      <w:marRight w:val="0"/>
      <w:marTop w:val="0"/>
      <w:marBottom w:val="0"/>
      <w:divBdr>
        <w:top w:val="none" w:sz="0" w:space="0" w:color="auto"/>
        <w:left w:val="none" w:sz="0" w:space="0" w:color="auto"/>
        <w:bottom w:val="none" w:sz="0" w:space="0" w:color="auto"/>
        <w:right w:val="none" w:sz="0" w:space="0" w:color="auto"/>
      </w:divBdr>
    </w:div>
    <w:div w:id="1784030583">
      <w:bodyDiv w:val="1"/>
      <w:marLeft w:val="0"/>
      <w:marRight w:val="0"/>
      <w:marTop w:val="0"/>
      <w:marBottom w:val="0"/>
      <w:divBdr>
        <w:top w:val="none" w:sz="0" w:space="0" w:color="auto"/>
        <w:left w:val="none" w:sz="0" w:space="0" w:color="auto"/>
        <w:bottom w:val="none" w:sz="0" w:space="0" w:color="auto"/>
        <w:right w:val="none" w:sz="0" w:space="0" w:color="auto"/>
      </w:divBdr>
    </w:div>
    <w:div w:id="1950501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99448-4B4D-47CC-A4C5-D9D67E09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Hughes</dc:creator>
  <cp:lastModifiedBy>John Forrest</cp:lastModifiedBy>
  <cp:revision>2</cp:revision>
  <cp:lastPrinted>2020-12-22T21:19:00Z</cp:lastPrinted>
  <dcterms:created xsi:type="dcterms:W3CDTF">2024-06-20T19:59:00Z</dcterms:created>
  <dcterms:modified xsi:type="dcterms:W3CDTF">2024-06-20T19:59:00Z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PFU ScanSnap Manager 6.5.61 #S1500</vt:lpwstr>
  </property>
  <property fmtid="{D5CDD505-2E9C-101B-9397-08002B2CF9AE}" pid="4" name="LastSaved">
    <vt:filetime>2020-06-27T00:00:00Z</vt:filetime>
  </property>
  <property fmtid="{D5CDD505-2E9C-101B-9397-08002B2CF9AE}" pid="5" name="GrammarlyDocumentId">
    <vt:lpwstr>80a1ee1c4cee471b3f408064819fa260ab6736b237841dd3c925673f2a290870</vt:lpwstr>
  </property>
</Properties>
</file>