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61" w:rsidRDefault="00163FCE" w:rsidP="00163FCE">
      <w:pPr>
        <w:spacing w:after="0"/>
      </w:pPr>
      <w:r>
        <w:t>January 15, 2025</w:t>
      </w:r>
    </w:p>
    <w:p w:rsidR="00163FCE" w:rsidRDefault="00163FCE" w:rsidP="00163FCE">
      <w:pPr>
        <w:spacing w:after="0"/>
      </w:pPr>
    </w:p>
    <w:p w:rsidR="00163FCE" w:rsidRDefault="00163FCE" w:rsidP="00163FCE">
      <w:pPr>
        <w:spacing w:after="0"/>
      </w:pPr>
      <w:r>
        <w:t>Texas Commission on Environmental Quality</w:t>
      </w:r>
    </w:p>
    <w:p w:rsidR="004D34E7" w:rsidRPr="004D34E7" w:rsidRDefault="004D34E7" w:rsidP="004D34E7">
      <w:pPr>
        <w:spacing w:after="0"/>
        <w:rPr>
          <w:bCs/>
          <w:lang/>
        </w:rPr>
      </w:pPr>
      <w:r w:rsidRPr="004D34E7">
        <w:rPr>
          <w:bCs/>
          <w:lang/>
        </w:rPr>
        <w:t>Jess Robinson, MC 175</w:t>
      </w:r>
    </w:p>
    <w:p w:rsidR="004D34E7" w:rsidRPr="004D34E7" w:rsidRDefault="004D34E7" w:rsidP="004D34E7">
      <w:pPr>
        <w:spacing w:after="0"/>
        <w:rPr>
          <w:lang/>
        </w:rPr>
      </w:pPr>
      <w:r w:rsidRPr="004D34E7">
        <w:rPr>
          <w:lang/>
        </w:rPr>
        <w:t>Office of Legal Services</w:t>
      </w:r>
    </w:p>
    <w:p w:rsidR="004D34E7" w:rsidRPr="004D34E7" w:rsidRDefault="004D34E7" w:rsidP="004D34E7">
      <w:pPr>
        <w:spacing w:after="0"/>
        <w:rPr>
          <w:lang/>
        </w:rPr>
      </w:pPr>
      <w:r w:rsidRPr="004D34E7">
        <w:rPr>
          <w:lang/>
        </w:rPr>
        <w:t>P.O. Box 13087, Austin, TX 78711-3087</w:t>
      </w:r>
    </w:p>
    <w:p w:rsidR="00163FCE" w:rsidRDefault="00163FCE" w:rsidP="00163FCE">
      <w:pPr>
        <w:spacing w:after="0"/>
      </w:pPr>
    </w:p>
    <w:p w:rsidR="00163FCE" w:rsidRDefault="00163FCE" w:rsidP="00163FCE">
      <w:pPr>
        <w:spacing w:after="0"/>
      </w:pPr>
      <w:r>
        <w:t xml:space="preserve">RE: </w:t>
      </w:r>
      <w:r w:rsidRPr="00163FCE">
        <w:t>APO BMP List Proposal</w:t>
      </w:r>
    </w:p>
    <w:p w:rsidR="00163FCE" w:rsidRDefault="00163FCE" w:rsidP="00163FCE">
      <w:pPr>
        <w:spacing w:after="0"/>
      </w:pPr>
    </w:p>
    <w:p w:rsidR="00163FCE" w:rsidRDefault="00163FCE" w:rsidP="00163FCE">
      <w:pPr>
        <w:spacing w:after="0"/>
      </w:pPr>
      <w:r>
        <w:t xml:space="preserve">Dear </w:t>
      </w:r>
      <w:r w:rsidR="00022772">
        <w:t>Jess</w:t>
      </w:r>
      <w:r>
        <w:t xml:space="preserve"> Robinson,</w:t>
      </w:r>
    </w:p>
    <w:p w:rsidR="00163FCE" w:rsidRDefault="00163FCE" w:rsidP="00163FCE">
      <w:pPr>
        <w:spacing w:after="0"/>
      </w:pPr>
    </w:p>
    <w:p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rsidR="00226460" w:rsidRDefault="00226460" w:rsidP="00163FCE">
      <w:pPr>
        <w:spacing w:after="0"/>
      </w:pPr>
    </w:p>
    <w:p w:rsidR="00226460" w:rsidRPr="00226460" w:rsidRDefault="00226460" w:rsidP="00226460">
      <w:pPr>
        <w:spacing w:after="0"/>
        <w:rPr>
          <w:b/>
          <w:bCs/>
          <w:u w:val="single"/>
        </w:rPr>
      </w:pPr>
      <w:r w:rsidRPr="00226460">
        <w:rPr>
          <w:b/>
          <w:bCs/>
          <w:u w:val="single"/>
        </w:rPr>
        <w:t>Background:</w:t>
      </w:r>
    </w:p>
    <w:p w:rsidR="00226460" w:rsidRPr="00226460" w:rsidRDefault="00226460" w:rsidP="00226460">
      <w:pPr>
        <w:spacing w:after="0"/>
        <w:rPr>
          <w:b/>
          <w:bCs/>
          <w:u w:val="single"/>
        </w:rPr>
      </w:pPr>
    </w:p>
    <w:p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rsidR="00226460" w:rsidRDefault="00226460" w:rsidP="00226460">
      <w:pPr>
        <w:spacing w:after="0"/>
      </w:pPr>
    </w:p>
    <w:p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rsidR="00163FCE" w:rsidRDefault="00163FCE" w:rsidP="00163FCE">
      <w:pPr>
        <w:spacing w:after="0"/>
      </w:pPr>
    </w:p>
    <w:p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rsidR="00163FCE" w:rsidRDefault="00163FCE" w:rsidP="00163FCE">
      <w:pPr>
        <w:spacing w:after="0"/>
      </w:pPr>
    </w:p>
    <w:p w:rsidR="00CB1296" w:rsidRPr="00CB1296" w:rsidRDefault="00CB1296" w:rsidP="00CB1296">
      <w:pPr>
        <w:spacing w:after="0"/>
        <w:rPr>
          <w:b/>
          <w:bCs/>
          <w:u w:val="single"/>
        </w:rPr>
      </w:pPr>
      <w:r w:rsidRPr="00CB1296">
        <w:rPr>
          <w:b/>
          <w:bCs/>
          <w:u w:val="single"/>
        </w:rPr>
        <w:t>Issues:</w:t>
      </w:r>
    </w:p>
    <w:p w:rsidR="00CB1296" w:rsidRPr="00CB1296" w:rsidRDefault="00CB1296" w:rsidP="00CB1296">
      <w:pPr>
        <w:spacing w:after="0"/>
        <w:rPr>
          <w:b/>
          <w:bCs/>
          <w:u w:val="single"/>
        </w:rPr>
      </w:pPr>
    </w:p>
    <w:p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rsidR="00226460" w:rsidRDefault="00226460" w:rsidP="00226460">
      <w:pPr>
        <w:spacing w:after="0"/>
        <w:ind w:left="360"/>
      </w:pPr>
    </w:p>
    <w:p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w:t>
      </w:r>
      <w:r w:rsidR="00022772">
        <w:t xml:space="preserve"> (</w:t>
      </w:r>
      <w:r w:rsidRPr="00CB1296">
        <w:t>to “include operational issues related to dust, water use, and water storage”</w:t>
      </w:r>
      <w:r w:rsidR="00022772">
        <w:t>).</w:t>
      </w:r>
      <w:r w:rsidRPr="00CB1296">
        <w:t xml:space="preserve"> While they addressed dust and water storage (albeit inadequately) the TCEQ completely overlooked the “water use” portion of their 2023 charge. Their 2021 charge also directed them to address noise and light pollution, both of which the proposed BMPs completely ignore.</w:t>
      </w:r>
    </w:p>
    <w:p w:rsidR="00CB1296" w:rsidRPr="00CB1296" w:rsidRDefault="00CB1296" w:rsidP="00CB1296">
      <w:pPr>
        <w:spacing w:after="0"/>
      </w:pPr>
    </w:p>
    <w:p w:rsidR="00226460" w:rsidRDefault="00CB1296" w:rsidP="00226460">
      <w:pPr>
        <w:numPr>
          <w:ilvl w:val="0"/>
          <w:numId w:val="1"/>
        </w:numPr>
        <w:spacing w:after="0"/>
      </w:pPr>
      <w:r w:rsidRPr="00362A40">
        <w:rPr>
          <w:b/>
          <w:bCs/>
        </w:rPr>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appropriately-sized </w:t>
      </w:r>
      <w:r w:rsidRPr="00CB1296">
        <w:lastRenderedPageBreak/>
        <w:t>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rsidR="00CB1296" w:rsidRDefault="00CB1296" w:rsidP="00163FCE">
      <w:pPr>
        <w:spacing w:after="0"/>
      </w:pPr>
    </w:p>
    <w:p w:rsidR="00CB1296" w:rsidRDefault="00CB1296" w:rsidP="00163FCE">
      <w:pPr>
        <w:spacing w:after="0"/>
        <w:rPr>
          <w:b/>
          <w:bCs/>
          <w:u w:val="single"/>
        </w:rPr>
      </w:pPr>
      <w:r>
        <w:rPr>
          <w:b/>
          <w:bCs/>
          <w:u w:val="single"/>
        </w:rPr>
        <w:t>Suggestions for Meaningful Solutions:</w:t>
      </w:r>
    </w:p>
    <w:p w:rsidR="00F354A1" w:rsidRDefault="00F354A1" w:rsidP="00163FCE">
      <w:pPr>
        <w:spacing w:after="0"/>
        <w:rPr>
          <w:b/>
          <w:bCs/>
          <w:u w:val="single"/>
        </w:rPr>
      </w:pPr>
    </w:p>
    <w:p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rsidR="00F354A1" w:rsidRDefault="00F354A1" w:rsidP="00163FCE">
      <w:pPr>
        <w:spacing w:after="0"/>
      </w:pPr>
    </w:p>
    <w:p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rsidR="00F354A1" w:rsidRDefault="00F354A1" w:rsidP="00F354A1">
      <w:pPr>
        <w:spacing w:after="0"/>
      </w:pPr>
    </w:p>
    <w:p w:rsidR="00F354A1" w:rsidRDefault="00F354A1" w:rsidP="00F354A1">
      <w:pPr>
        <w:spacing w:after="0"/>
      </w:pPr>
      <w:r w:rsidRPr="00F354A1">
        <w:t xml:space="preserve">Here are some examples of those priorities:  </w:t>
      </w:r>
    </w:p>
    <w:p w:rsidR="00F354A1" w:rsidRDefault="00F354A1" w:rsidP="00F354A1">
      <w:pPr>
        <w:spacing w:after="0"/>
      </w:pPr>
    </w:p>
    <w:p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rsidR="00F354A1" w:rsidRPr="00F354A1" w:rsidRDefault="00F354A1" w:rsidP="00F354A1">
      <w:pPr>
        <w:numPr>
          <w:ilvl w:val="0"/>
          <w:numId w:val="3"/>
        </w:numPr>
        <w:spacing w:after="0"/>
      </w:pPr>
      <w:r w:rsidRPr="009E3AE1">
        <w:rPr>
          <w:b/>
          <w:bCs/>
        </w:rPr>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rsidR="00F354A1" w:rsidRPr="00F354A1" w:rsidRDefault="00F354A1" w:rsidP="00F354A1">
      <w:pPr>
        <w:numPr>
          <w:ilvl w:val="0"/>
          <w:numId w:val="2"/>
        </w:numPr>
        <w:spacing w:after="0"/>
      </w:pPr>
      <w:r w:rsidRPr="00F354A1">
        <w:t>Create a buffer between mining activities and the waterway.</w:t>
      </w:r>
    </w:p>
    <w:p w:rsidR="00F354A1" w:rsidRPr="00F354A1" w:rsidRDefault="00F354A1" w:rsidP="00F354A1">
      <w:pPr>
        <w:numPr>
          <w:ilvl w:val="0"/>
          <w:numId w:val="2"/>
        </w:numPr>
        <w:spacing w:after="0"/>
      </w:pPr>
      <w:r w:rsidRPr="00F354A1">
        <w:t>Leave large woody debris in the floodplain.</w:t>
      </w:r>
    </w:p>
    <w:p w:rsidR="00F354A1" w:rsidRPr="00F354A1" w:rsidRDefault="00804E24" w:rsidP="00F354A1">
      <w:pPr>
        <w:numPr>
          <w:ilvl w:val="0"/>
          <w:numId w:val="2"/>
        </w:numPr>
        <w:spacing w:after="0"/>
      </w:pPr>
      <w:r>
        <w:t>Quarry</w:t>
      </w:r>
      <w:r w:rsidR="00F354A1" w:rsidRPr="00F354A1">
        <w:t xml:space="preserve"> above the water table only.</w:t>
      </w:r>
    </w:p>
    <w:p w:rsidR="00F354A1" w:rsidRPr="00F354A1" w:rsidRDefault="00F354A1" w:rsidP="00F354A1">
      <w:pPr>
        <w:numPr>
          <w:ilvl w:val="0"/>
          <w:numId w:val="2"/>
        </w:numPr>
        <w:spacing w:after="0"/>
      </w:pPr>
      <w:r w:rsidRPr="00F354A1">
        <w:t>Minimize use of heavy equipment in riparian areas to protect vegetation and reduce soil compaction.</w:t>
      </w:r>
    </w:p>
    <w:p w:rsidR="00F354A1" w:rsidRDefault="00F354A1" w:rsidP="00F354A1">
      <w:pPr>
        <w:spacing w:after="0"/>
      </w:pPr>
    </w:p>
    <w:p w:rsidR="00226460" w:rsidRPr="00226460" w:rsidRDefault="00226460" w:rsidP="00226460">
      <w:pPr>
        <w:spacing w:after="0"/>
      </w:pPr>
      <w:r w:rsidRPr="00226460">
        <w:lastRenderedPageBreak/>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rsidR="00226460" w:rsidRDefault="00226460" w:rsidP="00F354A1">
      <w:pPr>
        <w:spacing w:after="0"/>
      </w:pPr>
    </w:p>
    <w:p w:rsidR="00226460" w:rsidRDefault="00226460" w:rsidP="00F354A1">
      <w:pPr>
        <w:spacing w:after="0"/>
      </w:pPr>
    </w:p>
    <w:p w:rsidR="00F354A1" w:rsidRDefault="00F354A1" w:rsidP="00F354A1">
      <w:pPr>
        <w:spacing w:after="0"/>
      </w:pPr>
      <w:r>
        <w:t>Respectfully Submitted,</w:t>
      </w:r>
    </w:p>
    <w:p w:rsidR="00F354A1" w:rsidRDefault="00F354A1" w:rsidP="00163FCE">
      <w:pPr>
        <w:spacing w:after="0"/>
        <w:rPr>
          <w:rFonts w:ascii="Baguet Script" w:hAnsi="Baguet Script"/>
          <w:i/>
          <w:iCs/>
        </w:rPr>
      </w:pPr>
    </w:p>
    <w:p w:rsidR="00022772" w:rsidRPr="00163FCE" w:rsidRDefault="00022772" w:rsidP="00163FCE">
      <w:pPr>
        <w:spacing w:after="0"/>
        <w:rPr>
          <w:b/>
          <w:bCs/>
          <w:u w:val="single"/>
        </w:rPr>
      </w:pPr>
      <w:r>
        <w:rPr>
          <w:rFonts w:ascii="Baguet Script" w:hAnsi="Baguet Script"/>
          <w:i/>
          <w:iCs/>
        </w:rPr>
        <w:t>Michael Guadagno</w:t>
      </w:r>
    </w:p>
    <w:p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Baguet Script">
    <w:altName w:val="Times New Roman"/>
    <w:charset w:val="00"/>
    <w:family w:val="auto"/>
    <w:pitch w:val="variable"/>
    <w:sig w:usb0="00000001"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63FCE"/>
    <w:rsid w:val="00022772"/>
    <w:rsid w:val="00103FC5"/>
    <w:rsid w:val="00163FCE"/>
    <w:rsid w:val="001D1D61"/>
    <w:rsid w:val="00226460"/>
    <w:rsid w:val="00362A40"/>
    <w:rsid w:val="003A1ED7"/>
    <w:rsid w:val="003C1E56"/>
    <w:rsid w:val="004D34E7"/>
    <w:rsid w:val="005F00D6"/>
    <w:rsid w:val="0067215A"/>
    <w:rsid w:val="00804E24"/>
    <w:rsid w:val="0082484E"/>
    <w:rsid w:val="00853833"/>
    <w:rsid w:val="009E3AE1"/>
    <w:rsid w:val="00A11FBB"/>
    <w:rsid w:val="00B41B63"/>
    <w:rsid w:val="00C732BF"/>
    <w:rsid w:val="00CB1296"/>
    <w:rsid w:val="00CB5C39"/>
    <w:rsid w:val="00DE15F4"/>
    <w:rsid w:val="00F354A1"/>
    <w:rsid w:val="00FB3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D6"/>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customStyle="1"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Milann Guckian</dc:creator>
  <cp:lastModifiedBy>Mike &amp; Geri</cp:lastModifiedBy>
  <cp:revision>2</cp:revision>
  <dcterms:created xsi:type="dcterms:W3CDTF">2025-01-22T14:24:00Z</dcterms:created>
  <dcterms:modified xsi:type="dcterms:W3CDTF">2025-01-22T14:24:00Z</dcterms:modified>
</cp:coreProperties>
</file>