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t xml:space="preserve">January 20, 2025</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Texas Commission on Environmental Quality</w:t>
      </w:r>
    </w:p>
    <w:p w:rsidR="00000000" w:rsidDel="00000000" w:rsidP="00000000" w:rsidRDefault="00000000" w:rsidRPr="00000000" w14:paraId="00000004">
      <w:pPr>
        <w:spacing w:after="0" w:lineRule="auto"/>
        <w:rPr/>
      </w:pPr>
      <w:r w:rsidDel="00000000" w:rsidR="00000000" w:rsidRPr="00000000">
        <w:rPr>
          <w:rtl w:val="0"/>
        </w:rPr>
        <w:t xml:space="preserve">Jess Robinson, MC 175</w:t>
      </w:r>
    </w:p>
    <w:p w:rsidR="00000000" w:rsidDel="00000000" w:rsidP="00000000" w:rsidRDefault="00000000" w:rsidRPr="00000000" w14:paraId="00000005">
      <w:pPr>
        <w:spacing w:after="0" w:lineRule="auto"/>
        <w:rPr/>
      </w:pPr>
      <w:r w:rsidDel="00000000" w:rsidR="00000000" w:rsidRPr="00000000">
        <w:rPr>
          <w:rtl w:val="0"/>
        </w:rPr>
        <w:t xml:space="preserve">Office of Legal Services</w:t>
      </w:r>
    </w:p>
    <w:p w:rsidR="00000000" w:rsidDel="00000000" w:rsidP="00000000" w:rsidRDefault="00000000" w:rsidRPr="00000000" w14:paraId="00000006">
      <w:pPr>
        <w:spacing w:after="0" w:lineRule="auto"/>
        <w:rPr/>
      </w:pPr>
      <w:r w:rsidDel="00000000" w:rsidR="00000000" w:rsidRPr="00000000">
        <w:rPr>
          <w:rtl w:val="0"/>
        </w:rPr>
        <w:t xml:space="preserve">P.O. Box 13087, Austin, TX 78711-3087</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RE: APO BMP List Proposal</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Dear Ms. Robinson,</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TCEQ’s attempt at creating a usable list of Best Management Practices for the Aggregate Production Operations Industry in Texas is completely inadequate.  The BMP list, three years in the making, only weakens TCEQ’s effort to protect public health and natural resources by pretending to establish new guidelines while saying nothing. It is a disservice to taxpayers and to the environment.</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b w:val="1"/>
          <w:u w:val="single"/>
        </w:rPr>
      </w:pPr>
      <w:r w:rsidDel="00000000" w:rsidR="00000000" w:rsidRPr="00000000">
        <w:rPr>
          <w:b w:val="1"/>
          <w:u w:val="single"/>
          <w:rtl w:val="0"/>
        </w:rPr>
        <w:t xml:space="preserve">Background:</w:t>
      </w:r>
    </w:p>
    <w:p w:rsidR="00000000" w:rsidDel="00000000" w:rsidP="00000000" w:rsidRDefault="00000000" w:rsidRPr="00000000" w14:paraId="0000000F">
      <w:pPr>
        <w:spacing w:after="0" w:lineRule="auto"/>
        <w:rPr>
          <w:b w:val="1"/>
          <w:u w:val="single"/>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In the 2021 87</w:t>
      </w:r>
      <w:r w:rsidDel="00000000" w:rsidR="00000000" w:rsidRPr="00000000">
        <w:rPr>
          <w:vertAlign w:val="superscript"/>
          <w:rtl w:val="0"/>
        </w:rPr>
        <w:t xml:space="preserve">th</w:t>
      </w:r>
      <w:r w:rsidDel="00000000" w:rsidR="00000000" w:rsidRPr="00000000">
        <w:rPr>
          <w:rtl w:val="0"/>
        </w:rPr>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t xml:space="preserve">The 2023 88</w:t>
      </w:r>
      <w:r w:rsidDel="00000000" w:rsidR="00000000" w:rsidRPr="00000000">
        <w:rPr>
          <w:vertAlign w:val="superscript"/>
          <w:rtl w:val="0"/>
        </w:rPr>
        <w:t xml:space="preserve">th</w:t>
      </w:r>
      <w:r w:rsidDel="00000000" w:rsidR="00000000" w:rsidRPr="00000000">
        <w:rPr>
          <w:rtl w:val="0"/>
        </w:rPr>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TCEQ spent over three years (from September 2021 to December 2024) to produce a set of BMPs that didn’t address all the Legislative charges and are so sparse, vague, and self-evident, as to be completely irrelevant and useless.  </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b w:val="1"/>
          <w:u w:val="single"/>
        </w:rPr>
      </w:pPr>
      <w:r w:rsidDel="00000000" w:rsidR="00000000" w:rsidRPr="00000000">
        <w:rPr>
          <w:b w:val="1"/>
          <w:u w:val="single"/>
          <w:rtl w:val="0"/>
        </w:rPr>
        <w:t xml:space="preserve">Issues:</w:t>
      </w:r>
    </w:p>
    <w:p w:rsidR="00000000" w:rsidDel="00000000" w:rsidP="00000000" w:rsidRDefault="00000000" w:rsidRPr="00000000" w14:paraId="00000017">
      <w:pPr>
        <w:spacing w:after="0" w:lineRule="auto"/>
        <w:rPr>
          <w:b w:val="1"/>
          <w:u w:val="single"/>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b w:val="1"/>
          <w:rtl w:val="0"/>
        </w:rPr>
        <w:t xml:space="preserve">Inadequate Scope:</w:t>
      </w:r>
      <w:r w:rsidDel="00000000" w:rsidR="00000000" w:rsidRPr="00000000">
        <w:rPr>
          <w:rtl w:val="0"/>
        </w:rPr>
        <w:t xml:space="preserve"> Failed to address issues identified by the Texas Legislature; water use, noise, and light pollution.</w:t>
      </w:r>
    </w:p>
    <w:p w:rsidR="00000000" w:rsidDel="00000000" w:rsidP="00000000" w:rsidRDefault="00000000" w:rsidRPr="00000000" w14:paraId="00000019">
      <w:pPr>
        <w:spacing w:after="0" w:lineRule="auto"/>
        <w:ind w:left="360" w:firstLine="0"/>
        <w:rPr/>
      </w:pP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pPr>
      <w:r w:rsidDel="00000000" w:rsidR="00000000" w:rsidRPr="00000000">
        <w:rPr>
          <w:b w:val="1"/>
          <w:rtl w:val="0"/>
        </w:rPr>
        <w:t xml:space="preserve">Sparse:</w:t>
      </w:r>
      <w:r w:rsidDel="00000000" w:rsidR="00000000" w:rsidRPr="00000000">
        <w:rPr>
          <w:rtl w:val="0"/>
        </w:rPr>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numPr>
          <w:ilvl w:val="0"/>
          <w:numId w:val="1"/>
        </w:numPr>
        <w:spacing w:after="0" w:lineRule="auto"/>
        <w:ind w:left="720" w:hanging="360"/>
        <w:rPr/>
      </w:pPr>
      <w:r w:rsidDel="00000000" w:rsidR="00000000" w:rsidRPr="00000000">
        <w:rPr>
          <w:b w:val="1"/>
          <w:rtl w:val="0"/>
        </w:rPr>
        <w:t xml:space="preserve">Vague:</w:t>
      </w:r>
      <w:r w:rsidDel="00000000" w:rsidR="00000000" w:rsidRPr="00000000">
        <w:rPr>
          <w:rtl w:val="0"/>
        </w:rPr>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by on the unpaved haul roads within an APO? The value of a BMP list is in detailing out what a “reasonable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pPr>
      <w:r w:rsidDel="00000000" w:rsidR="00000000" w:rsidRPr="00000000">
        <w:rPr>
          <w:b w:val="1"/>
          <w:rtl w:val="0"/>
        </w:rPr>
        <w:t xml:space="preserve">Self-evident:</w:t>
      </w:r>
      <w:r w:rsidDel="00000000" w:rsidR="00000000" w:rsidRPr="00000000">
        <w:rPr>
          <w:rtl w:val="0"/>
        </w:rPr>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b w:val="1"/>
          <w:u w:val="single"/>
        </w:rPr>
      </w:pPr>
      <w:r w:rsidDel="00000000" w:rsidR="00000000" w:rsidRPr="00000000">
        <w:rPr>
          <w:b w:val="1"/>
          <w:u w:val="single"/>
          <w:rtl w:val="0"/>
        </w:rPr>
        <w:t xml:space="preserve">Suggestions for Meaningful Solutions:</w:t>
      </w:r>
    </w:p>
    <w:p w:rsidR="00000000" w:rsidDel="00000000" w:rsidP="00000000" w:rsidRDefault="00000000" w:rsidRPr="00000000" w14:paraId="00000021">
      <w:pPr>
        <w:spacing w:after="0" w:lineRule="auto"/>
        <w:rPr>
          <w:b w:val="1"/>
          <w:u w:val="single"/>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Texans for Responsible Aggregate Mining (TRAM), a statewide coalition of member groups and their technical team of credentialed professionals created a vetted list of BMPs and presented it to TCEQ for their consideration. </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t xml:space="preserve">These recommendations were not considered, and they should have been.  A comprehensive list can be found here – </w:t>
      </w:r>
      <w:hyperlink r:id="rId7">
        <w:r w:rsidDel="00000000" w:rsidR="00000000" w:rsidRPr="00000000">
          <w:rPr>
            <w:color w:val="467886"/>
            <w:u w:val="single"/>
            <w:rtl w:val="0"/>
          </w:rPr>
          <w:t xml:space="preserve">www.tramtexas.org/calltoaction</w:t>
        </w:r>
      </w:hyperlink>
      <w:r w:rsidDel="00000000" w:rsidR="00000000" w:rsidRPr="00000000">
        <w:rPr>
          <w:rtl w:val="0"/>
        </w:rPr>
        <w:t xml:space="preserve">.  </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Here are some examples of those priorities:  </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numPr>
          <w:ilvl w:val="0"/>
          <w:numId w:val="3"/>
        </w:numPr>
        <w:spacing w:after="0" w:lineRule="auto"/>
        <w:ind w:left="1080" w:hanging="360"/>
        <w:rPr/>
      </w:pPr>
      <w:r w:rsidDel="00000000" w:rsidR="00000000" w:rsidRPr="00000000">
        <w:rPr>
          <w:b w:val="1"/>
          <w:rtl w:val="0"/>
        </w:rPr>
        <w:t xml:space="preserve">Dust Control:</w:t>
      </w:r>
      <w:r w:rsidDel="00000000" w:rsidR="00000000" w:rsidRPr="00000000">
        <w:rPr>
          <w:rtl w:val="0"/>
        </w:rPr>
        <w:t xml:space="preserve"> Roads and parking areas for vehicles that will leave the site should be paved.</w:t>
      </w:r>
    </w:p>
    <w:p w:rsidR="00000000" w:rsidDel="00000000" w:rsidP="00000000" w:rsidRDefault="00000000" w:rsidRPr="00000000" w14:paraId="00000029">
      <w:pPr>
        <w:numPr>
          <w:ilvl w:val="0"/>
          <w:numId w:val="3"/>
        </w:numPr>
        <w:spacing w:after="0" w:lineRule="auto"/>
        <w:ind w:left="1080" w:hanging="360"/>
        <w:rPr/>
      </w:pPr>
      <w:r w:rsidDel="00000000" w:rsidR="00000000" w:rsidRPr="00000000">
        <w:rPr>
          <w:b w:val="1"/>
          <w:rtl w:val="0"/>
        </w:rPr>
        <w:t xml:space="preserve">Light pollution:</w:t>
      </w:r>
      <w:r w:rsidDel="00000000" w:rsidR="00000000" w:rsidRPr="00000000">
        <w:rPr>
          <w:rtl w:val="0"/>
        </w:rPr>
        <w:t xml:space="preserve"> Direct light properly and use perimeter barriers to eliminate sky glow, light trespass, and glare.</w:t>
      </w:r>
    </w:p>
    <w:p w:rsidR="00000000" w:rsidDel="00000000" w:rsidP="00000000" w:rsidRDefault="00000000" w:rsidRPr="00000000" w14:paraId="0000002A">
      <w:pPr>
        <w:numPr>
          <w:ilvl w:val="0"/>
          <w:numId w:val="3"/>
        </w:numPr>
        <w:spacing w:after="0" w:lineRule="auto"/>
        <w:ind w:left="1080" w:hanging="360"/>
        <w:rPr/>
      </w:pPr>
      <w:r w:rsidDel="00000000" w:rsidR="00000000" w:rsidRPr="00000000">
        <w:rPr>
          <w:b w:val="1"/>
          <w:rtl w:val="0"/>
        </w:rPr>
        <w:t xml:space="preserve">Mine management and truck safety:</w:t>
      </w:r>
      <w:r w:rsidDel="00000000" w:rsidR="00000000" w:rsidRPr="00000000">
        <w:rPr>
          <w:rtl w:val="0"/>
        </w:rPr>
        <w:t xml:space="preserve"> Clear roads for school buses by not loading trucks for 30 minutes before and after school bells.</w:t>
      </w:r>
    </w:p>
    <w:p w:rsidR="00000000" w:rsidDel="00000000" w:rsidP="00000000" w:rsidRDefault="00000000" w:rsidRPr="00000000" w14:paraId="0000002B">
      <w:pPr>
        <w:numPr>
          <w:ilvl w:val="0"/>
          <w:numId w:val="3"/>
        </w:numPr>
        <w:spacing w:after="0" w:lineRule="auto"/>
        <w:ind w:left="1080" w:hanging="360"/>
        <w:rPr/>
      </w:pPr>
      <w:r w:rsidDel="00000000" w:rsidR="00000000" w:rsidRPr="00000000">
        <w:rPr>
          <w:b w:val="1"/>
          <w:rtl w:val="0"/>
        </w:rPr>
        <w:t xml:space="preserve">Noise:</w:t>
      </w:r>
      <w:r w:rsidDel="00000000" w:rsidR="00000000" w:rsidRPr="00000000">
        <w:rPr>
          <w:rtl w:val="0"/>
        </w:rPr>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rsidR="00000000" w:rsidDel="00000000" w:rsidP="00000000" w:rsidRDefault="00000000" w:rsidRPr="00000000" w14:paraId="0000002C">
      <w:pPr>
        <w:numPr>
          <w:ilvl w:val="0"/>
          <w:numId w:val="3"/>
        </w:numPr>
        <w:spacing w:after="0" w:lineRule="auto"/>
        <w:ind w:left="1080" w:hanging="360"/>
        <w:rPr/>
      </w:pPr>
      <w:r w:rsidDel="00000000" w:rsidR="00000000" w:rsidRPr="00000000">
        <w:rPr>
          <w:b w:val="1"/>
          <w:rtl w:val="0"/>
        </w:rPr>
        <w:t xml:space="preserve">Blasting:</w:t>
      </w:r>
      <w:r w:rsidDel="00000000" w:rsidR="00000000" w:rsidRPr="00000000">
        <w:rPr>
          <w:rtl w:val="0"/>
        </w:rPr>
        <w:t xml:space="preserve"> Blasting should be monitored with seismographs, located on the perimeter (corners) of the APO property (and in some instances, adjacent or near-by properties in multiple directions).   </w:t>
      </w:r>
    </w:p>
    <w:p w:rsidR="00000000" w:rsidDel="00000000" w:rsidP="00000000" w:rsidRDefault="00000000" w:rsidRPr="00000000" w14:paraId="0000002D">
      <w:pPr>
        <w:numPr>
          <w:ilvl w:val="0"/>
          <w:numId w:val="3"/>
        </w:numPr>
        <w:spacing w:after="0" w:lineRule="auto"/>
        <w:ind w:left="1080" w:hanging="360"/>
        <w:rPr/>
      </w:pPr>
      <w:r w:rsidDel="00000000" w:rsidR="00000000" w:rsidRPr="00000000">
        <w:rPr>
          <w:b w:val="1"/>
          <w:rtl w:val="0"/>
        </w:rPr>
        <w:t xml:space="preserve">Water quality:</w:t>
      </w:r>
      <w:r w:rsidDel="00000000" w:rsidR="00000000" w:rsidRPr="00000000">
        <w:rPr>
          <w:rtl w:val="0"/>
        </w:rPr>
        <w:t xml:space="preserve"> </w:t>
      </w:r>
      <w:r w:rsidDel="00000000" w:rsidR="00000000" w:rsidRPr="00000000">
        <w:rPr>
          <w:u w:val="single"/>
          <w:rtl w:val="0"/>
        </w:rPr>
        <w:t xml:space="preserve">Vegetation </w:t>
      </w:r>
      <w:r w:rsidDel="00000000" w:rsidR="00000000" w:rsidRPr="00000000">
        <w:rPr>
          <w:rtl w:val="0"/>
        </w:rPr>
        <w:t xml:space="preserve">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rsidR="00000000" w:rsidDel="00000000" w:rsidP="00000000" w:rsidRDefault="00000000" w:rsidRPr="00000000" w14:paraId="0000002E">
      <w:pPr>
        <w:numPr>
          <w:ilvl w:val="0"/>
          <w:numId w:val="3"/>
        </w:numPr>
        <w:spacing w:after="0" w:lineRule="auto"/>
        <w:ind w:left="1080" w:hanging="360"/>
        <w:rPr/>
      </w:pPr>
      <w:r w:rsidDel="00000000" w:rsidR="00000000" w:rsidRPr="00000000">
        <w:rPr>
          <w:b w:val="1"/>
          <w:rtl w:val="0"/>
        </w:rPr>
        <w:t xml:space="preserve">Water use:</w:t>
      </w:r>
      <w:r w:rsidDel="00000000" w:rsidR="00000000" w:rsidRPr="00000000">
        <w:rPr>
          <w:rtl w:val="0"/>
        </w:rPr>
        <w:t xml:space="preserve"> Maximize the use of process wastewater, which cannot be discharged without treatment but can be reused in site operations. Managing fine tailings to reduce the amount of tailings in settling ponds with a tailings thickener system and/or flocculant and thickener are key BMPs that are understood, accepted and utilized by many APOs, These facilities can provide additional recycled water to reduce overall APO water use, water loss and reduce land use.</w:t>
      </w:r>
    </w:p>
    <w:p w:rsidR="00000000" w:rsidDel="00000000" w:rsidP="00000000" w:rsidRDefault="00000000" w:rsidRPr="00000000" w14:paraId="0000002F">
      <w:pPr>
        <w:numPr>
          <w:ilvl w:val="0"/>
          <w:numId w:val="3"/>
        </w:numPr>
        <w:spacing w:after="0" w:lineRule="auto"/>
        <w:ind w:left="1080" w:hanging="360"/>
        <w:rPr/>
      </w:pPr>
      <w:r w:rsidDel="00000000" w:rsidR="00000000" w:rsidRPr="00000000">
        <w:rPr>
          <w:b w:val="1"/>
          <w:rtl w:val="0"/>
        </w:rPr>
        <w:t xml:space="preserve">Riparian health and safety:</w:t>
      </w:r>
      <w:r w:rsidDel="00000000" w:rsidR="00000000" w:rsidRPr="00000000">
        <w:rPr>
          <w:rtl w:val="0"/>
        </w:rPr>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rsidR="00000000" w:rsidDel="00000000" w:rsidP="00000000" w:rsidRDefault="00000000" w:rsidRPr="00000000" w14:paraId="00000030">
      <w:pPr>
        <w:numPr>
          <w:ilvl w:val="0"/>
          <w:numId w:val="2"/>
        </w:numPr>
        <w:spacing w:after="0" w:lineRule="auto"/>
        <w:ind w:left="1440" w:hanging="360"/>
        <w:rPr/>
      </w:pPr>
      <w:r w:rsidDel="00000000" w:rsidR="00000000" w:rsidRPr="00000000">
        <w:rPr>
          <w:rtl w:val="0"/>
        </w:rPr>
        <w:t xml:space="preserve">Maintain undisturbed setbacks from at least 50 feet from the water’s edge and preferably 200 feet.</w:t>
      </w:r>
    </w:p>
    <w:p w:rsidR="00000000" w:rsidDel="00000000" w:rsidP="00000000" w:rsidRDefault="00000000" w:rsidRPr="00000000" w14:paraId="00000031">
      <w:pPr>
        <w:numPr>
          <w:ilvl w:val="0"/>
          <w:numId w:val="2"/>
        </w:numPr>
        <w:spacing w:after="0" w:lineRule="auto"/>
        <w:ind w:left="1440" w:hanging="360"/>
        <w:rPr/>
      </w:pPr>
      <w:r w:rsidDel="00000000" w:rsidR="00000000" w:rsidRPr="00000000">
        <w:rPr>
          <w:rtl w:val="0"/>
        </w:rPr>
        <w:t xml:space="preserve">Create a buffer between mining activities and the waterway.</w:t>
      </w:r>
    </w:p>
    <w:p w:rsidR="00000000" w:rsidDel="00000000" w:rsidP="00000000" w:rsidRDefault="00000000" w:rsidRPr="00000000" w14:paraId="00000032">
      <w:pPr>
        <w:numPr>
          <w:ilvl w:val="0"/>
          <w:numId w:val="2"/>
        </w:numPr>
        <w:spacing w:after="0" w:lineRule="auto"/>
        <w:ind w:left="1440" w:hanging="360"/>
        <w:rPr/>
      </w:pPr>
      <w:r w:rsidDel="00000000" w:rsidR="00000000" w:rsidRPr="00000000">
        <w:rPr>
          <w:rtl w:val="0"/>
        </w:rPr>
        <w:t xml:space="preserve">Leave large woody debris in the floodplain.</w:t>
      </w:r>
    </w:p>
    <w:p w:rsidR="00000000" w:rsidDel="00000000" w:rsidP="00000000" w:rsidRDefault="00000000" w:rsidRPr="00000000" w14:paraId="00000033">
      <w:pPr>
        <w:numPr>
          <w:ilvl w:val="0"/>
          <w:numId w:val="2"/>
        </w:numPr>
        <w:spacing w:after="0" w:lineRule="auto"/>
        <w:ind w:left="1440" w:hanging="360"/>
        <w:rPr/>
      </w:pPr>
      <w:r w:rsidDel="00000000" w:rsidR="00000000" w:rsidRPr="00000000">
        <w:rPr>
          <w:rtl w:val="0"/>
        </w:rPr>
        <w:t xml:space="preserve">Quarry above the water table only.</w:t>
      </w:r>
    </w:p>
    <w:p w:rsidR="00000000" w:rsidDel="00000000" w:rsidP="00000000" w:rsidRDefault="00000000" w:rsidRPr="00000000" w14:paraId="00000034">
      <w:pPr>
        <w:numPr>
          <w:ilvl w:val="0"/>
          <w:numId w:val="2"/>
        </w:numPr>
        <w:spacing w:after="0" w:lineRule="auto"/>
        <w:ind w:left="1440" w:hanging="360"/>
        <w:rPr/>
      </w:pPr>
      <w:r w:rsidDel="00000000" w:rsidR="00000000" w:rsidRPr="00000000">
        <w:rPr>
          <w:rtl w:val="0"/>
        </w:rPr>
        <w:t xml:space="preserve">Minimize use of heavy equipment in riparian areas to protect vegetation and reduce soil compaction.</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t xml:space="preserve">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t xml:space="preserve">Respectfully Submitted,</w:t>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mc:AlternateContent>
          <mc:Choice Requires="wpg">
            <w:drawing>
              <wp:inline distB="114300" distT="114300" distL="114300" distR="114300">
                <wp:extent cx="4038600" cy="1466850"/>
                <wp:effectExtent b="0" l="0" r="0" t="0"/>
                <wp:docPr id="1" name=""/>
                <a:graphic>
                  <a:graphicData uri="http://schemas.microsoft.com/office/word/2010/wordprocessingShape">
                    <wps:wsp>
                      <wps:cNvSpPr/>
                      <wps:cNvPr id="2" name="Shape 2"/>
                      <wps:spPr>
                        <a:xfrm>
                          <a:off x="753509" y="1043199"/>
                          <a:ext cx="4022500" cy="1443100"/>
                        </a:xfrm>
                        <a:custGeom>
                          <a:rect b="b" l="l" r="r" t="t"/>
                          <a:pathLst>
                            <a:path extrusionOk="0" h="57724" w="160900">
                              <a:moveTo>
                                <a:pt x="21014" y="42577"/>
                              </a:moveTo>
                              <a:cubicBezTo>
                                <a:pt x="26186" y="33956"/>
                                <a:pt x="30120" y="24291"/>
                                <a:pt x="31649" y="14354"/>
                              </a:cubicBezTo>
                              <a:cubicBezTo>
                                <a:pt x="32338" y="9874"/>
                                <a:pt x="36186" y="4338"/>
                                <a:pt x="33285" y="856"/>
                              </a:cubicBezTo>
                              <a:cubicBezTo>
                                <a:pt x="31295" y="-1533"/>
                                <a:pt x="26952" y="1710"/>
                                <a:pt x="24286" y="3310"/>
                              </a:cubicBezTo>
                              <a:cubicBezTo>
                                <a:pt x="15682" y="8472"/>
                                <a:pt x="8622" y="16053"/>
                                <a:pt x="2199" y="23761"/>
                              </a:cubicBezTo>
                              <a:cubicBezTo>
                                <a:pt x="1177" y="24987"/>
                                <a:pt x="-1033" y="28261"/>
                                <a:pt x="563" y="28261"/>
                              </a:cubicBezTo>
                              <a:cubicBezTo>
                                <a:pt x="13856" y="28261"/>
                                <a:pt x="25265" y="18416"/>
                                <a:pt x="37784" y="13945"/>
                              </a:cubicBezTo>
                              <a:cubicBezTo>
                                <a:pt x="42745" y="12173"/>
                                <a:pt x="48436" y="9125"/>
                                <a:pt x="53327" y="11082"/>
                              </a:cubicBezTo>
                              <a:cubicBezTo>
                                <a:pt x="55887" y="12106"/>
                                <a:pt x="54649" y="16506"/>
                                <a:pt x="54554" y="19262"/>
                              </a:cubicBezTo>
                              <a:cubicBezTo>
                                <a:pt x="54276" y="27314"/>
                                <a:pt x="49919" y="35181"/>
                                <a:pt x="44737" y="41350"/>
                              </a:cubicBezTo>
                              <a:cubicBezTo>
                                <a:pt x="41078" y="45706"/>
                                <a:pt x="37195" y="49918"/>
                                <a:pt x="32876" y="53620"/>
                              </a:cubicBezTo>
                              <a:cubicBezTo>
                                <a:pt x="30885" y="55327"/>
                                <a:pt x="28104" y="58758"/>
                                <a:pt x="25922" y="57302"/>
                              </a:cubicBezTo>
                              <a:cubicBezTo>
                                <a:pt x="23530" y="55705"/>
                                <a:pt x="28052" y="51568"/>
                                <a:pt x="30422" y="49939"/>
                              </a:cubicBezTo>
                              <a:cubicBezTo>
                                <a:pt x="38069" y="44682"/>
                                <a:pt x="48567" y="45648"/>
                                <a:pt x="57826" y="45031"/>
                              </a:cubicBezTo>
                              <a:cubicBezTo>
                                <a:pt x="60990" y="44820"/>
                                <a:pt x="63269" y="48728"/>
                                <a:pt x="66416" y="49121"/>
                              </a:cubicBezTo>
                              <a:cubicBezTo>
                                <a:pt x="69081" y="49454"/>
                                <a:pt x="71230" y="46698"/>
                                <a:pt x="73778" y="45849"/>
                              </a:cubicBezTo>
                              <a:cubicBezTo>
                                <a:pt x="86422" y="41634"/>
                                <a:pt x="98461" y="34564"/>
                                <a:pt x="108136" y="25398"/>
                              </a:cubicBezTo>
                              <a:cubicBezTo>
                                <a:pt x="113740" y="20089"/>
                                <a:pt x="122226" y="14278"/>
                                <a:pt x="121634" y="6582"/>
                              </a:cubicBezTo>
                              <a:cubicBezTo>
                                <a:pt x="121298" y="2213"/>
                                <a:pt x="112672" y="6335"/>
                                <a:pt x="108545" y="7809"/>
                              </a:cubicBezTo>
                              <a:cubicBezTo>
                                <a:pt x="94587" y="12794"/>
                                <a:pt x="82112" y="21255"/>
                                <a:pt x="69279" y="28670"/>
                              </a:cubicBezTo>
                              <a:cubicBezTo>
                                <a:pt x="65689" y="30745"/>
                                <a:pt x="61944" y="32542"/>
                                <a:pt x="58235" y="34396"/>
                              </a:cubicBezTo>
                              <a:cubicBezTo>
                                <a:pt x="57575" y="34726"/>
                                <a:pt x="56308" y="34981"/>
                                <a:pt x="57008" y="35214"/>
                              </a:cubicBezTo>
                              <a:cubicBezTo>
                                <a:pt x="81210" y="43279"/>
                                <a:pt x="107937" y="28122"/>
                                <a:pt x="131860" y="19262"/>
                              </a:cubicBezTo>
                              <a:cubicBezTo>
                                <a:pt x="139906" y="16282"/>
                                <a:pt x="148077" y="9410"/>
                                <a:pt x="156401" y="11491"/>
                              </a:cubicBezTo>
                              <a:cubicBezTo>
                                <a:pt x="158602" y="12041"/>
                                <a:pt x="152758" y="14273"/>
                                <a:pt x="150675" y="15172"/>
                              </a:cubicBezTo>
                              <a:cubicBezTo>
                                <a:pt x="143771" y="18153"/>
                                <a:pt x="143940" y="18638"/>
                                <a:pt x="136768" y="20898"/>
                              </a:cubicBezTo>
                              <a:cubicBezTo>
                                <a:pt x="128963" y="23357"/>
                                <a:pt x="120814" y="25116"/>
                                <a:pt x="112636" y="25398"/>
                              </a:cubicBezTo>
                              <a:cubicBezTo>
                                <a:pt x="94624" y="26020"/>
                                <a:pt x="76577" y="20740"/>
                                <a:pt x="58644" y="22534"/>
                              </a:cubicBezTo>
                              <a:cubicBezTo>
                                <a:pt x="42486" y="24150"/>
                                <a:pt x="27012" y="30079"/>
                                <a:pt x="11606" y="35214"/>
                              </a:cubicBezTo>
                              <a:cubicBezTo>
                                <a:pt x="10442" y="35602"/>
                                <a:pt x="14063" y="35284"/>
                                <a:pt x="15288" y="35214"/>
                              </a:cubicBezTo>
                              <a:cubicBezTo>
                                <a:pt x="21019" y="34887"/>
                                <a:pt x="21002" y="34570"/>
                                <a:pt x="26740" y="34396"/>
                              </a:cubicBezTo>
                              <a:cubicBezTo>
                                <a:pt x="40809" y="33970"/>
                                <a:pt x="54894" y="35588"/>
                                <a:pt x="68870" y="37259"/>
                              </a:cubicBezTo>
                              <a:cubicBezTo>
                                <a:pt x="99349" y="40903"/>
                                <a:pt x="130249" y="35644"/>
                                <a:pt x="160901" y="3398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038600" cy="146685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038600" cy="1466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t xml:space="preserve">Greg Skrobarcek</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rFonts w:ascii="Baguet Script" w:cs="Baguet Script" w:eastAsia="Baguet Script" w:hAnsi="Baguet Script"/>
          <w:i w:val="1"/>
          <w:highlight w:val="black"/>
        </w:rPr>
      </w:pPr>
      <w:r w:rsidDel="00000000" w:rsidR="00000000" w:rsidRPr="00000000">
        <w:rPr>
          <w:rtl w:val="0"/>
        </w:rPr>
      </w:r>
    </w:p>
    <w:p w:rsidR="00000000" w:rsidDel="00000000" w:rsidP="00000000" w:rsidRDefault="00000000" w:rsidRPr="00000000" w14:paraId="00000040">
      <w:pPr>
        <w:spacing w:after="0" w:lineRule="auto"/>
        <w:rPr>
          <w:rFonts w:ascii="Baguet Script" w:cs="Baguet Script" w:eastAsia="Baguet Script" w:hAnsi="Baguet Script"/>
          <w:i w:val="1"/>
          <w:highlight w:val="black"/>
        </w:rPr>
      </w:pPr>
      <w:r w:rsidDel="00000000" w:rsidR="00000000" w:rsidRPr="00000000">
        <w:rPr>
          <w:rtl w:val="0"/>
        </w:rPr>
      </w:r>
    </w:p>
    <w:p w:rsidR="00000000" w:rsidDel="00000000" w:rsidP="00000000" w:rsidRDefault="00000000" w:rsidRPr="00000000" w14:paraId="00000041">
      <w:pPr>
        <w:spacing w:after="0" w:lineRule="auto"/>
        <w:rPr>
          <w:rFonts w:ascii="Baguet Script" w:cs="Baguet Script" w:eastAsia="Baguet Script" w:hAnsi="Baguet Script"/>
          <w:i w:val="1"/>
          <w:highlight w:val="black"/>
        </w:rPr>
      </w:pPr>
      <w:r w:rsidDel="00000000" w:rsidR="00000000" w:rsidRPr="00000000">
        <w:rPr>
          <w:rtl w:val="0"/>
        </w:rPr>
      </w:r>
    </w:p>
    <w:p w:rsidR="00000000" w:rsidDel="00000000" w:rsidP="00000000" w:rsidRDefault="00000000" w:rsidRPr="00000000" w14:paraId="00000042">
      <w:pPr>
        <w:spacing w:after="0" w:lineRule="auto"/>
        <w:rPr>
          <w:b w:val="1"/>
          <w:u w:val="single"/>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Baguet Scrip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63FC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63FC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63FC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63FC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63FC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63FC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63FC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63FC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63FC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63FC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63FC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63FC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63FC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63FC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63FC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63FC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63FC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63FC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63FC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63FC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63FC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63FC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63FC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63FCE"/>
    <w:rPr>
      <w:i w:val="1"/>
      <w:iCs w:val="1"/>
      <w:color w:val="404040" w:themeColor="text1" w:themeTint="0000BF"/>
    </w:rPr>
  </w:style>
  <w:style w:type="paragraph" w:styleId="ListParagraph">
    <w:name w:val="List Paragraph"/>
    <w:basedOn w:val="Normal"/>
    <w:uiPriority w:val="34"/>
    <w:qFormat w:val="1"/>
    <w:rsid w:val="00163FCE"/>
    <w:pPr>
      <w:ind w:left="720"/>
      <w:contextualSpacing w:val="1"/>
    </w:pPr>
  </w:style>
  <w:style w:type="character" w:styleId="IntenseEmphasis">
    <w:name w:val="Intense Emphasis"/>
    <w:basedOn w:val="DefaultParagraphFont"/>
    <w:uiPriority w:val="21"/>
    <w:qFormat w:val="1"/>
    <w:rsid w:val="00163FCE"/>
    <w:rPr>
      <w:i w:val="1"/>
      <w:iCs w:val="1"/>
      <w:color w:val="0f4761" w:themeColor="accent1" w:themeShade="0000BF"/>
    </w:rPr>
  </w:style>
  <w:style w:type="paragraph" w:styleId="IntenseQuote">
    <w:name w:val="Intense Quote"/>
    <w:basedOn w:val="Normal"/>
    <w:next w:val="Normal"/>
    <w:link w:val="IntenseQuoteChar"/>
    <w:uiPriority w:val="30"/>
    <w:qFormat w:val="1"/>
    <w:rsid w:val="00163FC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63FCE"/>
    <w:rPr>
      <w:i w:val="1"/>
      <w:iCs w:val="1"/>
      <w:color w:val="0f4761" w:themeColor="accent1" w:themeShade="0000BF"/>
    </w:rPr>
  </w:style>
  <w:style w:type="character" w:styleId="IntenseReference">
    <w:name w:val="Intense Reference"/>
    <w:basedOn w:val="DefaultParagraphFont"/>
    <w:uiPriority w:val="32"/>
    <w:qFormat w:val="1"/>
    <w:rsid w:val="00163FCE"/>
    <w:rPr>
      <w:b w:val="1"/>
      <w:bCs w:val="1"/>
      <w:smallCaps w:val="1"/>
      <w:color w:val="0f4761" w:themeColor="accent1" w:themeShade="0000BF"/>
      <w:spacing w:val="5"/>
    </w:rPr>
  </w:style>
  <w:style w:type="character" w:styleId="Hyperlink">
    <w:name w:val="Hyperlink"/>
    <w:basedOn w:val="DefaultParagraphFont"/>
    <w:uiPriority w:val="99"/>
    <w:unhideWhenUsed w:val="1"/>
    <w:rsid w:val="00CB1296"/>
    <w:rPr>
      <w:color w:val="467886" w:themeColor="hyperlink"/>
      <w:u w:val="single"/>
    </w:rPr>
  </w:style>
  <w:style w:type="character" w:styleId="UnresolvedMention">
    <w:name w:val="Unresolved Mention"/>
    <w:basedOn w:val="DefaultParagraphFont"/>
    <w:uiPriority w:val="99"/>
    <w:semiHidden w:val="1"/>
    <w:unhideWhenUsed w:val="1"/>
    <w:rsid w:val="00CB1296"/>
    <w:rPr>
      <w:color w:val="605e5c"/>
      <w:shd w:color="auto" w:fill="e1dfdd" w:val="clear"/>
    </w:rPr>
  </w:style>
  <w:style w:type="character" w:styleId="FollowedHyperlink">
    <w:name w:val="FollowedHyperlink"/>
    <w:basedOn w:val="DefaultParagraphFont"/>
    <w:uiPriority w:val="99"/>
    <w:semiHidden w:val="1"/>
    <w:unhideWhenUsed w:val="1"/>
    <w:rsid w:val="00F354A1"/>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ramtexas.org/calltoaction"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fAAybW9npRNQcPpDns1dqd7nQ==">CgMxLjA4AHIhMS1HZEk3ak5ZNElkMWVMRkE0X3AwbTR4Q0RwY1g5TDhf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2025-01-16T16:10:00Z</dcterms:created>
  <dc:creator>Milann Guckian</dc:creator>
</cp:coreProperties>
</file>