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2">
      <w:pPr>
        <w:rPr>
          <w:rFonts w:ascii="Roboto" w:cs="Roboto" w:eastAsia="Roboto" w:hAnsi="Roboto"/>
          <w:i w:val="1"/>
          <w:sz w:val="22"/>
          <w:szCs w:val="22"/>
        </w:rPr>
      </w:pPr>
      <w:r w:rsidDel="00000000" w:rsidR="00000000" w:rsidRPr="00000000">
        <w:rPr>
          <w:rFonts w:ascii="Roboto" w:cs="Roboto" w:eastAsia="Roboto" w:hAnsi="Roboto"/>
          <w:sz w:val="22"/>
          <w:szCs w:val="22"/>
          <w:rtl w:val="0"/>
        </w:rPr>
        <w:t xml:space="preserve">Gwen Ricco </w:t>
        <w:tab/>
        <w:tab/>
        <w:tab/>
        <w:tab/>
        <w:tab/>
        <w:tab/>
        <w:tab/>
        <w:tab/>
        <w:tab/>
      </w:r>
      <w:r w:rsidDel="00000000" w:rsidR="00000000" w:rsidRPr="00000000">
        <w:rPr>
          <w:rFonts w:ascii="Roboto" w:cs="Roboto" w:eastAsia="Roboto" w:hAnsi="Roboto"/>
          <w:i w:val="1"/>
          <w:sz w:val="22"/>
          <w:szCs w:val="22"/>
          <w:rtl w:val="0"/>
        </w:rPr>
        <w:t xml:space="preserve">Via electronic filing</w:t>
      </w:r>
    </w:p>
    <w:p w:rsidR="00000000" w:rsidDel="00000000" w:rsidP="00000000" w:rsidRDefault="00000000" w:rsidRPr="00000000" w14:paraId="0000000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Office of Legal Services</w:t>
      </w:r>
      <w:r w:rsidDel="00000000" w:rsidR="00000000" w:rsidRPr="00000000">
        <w:rPr>
          <w:rtl w:val="0"/>
        </w:rPr>
      </w:r>
    </w:p>
    <w:p w:rsidR="00000000" w:rsidDel="00000000" w:rsidP="00000000" w:rsidRDefault="00000000" w:rsidRPr="00000000" w14:paraId="0000000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Texas Commission on Environmental Quality</w:t>
      </w:r>
    </w:p>
    <w:p w:rsidR="00000000" w:rsidDel="00000000" w:rsidP="00000000" w:rsidRDefault="00000000" w:rsidRPr="00000000" w14:paraId="0000000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P.O. Box 13087, MC 205</w:t>
      </w:r>
    </w:p>
    <w:p w:rsidR="00000000" w:rsidDel="00000000" w:rsidP="00000000" w:rsidRDefault="00000000" w:rsidRPr="00000000" w14:paraId="0000000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Austin, Texas 78711-3087</w:t>
      </w:r>
    </w:p>
    <w:p w:rsidR="00000000" w:rsidDel="00000000" w:rsidP="00000000" w:rsidRDefault="00000000" w:rsidRPr="00000000" w14:paraId="0000000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Re: Updates to Public Participation Rules to Implement Sunset Legislation - RPN 2024-003-039-LS</w:t>
      </w:r>
    </w:p>
    <w:p w:rsidR="00000000" w:rsidDel="00000000" w:rsidP="00000000" w:rsidRDefault="00000000" w:rsidRPr="00000000" w14:paraId="0000000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A">
      <w:pPr>
        <w:pageBreakBefore w:val="0"/>
        <w:spacing w:line="48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Dear TCEQ Commissioners, </w:t>
      </w:r>
    </w:p>
    <w:p w:rsidR="00000000" w:rsidDel="00000000" w:rsidP="00000000" w:rsidRDefault="00000000" w:rsidRPr="00000000" w14:paraId="0000000B">
      <w:pPr>
        <w:pageBreakBefore w:val="0"/>
        <w:spacing w:line="480"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C">
      <w:pPr>
        <w:spacing w:line="480" w:lineRule="auto"/>
        <w:rPr>
          <w:rFonts w:ascii="Arial" w:cs="Arial" w:eastAsia="Arial" w:hAnsi="Arial"/>
          <w:sz w:val="22"/>
          <w:szCs w:val="22"/>
        </w:rPr>
      </w:pPr>
      <w:r w:rsidDel="00000000" w:rsidR="00000000" w:rsidRPr="00000000">
        <w:rPr>
          <w:rFonts w:ascii="Roboto" w:cs="Roboto" w:eastAsia="Roboto" w:hAnsi="Roboto"/>
          <w:sz w:val="22"/>
          <w:szCs w:val="22"/>
          <w:rtl w:val="0"/>
        </w:rPr>
        <w:t xml:space="preserve">Thank you for the opportunity to comment on RPN 2024-003-039-LS</w:t>
      </w:r>
      <w:r w:rsidDel="00000000" w:rsidR="00000000" w:rsidRPr="00000000">
        <w:rPr>
          <w:rFonts w:ascii="Roboto" w:cs="Roboto" w:eastAsia="Roboto" w:hAnsi="Roboto"/>
          <w:sz w:val="22"/>
          <w:szCs w:val="22"/>
          <w:highlight w:val="white"/>
          <w:rtl w:val="0"/>
        </w:rPr>
        <w:t xml:space="preserve">- Updates to Public Participation Rules to Implement Sunset Legislation</w:t>
      </w:r>
      <w:r w:rsidDel="00000000" w:rsidR="00000000" w:rsidRPr="00000000">
        <w:rPr>
          <w:rFonts w:ascii="Roboto" w:cs="Roboto" w:eastAsia="Roboto" w:hAnsi="Roboto"/>
          <w:sz w:val="22"/>
          <w:szCs w:val="22"/>
          <w:rtl w:val="0"/>
        </w:rPr>
        <w:t xml:space="preserve">. </w:t>
      </w:r>
      <w:r w:rsidDel="00000000" w:rsidR="00000000" w:rsidRPr="00000000">
        <w:rPr>
          <w:rFonts w:ascii="Arial" w:cs="Arial" w:eastAsia="Arial" w:hAnsi="Arial"/>
          <w:sz w:val="22"/>
          <w:szCs w:val="22"/>
          <w:rtl w:val="0"/>
        </w:rPr>
        <w:t xml:space="preserve">My name is Genesis Granados, and I am the Senior Manager of Environmental Justice Programs at Air Alliance Houston. I am sending this letter on behalf of Air Alliance Houston and the proposed changes to Chapters 39 and 55. We commend the TCEQ for implementing intentional public participatory changes brought on by their Sunset Review process and stakeholder meetings. These changes will strengthen aspects of their Sunset bill, especially when it comes to promoting transparency, communication, and strengthening opportunities for public engagement in the permitting process for air permits. </w:t>
      </w:r>
    </w:p>
    <w:p w:rsidR="00000000" w:rsidDel="00000000" w:rsidP="00000000" w:rsidRDefault="00000000" w:rsidRPr="00000000" w14:paraId="0000000D">
      <w:pPr>
        <w:spacing w:after="240" w:before="240"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proposed amendments to Chapter 55, along with rulemaking changes to Chapter 39, will help expand definitions within the public participation process, making language more accessible, reflecting clearer stakeholder feedback requests, and creating less complex, accessible rules to facilitate public participation. Along with these changes, requiring permit information to be posted on the TCEQ website and expanding sign posting requirements at facility sites (with larger signs and longer posting times) can help to ensure that information is visible and accessible from the beginning to the end of the permitting process. These amendments will contribute to ensuring that our impacted communities are better able to meaningfully engage in decisions that affect them and their health in a manner that they can understand, but also actively participate. A thing for TCEQ to keep in mind is the misuse of public notice guidelines by industry that often limits the exposure of the information (i.e. not posting notices in a relevant newspaper of the community or public areas of use by the community) and ask is for better agency awareness and system of accountability that will ensure that applicants will do their due diligence of truly informing and updating communities about their permits. </w:t>
      </w:r>
    </w:p>
    <w:p w:rsidR="00000000" w:rsidDel="00000000" w:rsidP="00000000" w:rsidRDefault="00000000" w:rsidRPr="00000000" w14:paraId="0000000E">
      <w:pPr>
        <w:spacing w:after="240" w:before="240"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Additionally, extending the comment submission and timeframe to request a contested case hearing following a public meeting to at least 36 hours after for air quality permit applications with consolidated notice provides more opportunity for community members to participate, especially those who become aware of permits after the public meeting. With that said, expanding this timeframe for all permit types, not limited to consolidated notices, would even further expand resident participation. Furthermore, clarifying the Executive Director's role in extending comment periods and outlining the communication actions to inform residents of the time extension will provide adequate time for reviewing, understanding, and responding to complex permits.</w:t>
      </w:r>
    </w:p>
    <w:p w:rsidR="00000000" w:rsidDel="00000000" w:rsidP="00000000" w:rsidRDefault="00000000" w:rsidRPr="00000000" w14:paraId="0000000F">
      <w:pPr>
        <w:spacing w:after="240" w:before="240"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Clarifying the criteria for requesting Contested Case Hearings and expanding the authority to allow any legislator to request a permit meeting for certain permits will broaden opportunities for accountability and ensure that elected officials can better represent the interests of their constituents. </w:t>
      </w:r>
    </w:p>
    <w:p w:rsidR="00000000" w:rsidDel="00000000" w:rsidP="00000000" w:rsidRDefault="00000000" w:rsidRPr="00000000" w14:paraId="00000010">
      <w:pPr>
        <w:spacing w:after="240" w:before="240"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Overall, these rule changes reflect the initial steps that the TCEQ is taking toward building trust, accessibility, and transparency in the permitting process with our communities. TCEQ has an opportunity to become a robust regulator with these changes; Air Alliance Houston urges TCEQ to adopt and fully implement them, and to continue identifying accessible ways to ensure all Texans have meaningful participation in decisions that affect their health and environment. </w:t>
      </w:r>
    </w:p>
    <w:p w:rsidR="00000000" w:rsidDel="00000000" w:rsidP="00000000" w:rsidRDefault="00000000" w:rsidRPr="00000000" w14:paraId="00000011">
      <w:pPr>
        <w:spacing w:after="240" w:before="240"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 you for the opportunity to comment.</w:t>
      </w:r>
    </w:p>
    <w:p w:rsidR="00000000" w:rsidDel="00000000" w:rsidP="00000000" w:rsidRDefault="00000000" w:rsidRPr="00000000" w14:paraId="00000012">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Regards,</w:t>
      </w:r>
    </w:p>
    <w:p w:rsidR="00000000" w:rsidDel="00000000" w:rsidP="00000000" w:rsidRDefault="00000000" w:rsidRPr="00000000" w14:paraId="00000013">
      <w:pPr>
        <w:spacing w:line="480" w:lineRule="auto"/>
        <w:rPr>
          <w:rFonts w:ascii="Arial" w:cs="Arial" w:eastAsia="Arial" w:hAnsi="Arial"/>
          <w:sz w:val="22"/>
          <w:szCs w:val="22"/>
        </w:rPr>
      </w:pPr>
      <w:r w:rsidDel="00000000" w:rsidR="00000000" w:rsidRPr="00000000">
        <w:rPr>
          <w:rFonts w:ascii="Arial" w:cs="Arial" w:eastAsia="Arial" w:hAnsi="Arial"/>
          <w:sz w:val="22"/>
          <w:szCs w:val="22"/>
        </w:rPr>
        <mc:AlternateContent>
          <mc:Choice Requires="wpg">
            <w:drawing>
              <wp:inline distB="114300" distT="114300" distL="114300" distR="114300">
                <wp:extent cx="959605" cy="710357"/>
                <wp:effectExtent b="0" l="0" r="0" t="0"/>
                <wp:docPr id="3" name=""/>
                <a:graphic>
                  <a:graphicData uri="http://schemas.microsoft.com/office/word/2010/wordprocessingGroup">
                    <wpg:wgp>
                      <wpg:cNvGrpSpPr/>
                      <wpg:grpSpPr>
                        <a:xfrm>
                          <a:off x="294375" y="279875"/>
                          <a:ext cx="959605" cy="710357"/>
                          <a:chOff x="294375" y="279875"/>
                          <a:chExt cx="4400225" cy="3279000"/>
                        </a:xfrm>
                      </wpg:grpSpPr>
                      <wps:wsp>
                        <wps:cNvSpPr/>
                        <wps:cNvPr id="2" name="Shape 2"/>
                        <wps:spPr>
                          <a:xfrm>
                            <a:off x="294375" y="674913"/>
                            <a:ext cx="1672875" cy="2687850"/>
                          </a:xfrm>
                          <a:custGeom>
                            <a:rect b="b" l="l" r="r" t="t"/>
                            <a:pathLst>
                              <a:path extrusionOk="0" h="107514" w="66915">
                                <a:moveTo>
                                  <a:pt x="0" y="71265"/>
                                </a:moveTo>
                                <a:cubicBezTo>
                                  <a:pt x="19032" y="71265"/>
                                  <a:pt x="30446" y="42751"/>
                                  <a:pt x="31671" y="23759"/>
                                </a:cubicBezTo>
                                <a:cubicBezTo>
                                  <a:pt x="32114" y="16897"/>
                                  <a:pt x="33238" y="7932"/>
                                  <a:pt x="28017" y="3457"/>
                                </a:cubicBezTo>
                                <a:cubicBezTo>
                                  <a:pt x="24227" y="209"/>
                                  <a:pt x="19417" y="9049"/>
                                  <a:pt x="16648" y="13202"/>
                                </a:cubicBezTo>
                                <a:cubicBezTo>
                                  <a:pt x="12409" y="19560"/>
                                  <a:pt x="6057" y="26856"/>
                                  <a:pt x="7715" y="34316"/>
                                </a:cubicBezTo>
                                <a:cubicBezTo>
                                  <a:pt x="8413" y="37457"/>
                                  <a:pt x="13838" y="36652"/>
                                  <a:pt x="17054" y="36752"/>
                                </a:cubicBezTo>
                                <a:cubicBezTo>
                                  <a:pt x="34387" y="37294"/>
                                  <a:pt x="52505" y="25196"/>
                                  <a:pt x="62124" y="10766"/>
                                </a:cubicBezTo>
                                <a:cubicBezTo>
                                  <a:pt x="64189" y="7667"/>
                                  <a:pt x="69109" y="1874"/>
                                  <a:pt x="65778" y="209"/>
                                </a:cubicBezTo>
                                <a:cubicBezTo>
                                  <a:pt x="64200" y="-580"/>
                                  <a:pt x="62324" y="1605"/>
                                  <a:pt x="61312" y="3051"/>
                                </a:cubicBezTo>
                                <a:cubicBezTo>
                                  <a:pt x="56276" y="10246"/>
                                  <a:pt x="52678" y="18540"/>
                                  <a:pt x="50349" y="27007"/>
                                </a:cubicBezTo>
                                <a:cubicBezTo>
                                  <a:pt x="45949" y="43005"/>
                                  <a:pt x="45732" y="59954"/>
                                  <a:pt x="45477" y="76544"/>
                                </a:cubicBezTo>
                                <a:cubicBezTo>
                                  <a:pt x="45375" y="83177"/>
                                  <a:pt x="45264" y="89836"/>
                                  <a:pt x="45883" y="96440"/>
                                </a:cubicBezTo>
                                <a:cubicBezTo>
                                  <a:pt x="46214" y="99967"/>
                                  <a:pt x="50270" y="105413"/>
                                  <a:pt x="47101" y="106997"/>
                                </a:cubicBezTo>
                                <a:cubicBezTo>
                                  <a:pt x="41022" y="110035"/>
                                  <a:pt x="27678" y="97591"/>
                                  <a:pt x="32483" y="9278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086150" y="1903661"/>
                            <a:ext cx="1147075" cy="303750"/>
                          </a:xfrm>
                          <a:custGeom>
                            <a:rect b="b" l="l" r="r" t="t"/>
                            <a:pathLst>
                              <a:path extrusionOk="0" h="12150" w="45883">
                                <a:moveTo>
                                  <a:pt x="0" y="10340"/>
                                </a:moveTo>
                                <a:cubicBezTo>
                                  <a:pt x="4789" y="10340"/>
                                  <a:pt x="12698" y="4879"/>
                                  <a:pt x="10557" y="595"/>
                                </a:cubicBezTo>
                                <a:cubicBezTo>
                                  <a:pt x="9041" y="-2439"/>
                                  <a:pt x="3079" y="7357"/>
                                  <a:pt x="5685" y="9528"/>
                                </a:cubicBezTo>
                                <a:cubicBezTo>
                                  <a:pt x="9337" y="12572"/>
                                  <a:pt x="16534" y="4948"/>
                                  <a:pt x="19896" y="8310"/>
                                </a:cubicBezTo>
                                <a:cubicBezTo>
                                  <a:pt x="26024" y="14438"/>
                                  <a:pt x="37661" y="11861"/>
                                  <a:pt x="45883" y="912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299325" y="284510"/>
                            <a:ext cx="3421425" cy="3271000"/>
                          </a:xfrm>
                          <a:custGeom>
                            <a:rect b="b" l="l" r="r" t="t"/>
                            <a:pathLst>
                              <a:path extrusionOk="0" h="130840" w="136857">
                                <a:moveTo>
                                  <a:pt x="35731" y="102311"/>
                                </a:moveTo>
                                <a:cubicBezTo>
                                  <a:pt x="42389" y="101706"/>
                                  <a:pt x="48942" y="97225"/>
                                  <a:pt x="52785" y="91754"/>
                                </a:cubicBezTo>
                                <a:cubicBezTo>
                                  <a:pt x="64511" y="75059"/>
                                  <a:pt x="74481" y="56386"/>
                                  <a:pt x="79178" y="36533"/>
                                </a:cubicBezTo>
                                <a:cubicBezTo>
                                  <a:pt x="81483" y="26789"/>
                                  <a:pt x="83650" y="16897"/>
                                  <a:pt x="84050" y="6892"/>
                                </a:cubicBezTo>
                                <a:cubicBezTo>
                                  <a:pt x="84137" y="4724"/>
                                  <a:pt x="85585" y="1365"/>
                                  <a:pt x="83644" y="395"/>
                                </a:cubicBezTo>
                                <a:cubicBezTo>
                                  <a:pt x="79257" y="-1798"/>
                                  <a:pt x="75265" y="5847"/>
                                  <a:pt x="72275" y="9734"/>
                                </a:cubicBezTo>
                                <a:cubicBezTo>
                                  <a:pt x="67883" y="15444"/>
                                  <a:pt x="64586" y="22212"/>
                                  <a:pt x="62936" y="29224"/>
                                </a:cubicBezTo>
                                <a:cubicBezTo>
                                  <a:pt x="62254" y="32123"/>
                                  <a:pt x="60830" y="36051"/>
                                  <a:pt x="62936" y="38157"/>
                                </a:cubicBezTo>
                                <a:cubicBezTo>
                                  <a:pt x="66071" y="41292"/>
                                  <a:pt x="71504" y="40731"/>
                                  <a:pt x="75929" y="40999"/>
                                </a:cubicBezTo>
                                <a:cubicBezTo>
                                  <a:pt x="89180" y="41802"/>
                                  <a:pt x="105109" y="36210"/>
                                  <a:pt x="112473" y="25164"/>
                                </a:cubicBezTo>
                                <a:cubicBezTo>
                                  <a:pt x="114069" y="22770"/>
                                  <a:pt x="108409" y="29283"/>
                                  <a:pt x="106788" y="31660"/>
                                </a:cubicBezTo>
                                <a:cubicBezTo>
                                  <a:pt x="100786" y="40462"/>
                                  <a:pt x="95749" y="50048"/>
                                  <a:pt x="92171" y="60083"/>
                                </a:cubicBezTo>
                                <a:cubicBezTo>
                                  <a:pt x="86506" y="75970"/>
                                  <a:pt x="82108" y="92281"/>
                                  <a:pt x="77147" y="108402"/>
                                </a:cubicBezTo>
                                <a:cubicBezTo>
                                  <a:pt x="74826" y="115945"/>
                                  <a:pt x="74983" y="126269"/>
                                  <a:pt x="68215" y="130328"/>
                                </a:cubicBezTo>
                                <a:cubicBezTo>
                                  <a:pt x="63075" y="133411"/>
                                  <a:pt x="61527" y="119991"/>
                                  <a:pt x="60500" y="114086"/>
                                </a:cubicBezTo>
                                <a:cubicBezTo>
                                  <a:pt x="58129" y="100450"/>
                                  <a:pt x="53962" y="77730"/>
                                  <a:pt x="66996" y="73076"/>
                                </a:cubicBezTo>
                                <a:cubicBezTo>
                                  <a:pt x="71921" y="71317"/>
                                  <a:pt x="77570" y="68292"/>
                                  <a:pt x="82426" y="70234"/>
                                </a:cubicBezTo>
                                <a:cubicBezTo>
                                  <a:pt x="85578" y="71495"/>
                                  <a:pt x="79945" y="81208"/>
                                  <a:pt x="83238" y="80385"/>
                                </a:cubicBezTo>
                                <a:cubicBezTo>
                                  <a:pt x="85208" y="79893"/>
                                  <a:pt x="86140" y="77222"/>
                                  <a:pt x="88110" y="76730"/>
                                </a:cubicBezTo>
                                <a:cubicBezTo>
                                  <a:pt x="90437" y="76148"/>
                                  <a:pt x="92621" y="78590"/>
                                  <a:pt x="95013" y="78761"/>
                                </a:cubicBezTo>
                                <a:cubicBezTo>
                                  <a:pt x="98002" y="78974"/>
                                  <a:pt x="102813" y="78825"/>
                                  <a:pt x="103540" y="75918"/>
                                </a:cubicBezTo>
                                <a:cubicBezTo>
                                  <a:pt x="104329" y="72761"/>
                                  <a:pt x="90967" y="78402"/>
                                  <a:pt x="94201" y="78761"/>
                                </a:cubicBezTo>
                                <a:cubicBezTo>
                                  <a:pt x="101420" y="79563"/>
                                  <a:pt x="108832" y="74415"/>
                                  <a:pt x="113691" y="69016"/>
                                </a:cubicBezTo>
                                <a:cubicBezTo>
                                  <a:pt x="115650" y="66840"/>
                                  <a:pt x="117336" y="64365"/>
                                  <a:pt x="118563" y="61707"/>
                                </a:cubicBezTo>
                                <a:cubicBezTo>
                                  <a:pt x="119101" y="60541"/>
                                  <a:pt x="120850" y="57341"/>
                                  <a:pt x="119782" y="58053"/>
                                </a:cubicBezTo>
                                <a:cubicBezTo>
                                  <a:pt x="115603" y="60839"/>
                                  <a:pt x="112314" y="69401"/>
                                  <a:pt x="116127" y="72670"/>
                                </a:cubicBezTo>
                                <a:cubicBezTo>
                                  <a:pt x="118104" y="74364"/>
                                  <a:pt x="121316" y="73257"/>
                                  <a:pt x="123842" y="73888"/>
                                </a:cubicBezTo>
                                <a:cubicBezTo>
                                  <a:pt x="127666" y="74844"/>
                                  <a:pt x="131270" y="77137"/>
                                  <a:pt x="135211" y="77137"/>
                                </a:cubicBezTo>
                                <a:cubicBezTo>
                                  <a:pt x="137241" y="77137"/>
                                  <a:pt x="131148" y="77227"/>
                                  <a:pt x="129120" y="77137"/>
                                </a:cubicBezTo>
                                <a:cubicBezTo>
                                  <a:pt x="118836" y="76679"/>
                                  <a:pt x="108551" y="76230"/>
                                  <a:pt x="98261" y="75918"/>
                                </a:cubicBezTo>
                                <a:cubicBezTo>
                                  <a:pt x="65500" y="74925"/>
                                  <a:pt x="32776" y="72264"/>
                                  <a:pt x="0" y="7226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959605" cy="710357"/>
                <wp:effectExtent b="0" l="0" r="0" t="0"/>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9605" cy="7103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Genesis Granados</w:t>
      </w:r>
    </w:p>
    <w:p w:rsidR="00000000" w:rsidDel="00000000" w:rsidP="00000000" w:rsidRDefault="00000000" w:rsidRPr="00000000" w14:paraId="00000015">
      <w:pPr>
        <w:spacing w:line="48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Senior Manager </w:t>
      </w:r>
    </w:p>
    <w:p w:rsidR="00000000" w:rsidDel="00000000" w:rsidP="00000000" w:rsidRDefault="00000000" w:rsidRPr="00000000" w14:paraId="00000016">
      <w:pPr>
        <w:spacing w:line="48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Environmental Justice Programs</w:t>
      </w:r>
    </w:p>
    <w:p w:rsidR="00000000" w:rsidDel="00000000" w:rsidP="00000000" w:rsidRDefault="00000000" w:rsidRPr="00000000" w14:paraId="00000017">
      <w:pPr>
        <w:spacing w:line="480" w:lineRule="auto"/>
        <w:rPr>
          <w:rFonts w:ascii="Arial" w:cs="Arial" w:eastAsia="Arial" w:hAnsi="Arial"/>
          <w:sz w:val="22"/>
          <w:szCs w:val="22"/>
        </w:rPr>
      </w:pPr>
      <w:r w:rsidDel="00000000" w:rsidR="00000000" w:rsidRPr="00000000">
        <w:rPr>
          <w:rtl w:val="0"/>
        </w:rPr>
      </w:r>
    </w:p>
    <w:tbl>
      <w:tblPr>
        <w:tblStyle w:val="Table1"/>
        <w:tblW w:w="4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tblGridChange w:id="0">
          <w:tblGrid>
            <w:gridCol w:w="4545"/>
          </w:tblGrid>
        </w:tblGridChange>
      </w:tblGrid>
      <w:tr>
        <w:trPr>
          <w:cantSplit w:val="0"/>
          <w:trHeight w:val="208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20.0" w:type="dxa"/>
            </w:tcMar>
            <w:vAlign w:val="top"/>
          </w:tcPr>
          <w:p w:rsidR="00000000" w:rsidDel="00000000" w:rsidP="00000000" w:rsidRDefault="00000000" w:rsidRPr="00000000" w14:paraId="00000018">
            <w:pPr>
              <w:spacing w:line="480" w:lineRule="auto"/>
              <w:rPr>
                <w:rFonts w:ascii="Arial" w:cs="Arial" w:eastAsia="Arial" w:hAnsi="Arial"/>
                <w:sz w:val="22"/>
                <w:szCs w:val="22"/>
              </w:rPr>
            </w:pPr>
            <w:r w:rsidDel="00000000" w:rsidR="00000000" w:rsidRPr="00000000">
              <w:rPr>
                <w:rtl w:val="0"/>
              </w:rPr>
            </w:r>
          </w:p>
          <w:tbl>
            <w:tblPr>
              <w:tblStyle w:val="Table2"/>
              <w:tblW w:w="4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tblGridChange w:id="0">
                <w:tblGrid>
                  <w:gridCol w:w="4530"/>
                </w:tblGrid>
              </w:tblGridChange>
            </w:tblGrid>
            <w:tr>
              <w:trPr>
                <w:cantSplit w:val="0"/>
                <w:trHeight w:val="20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20.0" w:type="dxa"/>
                  </w:tcMar>
                  <w:vAlign w:val="top"/>
                </w:tcPr>
                <w:p w:rsidR="00000000" w:rsidDel="00000000" w:rsidP="00000000" w:rsidRDefault="00000000" w:rsidRPr="00000000" w14:paraId="00000019">
                  <w:pPr>
                    <w:spacing w:line="480" w:lineRule="auto"/>
                    <w:rPr>
                      <w:rFonts w:ascii="Arial" w:cs="Arial" w:eastAsia="Arial" w:hAnsi="Arial"/>
                      <w:sz w:val="22"/>
                      <w:szCs w:val="22"/>
                    </w:rPr>
                  </w:pPr>
                  <w:r w:rsidDel="00000000" w:rsidR="00000000" w:rsidRPr="00000000">
                    <w:rPr>
                      <w:rtl w:val="0"/>
                    </w:rPr>
                  </w:r>
                </w:p>
                <w:tbl>
                  <w:tblPr>
                    <w:tblStyle w:val="Table3"/>
                    <w:tblW w:w="4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tblGridChange w:id="0">
                      <w:tblGrid>
                        <w:gridCol w:w="4410"/>
                      </w:tblGrid>
                    </w:tblGridChange>
                  </w:tblGrid>
                  <w:tr>
                    <w:trPr>
                      <w:cantSplit w:val="0"/>
                      <w:trHeight w:val="6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60.0" w:type="dxa"/>
                          <w:right w:w="20.0" w:type="dxa"/>
                        </w:tcMar>
                        <w:vAlign w:val="top"/>
                      </w:tcPr>
                      <w:p w:rsidR="00000000" w:rsidDel="00000000" w:rsidP="00000000" w:rsidRDefault="00000000" w:rsidRPr="00000000" w14:paraId="0000001A">
                        <w:pPr>
                          <w:spacing w:after="20" w:before="20" w:line="324.00000000000006" w:lineRule="auto"/>
                          <w:ind w:left="20" w:right="20" w:firstLine="0"/>
                          <w:rPr>
                            <w:rFonts w:ascii="Arial" w:cs="Arial" w:eastAsia="Arial" w:hAnsi="Arial"/>
                            <w:color w:val="222222"/>
                            <w:sz w:val="22"/>
                            <w:szCs w:val="22"/>
                          </w:rPr>
                        </w:pPr>
                        <w:r w:rsidDel="00000000" w:rsidR="00000000" w:rsidRPr="00000000">
                          <w:rPr>
                            <w:rtl w:val="0"/>
                          </w:rPr>
                        </w:r>
                      </w:p>
                    </w:tc>
                  </w:tr>
                  <w:tr>
                    <w:trPr>
                      <w:cantSplit w:val="0"/>
                      <w:trHeight w:val="9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0.0" w:type="dxa"/>
                        </w:tcMar>
                        <w:vAlign w:val="top"/>
                      </w:tcPr>
                      <w:p w:rsidR="00000000" w:rsidDel="00000000" w:rsidP="00000000" w:rsidRDefault="00000000" w:rsidRPr="00000000" w14:paraId="0000001B">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0.0" w:type="dxa"/>
                        </w:tcMar>
                        <w:vAlign w:val="top"/>
                      </w:tcPr>
                      <w:p w:rsidR="00000000" w:rsidDel="00000000" w:rsidP="00000000" w:rsidRDefault="00000000" w:rsidRPr="00000000" w14:paraId="0000001C">
                        <w:pPr>
                          <w:spacing w:line="480" w:lineRule="auto"/>
                          <w:rPr>
                            <w:rFonts w:ascii="Times New Roman" w:cs="Times New Roman" w:eastAsia="Times New Roman" w:hAnsi="Times New Roman"/>
                            <w:color w:val="222222"/>
                            <w:sz w:val="22"/>
                            <w:szCs w:val="22"/>
                          </w:rPr>
                        </w:pPr>
                        <w:r w:rsidDel="00000000" w:rsidR="00000000" w:rsidRPr="00000000">
                          <w:rPr>
                            <w:rtl w:val="0"/>
                          </w:rPr>
                        </w:r>
                      </w:p>
                      <w:tbl>
                        <w:tblPr>
                          <w:tblStyle w:val="Table4"/>
                          <w:tblW w:w="2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30"/>
                          <w:gridCol w:w="390"/>
                          <w:gridCol w:w="30"/>
                          <w:gridCol w:w="390"/>
                          <w:gridCol w:w="30"/>
                          <w:gridCol w:w="390"/>
                          <w:gridCol w:w="30"/>
                          <w:gridCol w:w="390"/>
                          <w:gridCol w:w="30"/>
                          <w:tblGridChange w:id="0">
                            <w:tblGrid>
                              <w:gridCol w:w="390"/>
                              <w:gridCol w:w="30"/>
                              <w:gridCol w:w="390"/>
                              <w:gridCol w:w="30"/>
                              <w:gridCol w:w="390"/>
                              <w:gridCol w:w="30"/>
                              <w:gridCol w:w="390"/>
                              <w:gridCol w:w="30"/>
                              <w:gridCol w:w="390"/>
                              <w:gridCol w:w="30"/>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0.0" w:type="dxa"/>
                                <w:bottom w:w="0.0" w:type="dxa"/>
                                <w:right w:w="20.0" w:type="dxa"/>
                              </w:tcMar>
                              <w:vAlign w:val="top"/>
                            </w:tcPr>
                            <w:p w:rsidR="00000000" w:rsidDel="00000000" w:rsidP="00000000" w:rsidRDefault="00000000" w:rsidRPr="00000000" w14:paraId="0000001D">
                              <w:pPr>
                                <w:spacing w:after="20" w:before="20" w:line="480" w:lineRule="auto"/>
                                <w:ind w:left="20" w:right="20" w:firstLine="0"/>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20.0" w:type="dxa"/>
                                <w:right w:w="0.0" w:type="dxa"/>
                              </w:tcMar>
                              <w:vAlign w:val="top"/>
                            </w:tcPr>
                            <w:p w:rsidR="00000000" w:rsidDel="00000000" w:rsidP="00000000" w:rsidRDefault="00000000" w:rsidRPr="00000000" w14:paraId="0000001E">
                              <w:pPr>
                                <w:spacing w:line="480" w:lineRule="auto"/>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0.0" w:type="dxa"/>
                                <w:bottom w:w="0.0" w:type="dxa"/>
                                <w:right w:w="20.0" w:type="dxa"/>
                              </w:tcMar>
                              <w:vAlign w:val="top"/>
                            </w:tcPr>
                            <w:p w:rsidR="00000000" w:rsidDel="00000000" w:rsidP="00000000" w:rsidRDefault="00000000" w:rsidRPr="00000000" w14:paraId="0000001F">
                              <w:pPr>
                                <w:spacing w:after="20" w:before="20" w:line="480" w:lineRule="auto"/>
                                <w:ind w:left="20" w:right="20" w:firstLine="0"/>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20.0" w:type="dxa"/>
                                <w:right w:w="0.0" w:type="dxa"/>
                              </w:tcMar>
                              <w:vAlign w:val="top"/>
                            </w:tcPr>
                            <w:p w:rsidR="00000000" w:rsidDel="00000000" w:rsidP="00000000" w:rsidRDefault="00000000" w:rsidRPr="00000000" w14:paraId="00000020">
                              <w:pPr>
                                <w:spacing w:line="480" w:lineRule="auto"/>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0.0" w:type="dxa"/>
                                <w:bottom w:w="0.0" w:type="dxa"/>
                                <w:right w:w="20.0" w:type="dxa"/>
                              </w:tcMar>
                              <w:vAlign w:val="top"/>
                            </w:tcPr>
                            <w:p w:rsidR="00000000" w:rsidDel="00000000" w:rsidP="00000000" w:rsidRDefault="00000000" w:rsidRPr="00000000" w14:paraId="00000021">
                              <w:pPr>
                                <w:spacing w:after="20" w:before="20" w:line="480" w:lineRule="auto"/>
                                <w:ind w:left="20" w:right="20" w:firstLine="0"/>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20.0" w:type="dxa"/>
                                <w:right w:w="0.0" w:type="dxa"/>
                              </w:tcMar>
                              <w:vAlign w:val="top"/>
                            </w:tcPr>
                            <w:p w:rsidR="00000000" w:rsidDel="00000000" w:rsidP="00000000" w:rsidRDefault="00000000" w:rsidRPr="00000000" w14:paraId="00000022">
                              <w:pPr>
                                <w:spacing w:line="480" w:lineRule="auto"/>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0.0" w:type="dxa"/>
                                <w:bottom w:w="0.0" w:type="dxa"/>
                                <w:right w:w="20.0" w:type="dxa"/>
                              </w:tcMar>
                              <w:vAlign w:val="top"/>
                            </w:tcPr>
                            <w:p w:rsidR="00000000" w:rsidDel="00000000" w:rsidP="00000000" w:rsidRDefault="00000000" w:rsidRPr="00000000" w14:paraId="00000023">
                              <w:pPr>
                                <w:spacing w:after="20" w:before="20" w:line="480" w:lineRule="auto"/>
                                <w:ind w:left="20" w:right="20" w:firstLine="0"/>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20.0" w:type="dxa"/>
                                <w:right w:w="0.0" w:type="dxa"/>
                              </w:tcMar>
                              <w:vAlign w:val="top"/>
                            </w:tcPr>
                            <w:p w:rsidR="00000000" w:rsidDel="00000000" w:rsidP="00000000" w:rsidRDefault="00000000" w:rsidRPr="00000000" w14:paraId="00000024">
                              <w:pPr>
                                <w:spacing w:line="480" w:lineRule="auto"/>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0.0" w:type="dxa"/>
                                <w:bottom w:w="0.0" w:type="dxa"/>
                                <w:right w:w="20.0" w:type="dxa"/>
                              </w:tcMar>
                              <w:vAlign w:val="top"/>
                            </w:tcPr>
                            <w:p w:rsidR="00000000" w:rsidDel="00000000" w:rsidP="00000000" w:rsidRDefault="00000000" w:rsidRPr="00000000" w14:paraId="00000025">
                              <w:pPr>
                                <w:spacing w:after="20" w:before="20" w:line="480" w:lineRule="auto"/>
                                <w:ind w:left="20" w:right="20" w:firstLine="0"/>
                                <w:rPr>
                                  <w:rFonts w:ascii="Times New Roman" w:cs="Times New Roman" w:eastAsia="Times New Roman" w:hAnsi="Times New Roman"/>
                                  <w:color w:val="222222"/>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20.0" w:type="dxa"/>
                                <w:right w:w="0.0" w:type="dxa"/>
                              </w:tcMar>
                              <w:vAlign w:val="top"/>
                            </w:tcPr>
                            <w:p w:rsidR="00000000" w:rsidDel="00000000" w:rsidP="00000000" w:rsidRDefault="00000000" w:rsidRPr="00000000" w14:paraId="00000026">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bl>
                      <w:p w:rsidR="00000000" w:rsidDel="00000000" w:rsidP="00000000" w:rsidRDefault="00000000" w:rsidRPr="00000000" w14:paraId="00000027">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bl>
                <w:p w:rsidR="00000000" w:rsidDel="00000000" w:rsidP="00000000" w:rsidRDefault="00000000" w:rsidRPr="00000000" w14:paraId="00000028">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bl>
          <w:p w:rsidR="00000000" w:rsidDel="00000000" w:rsidP="00000000" w:rsidRDefault="00000000" w:rsidRPr="00000000" w14:paraId="00000029">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20.0" w:type="dxa"/>
            </w:tcMar>
            <w:vAlign w:val="top"/>
          </w:tcPr>
          <w:p w:rsidR="00000000" w:rsidDel="00000000" w:rsidP="00000000" w:rsidRDefault="00000000" w:rsidRPr="00000000" w14:paraId="0000002A">
            <w:pPr>
              <w:spacing w:line="480" w:lineRule="auto"/>
              <w:rPr>
                <w:rFonts w:ascii="Times New Roman" w:cs="Times New Roman" w:eastAsia="Times New Roman" w:hAnsi="Times New Roman"/>
                <w:color w:val="222222"/>
                <w:sz w:val="22"/>
                <w:szCs w:val="22"/>
              </w:rPr>
            </w:pPr>
            <w:r w:rsidDel="00000000" w:rsidR="00000000" w:rsidRPr="00000000">
              <w:rPr>
                <w:rtl w:val="0"/>
              </w:rPr>
            </w:r>
          </w:p>
        </w:tc>
      </w:tr>
    </w:tbl>
    <w:p w:rsidR="00000000" w:rsidDel="00000000" w:rsidP="00000000" w:rsidRDefault="00000000" w:rsidRPr="00000000" w14:paraId="0000002B">
      <w:pPr>
        <w:spacing w:line="48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E">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F">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0">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1">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2">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3">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4">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5">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6">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7">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8">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9">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B">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C">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D">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E">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F">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1">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3">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4">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5">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7">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8">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9">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A">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B">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C">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D">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pageBreakBefore w:val="0"/>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F">
      <w:pPr>
        <w:pageBreakBefore w:val="0"/>
        <w:spacing w:line="276" w:lineRule="auto"/>
        <w:rPr>
          <w:rFonts w:ascii="Roboto" w:cs="Roboto" w:eastAsia="Roboto" w:hAnsi="Roboto"/>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680"/>
        <w:tab w:val="right" w:leader="none" w:pos="9360"/>
      </w:tabs>
      <w:jc w:val="center"/>
      <w:rPr>
        <w:rFonts w:ascii="Aleo" w:cs="Aleo" w:eastAsia="Aleo" w:hAnsi="Aleo"/>
        <w:color w:val="055196"/>
        <w:sz w:val="17"/>
        <w:szCs w:val="17"/>
      </w:rPr>
    </w:pPr>
    <w:r w:rsidDel="00000000" w:rsidR="00000000" w:rsidRPr="00000000">
      <w:rPr>
        <w:rFonts w:ascii="Aleo" w:cs="Aleo" w:eastAsia="Aleo" w:hAnsi="Aleo"/>
        <w:color w:val="055196"/>
        <w:sz w:val="17"/>
        <w:szCs w:val="17"/>
        <w:rtl w:val="0"/>
      </w:rPr>
      <w:t xml:space="preserve"> </w:t>
    </w:r>
    <w:r w:rsidDel="00000000" w:rsidR="00000000" w:rsidRPr="00000000">
      <w:rPr>
        <w:rFonts w:ascii="Aleo" w:cs="Aleo" w:eastAsia="Aleo" w:hAnsi="Aleo"/>
        <w:color w:val="0481b0"/>
        <w:sz w:val="17"/>
        <w:szCs w:val="17"/>
        <w:rtl w:val="0"/>
      </w:rPr>
      <w:t xml:space="preserve">Air Alliance Houston | </w:t>
    </w:r>
    <w:r w:rsidDel="00000000" w:rsidR="00000000" w:rsidRPr="00000000">
      <w:rPr>
        <w:rFonts w:ascii="Aleo" w:cs="Aleo" w:eastAsia="Aleo" w:hAnsi="Aleo"/>
        <w:color w:val="4dc2e1"/>
        <w:sz w:val="17"/>
        <w:szCs w:val="17"/>
        <w:rtl w:val="0"/>
      </w:rPr>
      <w:t xml:space="preserve">a:</w:t>
    </w:r>
    <w:r w:rsidDel="00000000" w:rsidR="00000000" w:rsidRPr="00000000">
      <w:rPr>
        <w:rFonts w:ascii="Aleo" w:cs="Aleo" w:eastAsia="Aleo" w:hAnsi="Aleo"/>
        <w:color w:val="119bca"/>
        <w:sz w:val="17"/>
        <w:szCs w:val="17"/>
        <w:rtl w:val="0"/>
      </w:rPr>
      <w:t xml:space="preserve"> </w:t>
    </w:r>
    <w:r w:rsidDel="00000000" w:rsidR="00000000" w:rsidRPr="00000000">
      <w:rPr>
        <w:rFonts w:ascii="Aleo" w:cs="Aleo" w:eastAsia="Aleo" w:hAnsi="Aleo"/>
        <w:color w:val="0481b0"/>
        <w:sz w:val="17"/>
        <w:szCs w:val="17"/>
        <w:rtl w:val="0"/>
      </w:rPr>
      <w:t xml:space="preserve">2520 Caroline Street, Suite 100, Houston, TX 77004 |</w:t>
    </w:r>
    <w:r w:rsidDel="00000000" w:rsidR="00000000" w:rsidRPr="00000000">
      <w:rPr>
        <w:rFonts w:ascii="Aleo" w:cs="Aleo" w:eastAsia="Aleo" w:hAnsi="Aleo"/>
        <w:color w:val="0032d6"/>
        <w:sz w:val="17"/>
        <w:szCs w:val="17"/>
        <w:rtl w:val="0"/>
      </w:rPr>
      <w:t xml:space="preserve"> </w:t>
    </w:r>
    <w:r w:rsidDel="00000000" w:rsidR="00000000" w:rsidRPr="00000000">
      <w:rPr>
        <w:rFonts w:ascii="Aleo" w:cs="Aleo" w:eastAsia="Aleo" w:hAnsi="Aleo"/>
        <w:color w:val="4dc2e1"/>
        <w:sz w:val="17"/>
        <w:szCs w:val="17"/>
        <w:rtl w:val="0"/>
      </w:rPr>
      <w:t xml:space="preserve">p: </w:t>
    </w:r>
    <w:r w:rsidDel="00000000" w:rsidR="00000000" w:rsidRPr="00000000">
      <w:rPr>
        <w:rFonts w:ascii="Aleo" w:cs="Aleo" w:eastAsia="Aleo" w:hAnsi="Aleo"/>
        <w:color w:val="0481b0"/>
        <w:sz w:val="17"/>
        <w:szCs w:val="17"/>
        <w:rtl w:val="0"/>
      </w:rPr>
      <w:t xml:space="preserve">713.528.3779 |</w:t>
    </w:r>
    <w:r w:rsidDel="00000000" w:rsidR="00000000" w:rsidRPr="00000000">
      <w:rPr>
        <w:rFonts w:ascii="Aleo" w:cs="Aleo" w:eastAsia="Aleo" w:hAnsi="Aleo"/>
        <w:color w:val="0032d6"/>
        <w:sz w:val="17"/>
        <w:szCs w:val="17"/>
        <w:rtl w:val="0"/>
      </w:rPr>
      <w:t xml:space="preserve"> </w:t>
    </w:r>
    <w:r w:rsidDel="00000000" w:rsidR="00000000" w:rsidRPr="00000000">
      <w:rPr>
        <w:rFonts w:ascii="Aleo" w:cs="Aleo" w:eastAsia="Aleo" w:hAnsi="Aleo"/>
        <w:color w:val="4dc2e1"/>
        <w:sz w:val="17"/>
        <w:szCs w:val="17"/>
        <w:rtl w:val="0"/>
      </w:rPr>
      <w:t xml:space="preserve">w:</w:t>
    </w:r>
    <w:r w:rsidDel="00000000" w:rsidR="00000000" w:rsidRPr="00000000">
      <w:rPr>
        <w:rFonts w:ascii="Aleo" w:cs="Aleo" w:eastAsia="Aleo" w:hAnsi="Aleo"/>
        <w:color w:val="119bca"/>
        <w:sz w:val="17"/>
        <w:szCs w:val="17"/>
        <w:rtl w:val="0"/>
      </w:rPr>
      <w:t xml:space="preserve"> </w:t>
    </w:r>
    <w:r w:rsidDel="00000000" w:rsidR="00000000" w:rsidRPr="00000000">
      <w:rPr>
        <w:rFonts w:ascii="Aleo" w:cs="Aleo" w:eastAsia="Aleo" w:hAnsi="Aleo"/>
        <w:color w:val="0481b0"/>
        <w:sz w:val="17"/>
        <w:szCs w:val="17"/>
        <w:rtl w:val="0"/>
      </w:rPr>
      <w:t xml:space="preserve">airalliancehouston.org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center" w:leader="none" w:pos="4680"/>
        <w:tab w:val="right" w:leader="none" w:pos="9360"/>
      </w:tabs>
      <w:jc w:val="center"/>
      <w:rPr>
        <w:rFonts w:ascii="Calibri" w:cs="Calibri" w:eastAsia="Calibri" w:hAnsi="Calibri"/>
        <w:b w:val="0"/>
        <w:i w:val="0"/>
        <w:smallCaps w:val="0"/>
        <w:strike w:val="0"/>
        <w:color w:val="0481b0"/>
        <w:sz w:val="24"/>
        <w:szCs w:val="24"/>
        <w:u w:val="none"/>
        <w:shd w:fill="auto" w:val="clear"/>
        <w:vertAlign w:val="baseline"/>
      </w:rPr>
    </w:pPr>
    <w:r w:rsidDel="00000000" w:rsidR="00000000" w:rsidRPr="00000000">
      <w:rPr>
        <w:rFonts w:ascii="Aleo" w:cs="Aleo" w:eastAsia="Aleo" w:hAnsi="Aleo"/>
        <w:color w:val="055196"/>
        <w:sz w:val="17"/>
        <w:szCs w:val="17"/>
        <w:rtl w:val="0"/>
      </w:rPr>
      <w:t xml:space="preserve"> </w:t>
    </w:r>
    <w:r w:rsidDel="00000000" w:rsidR="00000000" w:rsidRPr="00000000">
      <w:rPr>
        <w:rFonts w:ascii="Aleo" w:cs="Aleo" w:eastAsia="Aleo" w:hAnsi="Aleo"/>
        <w:color w:val="0481b0"/>
        <w:sz w:val="17"/>
        <w:szCs w:val="17"/>
        <w:rtl w:val="0"/>
      </w:rPr>
      <w:t xml:space="preserve">Air Alliance Houston | </w:t>
    </w:r>
    <w:r w:rsidDel="00000000" w:rsidR="00000000" w:rsidRPr="00000000">
      <w:rPr>
        <w:rFonts w:ascii="Aleo" w:cs="Aleo" w:eastAsia="Aleo" w:hAnsi="Aleo"/>
        <w:color w:val="4dc2e1"/>
        <w:sz w:val="17"/>
        <w:szCs w:val="17"/>
        <w:rtl w:val="0"/>
      </w:rPr>
      <w:t xml:space="preserve">a:</w:t>
    </w:r>
    <w:r w:rsidDel="00000000" w:rsidR="00000000" w:rsidRPr="00000000">
      <w:rPr>
        <w:rFonts w:ascii="Aleo" w:cs="Aleo" w:eastAsia="Aleo" w:hAnsi="Aleo"/>
        <w:color w:val="119bca"/>
        <w:sz w:val="17"/>
        <w:szCs w:val="17"/>
        <w:rtl w:val="0"/>
      </w:rPr>
      <w:t xml:space="preserve"> </w:t>
    </w:r>
    <w:r w:rsidDel="00000000" w:rsidR="00000000" w:rsidRPr="00000000">
      <w:rPr>
        <w:rFonts w:ascii="Aleo" w:cs="Aleo" w:eastAsia="Aleo" w:hAnsi="Aleo"/>
        <w:color w:val="0481b0"/>
        <w:sz w:val="17"/>
        <w:szCs w:val="17"/>
        <w:rtl w:val="0"/>
      </w:rPr>
      <w:t xml:space="preserve">2520 Caroline Street, Suite 100, Houston, TX 77004 |</w:t>
    </w:r>
    <w:r w:rsidDel="00000000" w:rsidR="00000000" w:rsidRPr="00000000">
      <w:rPr>
        <w:rFonts w:ascii="Aleo" w:cs="Aleo" w:eastAsia="Aleo" w:hAnsi="Aleo"/>
        <w:color w:val="0032d6"/>
        <w:sz w:val="17"/>
        <w:szCs w:val="17"/>
        <w:rtl w:val="0"/>
      </w:rPr>
      <w:t xml:space="preserve"> </w:t>
    </w:r>
    <w:r w:rsidDel="00000000" w:rsidR="00000000" w:rsidRPr="00000000">
      <w:rPr>
        <w:rFonts w:ascii="Aleo" w:cs="Aleo" w:eastAsia="Aleo" w:hAnsi="Aleo"/>
        <w:color w:val="4dc2e1"/>
        <w:sz w:val="17"/>
        <w:szCs w:val="17"/>
        <w:rtl w:val="0"/>
      </w:rPr>
      <w:t xml:space="preserve">p: </w:t>
    </w:r>
    <w:r w:rsidDel="00000000" w:rsidR="00000000" w:rsidRPr="00000000">
      <w:rPr>
        <w:rFonts w:ascii="Aleo" w:cs="Aleo" w:eastAsia="Aleo" w:hAnsi="Aleo"/>
        <w:color w:val="0481b0"/>
        <w:sz w:val="17"/>
        <w:szCs w:val="17"/>
        <w:rtl w:val="0"/>
      </w:rPr>
      <w:t xml:space="preserve">713.528.3779 |</w:t>
    </w:r>
    <w:r w:rsidDel="00000000" w:rsidR="00000000" w:rsidRPr="00000000">
      <w:rPr>
        <w:rFonts w:ascii="Aleo" w:cs="Aleo" w:eastAsia="Aleo" w:hAnsi="Aleo"/>
        <w:color w:val="0032d6"/>
        <w:sz w:val="17"/>
        <w:szCs w:val="17"/>
        <w:rtl w:val="0"/>
      </w:rPr>
      <w:t xml:space="preserve"> </w:t>
    </w:r>
    <w:r w:rsidDel="00000000" w:rsidR="00000000" w:rsidRPr="00000000">
      <w:rPr>
        <w:rFonts w:ascii="Aleo" w:cs="Aleo" w:eastAsia="Aleo" w:hAnsi="Aleo"/>
        <w:color w:val="4dc2e1"/>
        <w:sz w:val="17"/>
        <w:szCs w:val="17"/>
        <w:rtl w:val="0"/>
      </w:rPr>
      <w:t xml:space="preserve">w:</w:t>
    </w:r>
    <w:r w:rsidDel="00000000" w:rsidR="00000000" w:rsidRPr="00000000">
      <w:rPr>
        <w:rFonts w:ascii="Aleo" w:cs="Aleo" w:eastAsia="Aleo" w:hAnsi="Aleo"/>
        <w:color w:val="119bca"/>
        <w:sz w:val="17"/>
        <w:szCs w:val="17"/>
        <w:rtl w:val="0"/>
      </w:rPr>
      <w:t xml:space="preserve"> </w:t>
    </w:r>
    <w:r w:rsidDel="00000000" w:rsidR="00000000" w:rsidRPr="00000000">
      <w:rPr>
        <w:rFonts w:ascii="Aleo" w:cs="Aleo" w:eastAsia="Aleo" w:hAnsi="Aleo"/>
        <w:color w:val="0481b0"/>
        <w:sz w:val="17"/>
        <w:szCs w:val="17"/>
        <w:rtl w:val="0"/>
      </w:rPr>
      <w:t xml:space="preserve">airalliancehouston.org</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4680"/>
        <w:tab w:val="right" w:leader="none" w:pos="9360"/>
      </w:tabs>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680"/>
        <w:tab w:val="right" w:leader="none" w:pos="9360"/>
      </w:tabs>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leo" w:cs="Aleo" w:eastAsia="Aleo" w:hAnsi="Aleo"/>
        <w:sz w:val="22"/>
        <w:szCs w:val="22"/>
      </w:rPr>
      <w:drawing>
        <wp:inline distB="0" distT="0" distL="0" distR="0">
          <wp:extent cx="823913" cy="823913"/>
          <wp:effectExtent b="0" l="0" r="0" t="0"/>
          <wp:docPr descr="Icon&#10;&#10;Description automatically generated" id="4"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823913" cy="8239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leo-regular.ttf"/><Relationship Id="rId6" Type="http://schemas.openxmlformats.org/officeDocument/2006/relationships/font" Target="fonts/Aleo-bold.ttf"/><Relationship Id="rId7" Type="http://schemas.openxmlformats.org/officeDocument/2006/relationships/font" Target="fonts/Aleo-italic.ttf"/><Relationship Id="rId8" Type="http://schemas.openxmlformats.org/officeDocument/2006/relationships/font" Target="fonts/Ale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x7TaVWg73XXSj9MMWgJVazfoA==">CgMxLjA4AHIhMWEwWEx0RFB0NGtlMjROUnVfTnRObDZsQVY3UllfRk9S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