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Karen Peters, ADEQ Executive Deputy Director, 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 urge you to reject the proposed air-pollution permit for the Copper World mine. As it's currently drafted, the proposed permit does little to ensure the mine protects our air or environment. Instead, it gives the mine a free pass to pollute. 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draft permit would allow for the construction of a massive open-pit mining operation in the Santa Rita Mountains south of Tucson. Daily operations will include blasting, ore crushing, processing, and the construction of a sulfuric acid plant. These activities have the potential to release thousands of tons of toxic air pollution every year, threatening public health and the environment. 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I'm especially concerned that the permit contains the following deficiencies: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exempts the mine from compliance during malfunctions, startups, and shutdowns. If the mine can't comply at all times, it shouldn't get a permit to pollute.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fails to require actual monitoring of emissions from all sources to ensure compliance with all limits. Monitoring must be required to ensure compliance.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lacks specific terms and conditions to ensure the enforceability of all emissions limits.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inappropriately classifies certain emissions sources as “fugitive,” allowing the mine to avoid more stringent permitting and pollution-control requirements.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short, it doesn't make sure the Copper World mine will fully protect the air we breathe. 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 these reasons and more, I call on you to deny the permit application. 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At a minimum you must require the Copper World mine to obtain a Class I permit. Under the Clean Air Act, a Class I permit imposes more stringent requirements to control emissions, ensure monitoring, and ensure more extensive public involvement. A Class I permit is necessary so that the mine is *always* accountable for limiting its air pollution and protecting the environment — no exceptions. 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For too long the Arizona mining industry has been allowed to pollute with impunity. I urge you to hold Hudbay Minerals and the Copper World mine accountable instead of giving them a free pass to pollute.</w:t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Copper World Air Permit Questions: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Why is ADEQ including loopholes that allow for excess emissions during emergencies, malfunctions, startups, and shutdowns?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Why did ADEQ categorize ore processing as fugitive emissions sources?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Assumed control efficiencies for many of the pollution control systems, including scrubbers and filters, are as high as 99%.  With such a messy and variable process, how is it possible that Hudbay will assure compliance with these high control efficiencies at all times?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will emissions from blasting be monitored?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Why was Hudbay allowed to exclude PM10 monitoring data when assessing ambient air quality impacts?</w:t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These comments are derived from technical analysis conducted by the Center for Biological Diversity.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Aptos" w:cs="Aptos" w:eastAsia="Aptos" w:hAnsi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103F7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03F7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03F7F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03F7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03F7F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03F7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03F7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03F7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03F7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03F7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03F7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03F7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03F7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03F7F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03F7F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03F7F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03F7F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03F7F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03F7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03F7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03F7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03F7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03F7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03F7F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03F7F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03F7F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03F7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03F7F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03F7F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qJbcUxDmb4ENXQyKgCqcLjCV8g==">CgMxLjA4AHIhMTBaZzU5UWJhYXpPU01sd2Y4SmdSVzVGT1I5TjhXN0Q3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2024-08-06T18:26:00Z</dcterms:created>
  <dc:creator>Anna Darian</dc:creator>
</cp:coreProperties>
</file>