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DA767" w14:textId="38FE5D1D" w:rsidR="00CB19A8" w:rsidRPr="00BB5294" w:rsidRDefault="007901AC">
      <w:pPr>
        <w:spacing w:before="240" w:after="240" w:line="240" w:lineRule="auto"/>
        <w:jc w:val="right"/>
        <w:rPr>
          <w:rFonts w:ascii="Times New Roman" w:eastAsia="Times New Roman" w:hAnsi="Times New Roman" w:cs="Times New Roman"/>
        </w:rPr>
      </w:pPr>
      <w:r w:rsidRPr="00BB5294">
        <w:rPr>
          <w:rFonts w:ascii="Times New Roman" w:eastAsia="Times New Roman" w:hAnsi="Times New Roman" w:cs="Times New Roman"/>
        </w:rPr>
        <w:t>California Fuels and Convenience Alliance</w:t>
      </w:r>
      <w:r w:rsidRPr="00BB5294">
        <w:rPr>
          <w:rFonts w:ascii="Times New Roman" w:hAnsi="Times New Roman" w:cs="Times New Roman"/>
          <w:noProof/>
        </w:rPr>
        <w:drawing>
          <wp:anchor distT="114300" distB="114300" distL="114300" distR="114300" simplePos="0" relativeHeight="251658240" behindDoc="0" locked="0" layoutInCell="1" hidden="0" allowOverlap="1" wp14:anchorId="505AA1A2" wp14:editId="5A8315D6">
            <wp:simplePos x="0" y="0"/>
            <wp:positionH relativeFrom="column">
              <wp:posOffset>1</wp:posOffset>
            </wp:positionH>
            <wp:positionV relativeFrom="paragraph">
              <wp:posOffset>190500</wp:posOffset>
            </wp:positionV>
            <wp:extent cx="2233613" cy="75451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233613" cy="754518"/>
                    </a:xfrm>
                    <a:prstGeom prst="rect">
                      <a:avLst/>
                    </a:prstGeom>
                    <a:ln/>
                  </pic:spPr>
                </pic:pic>
              </a:graphicData>
            </a:graphic>
            <wp14:sizeRelH relativeFrom="margin">
              <wp14:pctWidth>0</wp14:pctWidth>
            </wp14:sizeRelH>
            <wp14:sizeRelV relativeFrom="margin">
              <wp14:pctHeight>0</wp14:pctHeight>
            </wp14:sizeRelV>
          </wp:anchor>
        </w:drawing>
      </w:r>
    </w:p>
    <w:p w14:paraId="253C0C0C" w14:textId="77777777" w:rsidR="00CB19A8" w:rsidRPr="00BB5294" w:rsidRDefault="007901AC">
      <w:pPr>
        <w:spacing w:before="240" w:after="240" w:line="240" w:lineRule="auto"/>
        <w:jc w:val="right"/>
        <w:rPr>
          <w:rFonts w:ascii="Times New Roman" w:eastAsia="Times New Roman" w:hAnsi="Times New Roman" w:cs="Times New Roman"/>
        </w:rPr>
      </w:pPr>
      <w:r w:rsidRPr="00BB5294">
        <w:rPr>
          <w:rFonts w:ascii="Times New Roman" w:eastAsia="Times New Roman" w:hAnsi="Times New Roman" w:cs="Times New Roman"/>
        </w:rPr>
        <w:t>2520 Venture Oaks Way, Suite 100</w:t>
      </w:r>
    </w:p>
    <w:p w14:paraId="0BA700A1" w14:textId="77777777" w:rsidR="00CB19A8" w:rsidRPr="00BB5294" w:rsidRDefault="007901AC">
      <w:pPr>
        <w:spacing w:before="240" w:after="240" w:line="240" w:lineRule="auto"/>
        <w:jc w:val="right"/>
        <w:rPr>
          <w:rFonts w:ascii="Times New Roman" w:eastAsia="Times New Roman" w:hAnsi="Times New Roman" w:cs="Times New Roman"/>
        </w:rPr>
      </w:pPr>
      <w:r w:rsidRPr="00BB5294">
        <w:rPr>
          <w:rFonts w:ascii="Times New Roman" w:eastAsia="Times New Roman" w:hAnsi="Times New Roman" w:cs="Times New Roman"/>
        </w:rPr>
        <w:t>Sacramento, CA 95833</w:t>
      </w:r>
    </w:p>
    <w:p w14:paraId="20CFD2EB" w14:textId="77777777" w:rsidR="00CB19A8" w:rsidRPr="00155BEE" w:rsidRDefault="007901AC">
      <w:pPr>
        <w:spacing w:before="240" w:after="240" w:line="240" w:lineRule="auto"/>
        <w:jc w:val="right"/>
        <w:rPr>
          <w:rFonts w:ascii="Times New Roman" w:eastAsia="Times New Roman" w:hAnsi="Times New Roman" w:cs="Times New Roman"/>
        </w:rPr>
      </w:pPr>
      <w:r w:rsidRPr="00155BEE">
        <w:rPr>
          <w:rFonts w:ascii="Times New Roman" w:eastAsia="Times New Roman" w:hAnsi="Times New Roman" w:cs="Times New Roman"/>
        </w:rPr>
        <w:t>916.646.5999</w:t>
      </w:r>
    </w:p>
    <w:p w14:paraId="5FDB3E36" w14:textId="430FF774" w:rsidR="00CB19A8" w:rsidRPr="00BB5294" w:rsidRDefault="00CD2E46">
      <w:pPr>
        <w:spacing w:line="240" w:lineRule="auto"/>
        <w:rPr>
          <w:rFonts w:ascii="Times New Roman" w:eastAsia="Times New Roman" w:hAnsi="Times New Roman" w:cs="Times New Roman"/>
          <w:b/>
        </w:rPr>
      </w:pPr>
      <w:r w:rsidRPr="00155BEE">
        <w:rPr>
          <w:rFonts w:ascii="Times New Roman" w:eastAsia="Times New Roman" w:hAnsi="Times New Roman" w:cs="Times New Roman"/>
          <w:b/>
        </w:rPr>
        <w:t xml:space="preserve">January </w:t>
      </w:r>
      <w:r w:rsidR="00155BEE" w:rsidRPr="00155BEE">
        <w:rPr>
          <w:rFonts w:ascii="Times New Roman" w:eastAsia="Times New Roman" w:hAnsi="Times New Roman" w:cs="Times New Roman"/>
          <w:b/>
        </w:rPr>
        <w:t>28</w:t>
      </w:r>
      <w:r w:rsidRPr="00155BEE">
        <w:rPr>
          <w:rFonts w:ascii="Times New Roman" w:eastAsia="Times New Roman" w:hAnsi="Times New Roman" w:cs="Times New Roman"/>
          <w:b/>
        </w:rPr>
        <w:t>, 2026</w:t>
      </w:r>
    </w:p>
    <w:p w14:paraId="78EE8A56" w14:textId="4C400FF7" w:rsidR="00CB19A8" w:rsidRPr="00BB5294" w:rsidRDefault="00CB19A8">
      <w:pPr>
        <w:spacing w:line="240" w:lineRule="auto"/>
        <w:rPr>
          <w:rFonts w:ascii="Times New Roman" w:eastAsia="Times New Roman" w:hAnsi="Times New Roman" w:cs="Times New Roman"/>
        </w:rPr>
      </w:pPr>
    </w:p>
    <w:p w14:paraId="723DF495" w14:textId="77777777" w:rsidR="00CB19A8" w:rsidRPr="00BB5294" w:rsidRDefault="007901AC">
      <w:pPr>
        <w:spacing w:line="240" w:lineRule="auto"/>
        <w:rPr>
          <w:rFonts w:ascii="Times New Roman" w:eastAsia="Times New Roman" w:hAnsi="Times New Roman" w:cs="Times New Roman"/>
        </w:rPr>
      </w:pPr>
      <w:r w:rsidRPr="00BB5294">
        <w:rPr>
          <w:rFonts w:ascii="Times New Roman" w:eastAsia="Times New Roman" w:hAnsi="Times New Roman" w:cs="Times New Roman"/>
        </w:rPr>
        <w:t>California Air Resources Board</w:t>
      </w:r>
      <w:r w:rsidRPr="00BB5294">
        <w:rPr>
          <w:rFonts w:ascii="Times New Roman" w:eastAsia="Times New Roman" w:hAnsi="Times New Roman" w:cs="Times New Roman"/>
        </w:rPr>
        <w:br/>
        <w:t>1001 I Street</w:t>
      </w:r>
      <w:r w:rsidRPr="00BB5294">
        <w:rPr>
          <w:rFonts w:ascii="Times New Roman" w:eastAsia="Times New Roman" w:hAnsi="Times New Roman" w:cs="Times New Roman"/>
        </w:rPr>
        <w:br/>
        <w:t>Sacramento, CA 95814</w:t>
      </w:r>
    </w:p>
    <w:p w14:paraId="4DDCF555" w14:textId="77777777" w:rsidR="00CB19A8" w:rsidRPr="00BB5294" w:rsidRDefault="007901AC">
      <w:pPr>
        <w:spacing w:line="240" w:lineRule="auto"/>
        <w:rPr>
          <w:rFonts w:ascii="Times New Roman" w:eastAsia="Times New Roman" w:hAnsi="Times New Roman" w:cs="Times New Roman"/>
          <w:b/>
        </w:rPr>
      </w:pPr>
      <w:r w:rsidRPr="00BB5294">
        <w:rPr>
          <w:rFonts w:ascii="Times New Roman" w:eastAsia="Times New Roman" w:hAnsi="Times New Roman" w:cs="Times New Roman"/>
          <w:b/>
        </w:rPr>
        <w:t xml:space="preserve"> </w:t>
      </w:r>
    </w:p>
    <w:p w14:paraId="6B0C9C58" w14:textId="6F8C2F83" w:rsidR="002B28AB" w:rsidRDefault="007901AC" w:rsidP="002B28AB">
      <w:pPr>
        <w:rPr>
          <w:rFonts w:ascii="Times New Roman" w:eastAsia="Times New Roman" w:hAnsi="Times New Roman" w:cs="Times New Roman"/>
        </w:rPr>
      </w:pPr>
      <w:r w:rsidRPr="00BB5294">
        <w:rPr>
          <w:rFonts w:ascii="Times New Roman" w:eastAsia="Times New Roman" w:hAnsi="Times New Roman" w:cs="Times New Roman"/>
          <w:b/>
        </w:rPr>
        <w:t xml:space="preserve">RE: </w:t>
      </w:r>
      <w:r w:rsidR="002B28AB">
        <w:rPr>
          <w:rFonts w:ascii="Times New Roman" w:eastAsia="Times New Roman" w:hAnsi="Times New Roman" w:cs="Times New Roman"/>
          <w:b/>
        </w:rPr>
        <w:t xml:space="preserve">CFCA Comments </w:t>
      </w:r>
      <w:r w:rsidR="00A62ADE">
        <w:rPr>
          <w:rFonts w:ascii="Times New Roman" w:eastAsia="Times New Roman" w:hAnsi="Times New Roman" w:cs="Times New Roman"/>
          <w:bCs/>
        </w:rPr>
        <w:t>–</w:t>
      </w:r>
      <w:r w:rsidR="00F94AF3">
        <w:rPr>
          <w:rFonts w:ascii="Times New Roman" w:eastAsia="Times New Roman" w:hAnsi="Times New Roman" w:cs="Times New Roman"/>
          <w:bCs/>
        </w:rPr>
        <w:t xml:space="preserve"> </w:t>
      </w:r>
      <w:r w:rsidR="00F94AF3" w:rsidRPr="00F94AF3">
        <w:rPr>
          <w:rFonts w:ascii="Times New Roman" w:eastAsia="Times New Roman" w:hAnsi="Times New Roman" w:cs="Times New Roman"/>
          <w:b/>
        </w:rPr>
        <w:t>Initial 200-Series Regulations and Proactive Input for Future Rulemaking</w:t>
      </w:r>
    </w:p>
    <w:p w14:paraId="4D5ED5DF" w14:textId="77777777" w:rsidR="00A92175" w:rsidRDefault="00A92175" w:rsidP="00A62ADE">
      <w:pPr>
        <w:rPr>
          <w:rFonts w:ascii="Times New Roman" w:eastAsia="Times New Roman" w:hAnsi="Times New Roman" w:cs="Times New Roman"/>
        </w:rPr>
      </w:pPr>
    </w:p>
    <w:p w14:paraId="6923EC1B" w14:textId="36E6BFF4" w:rsidR="00A62ADE" w:rsidRDefault="00A62ADE" w:rsidP="00A62ADE">
      <w:pPr>
        <w:rPr>
          <w:rFonts w:ascii="Times New Roman" w:eastAsia="Times New Roman" w:hAnsi="Times New Roman" w:cs="Times New Roman"/>
        </w:rPr>
      </w:pPr>
      <w:r w:rsidRPr="002B28AB">
        <w:rPr>
          <w:rFonts w:ascii="Times New Roman" w:eastAsia="Times New Roman" w:hAnsi="Times New Roman" w:cs="Times New Roman"/>
        </w:rPr>
        <w:t>The California Fuels and Convenience Alliance (CFCA) represent</w:t>
      </w:r>
      <w:r>
        <w:rPr>
          <w:rFonts w:ascii="Times New Roman" w:eastAsia="Times New Roman" w:hAnsi="Times New Roman" w:cs="Times New Roman"/>
        </w:rPr>
        <w:t xml:space="preserve">s </w:t>
      </w:r>
      <w:r w:rsidRPr="002B28AB">
        <w:rPr>
          <w:rFonts w:ascii="Times New Roman" w:eastAsia="Times New Roman" w:hAnsi="Times New Roman" w:cs="Times New Roman"/>
        </w:rPr>
        <w:t>approximately 300 members, including nearly 90 percent of all independent petroleum marketers in the state and more than half of the state’s 12,000 convenience retailers. Our members—predominantly small, family- and minority-owned businesses—play a vital role in California’s fuel supply chain, serving local governments, emergency services, school districts, transit companies, independent fuel retailers, and the agriculture industry.</w:t>
      </w:r>
    </w:p>
    <w:p w14:paraId="1FCBD12A" w14:textId="77777777" w:rsidR="00A62ADE" w:rsidRDefault="00A62ADE" w:rsidP="002B28AB">
      <w:pPr>
        <w:rPr>
          <w:rFonts w:ascii="Times New Roman" w:eastAsia="Times New Roman" w:hAnsi="Times New Roman" w:cs="Times New Roman"/>
        </w:rPr>
      </w:pPr>
    </w:p>
    <w:p w14:paraId="21C7749B" w14:textId="2EB440C1" w:rsidR="00A92175" w:rsidRDefault="00CD2E46" w:rsidP="002B28AB">
      <w:pPr>
        <w:rPr>
          <w:rFonts w:ascii="Times New Roman" w:eastAsia="Times New Roman" w:hAnsi="Times New Roman" w:cs="Times New Roman"/>
        </w:rPr>
      </w:pPr>
      <w:r w:rsidRPr="00CD2E46">
        <w:rPr>
          <w:rFonts w:ascii="Times New Roman" w:eastAsia="Times New Roman" w:hAnsi="Times New Roman" w:cs="Times New Roman"/>
        </w:rPr>
        <w:t>We appreciate the opportunity to comment on the California Air Resources Board’s (CARB) Initial Regulation and to provide proactive input for future rulemaking proceedings related to SB 253 implementation.</w:t>
      </w:r>
    </w:p>
    <w:p w14:paraId="28E41006" w14:textId="77777777" w:rsidR="00CD2E46" w:rsidRDefault="00CD2E46" w:rsidP="002B28AB">
      <w:pPr>
        <w:rPr>
          <w:rFonts w:ascii="Times New Roman" w:eastAsia="Times New Roman" w:hAnsi="Times New Roman" w:cs="Times New Roman"/>
        </w:rPr>
      </w:pPr>
    </w:p>
    <w:p w14:paraId="20C823FD" w14:textId="2B980872" w:rsidR="00411642" w:rsidRDefault="002C68DB" w:rsidP="00A92175">
      <w:pPr>
        <w:rPr>
          <w:rFonts w:ascii="Times New Roman" w:eastAsia="Times New Roman" w:hAnsi="Times New Roman" w:cs="Times New Roman"/>
        </w:rPr>
      </w:pPr>
      <w:r w:rsidRPr="002C68DB">
        <w:rPr>
          <w:rFonts w:ascii="Times New Roman" w:eastAsia="Times New Roman" w:hAnsi="Times New Roman" w:cs="Times New Roman"/>
        </w:rPr>
        <w:t xml:space="preserve">While mentioned in previous workshops, the initial regulation remains unclear regarding how reporting entities will be treated if they make good-faith efforts to submit complete Scope 1 and 2 emissions reports but are unable to fully comply with the voluntary framework provided by CARB. The regulation also does not specify the format in which Scope 1 and 2 emissions should be reported—leaving uncertainty as to whether entities may choose their own reporting format. Furthermore, the current CARB template requests that reporting entities use revenue-based metrics for Scope 1 emission intensities (as discussed in the preceding section). It is unclear whether a company would be penalized for instead using physical intensity ratios. </w:t>
      </w:r>
      <w:r w:rsidR="00CD2E46">
        <w:rPr>
          <w:rFonts w:ascii="Times New Roman" w:eastAsia="Times New Roman" w:hAnsi="Times New Roman" w:cs="Times New Roman"/>
        </w:rPr>
        <w:t>Additionally</w:t>
      </w:r>
      <w:r w:rsidRPr="002C68DB">
        <w:rPr>
          <w:rFonts w:ascii="Times New Roman" w:eastAsia="Times New Roman" w:hAnsi="Times New Roman" w:cs="Times New Roman"/>
        </w:rPr>
        <w:t>, CARB has indicated a “give us whatever you have” approach for the first compliance year, but the initial regulation does not explicitly clarify this.</w:t>
      </w:r>
      <w:r w:rsidR="00CD2E46">
        <w:rPr>
          <w:rFonts w:ascii="Times New Roman" w:eastAsia="Times New Roman" w:hAnsi="Times New Roman" w:cs="Times New Roman"/>
        </w:rPr>
        <w:t xml:space="preserve"> </w:t>
      </w:r>
      <w:r w:rsidR="00CD2E46" w:rsidRPr="00CD2E46">
        <w:rPr>
          <w:rFonts w:ascii="Times New Roman" w:eastAsia="Times New Roman" w:hAnsi="Times New Roman" w:cs="Times New Roman"/>
        </w:rPr>
        <w:t>These uncertainties underscore the need for flexibility in both reporting formats and intensity metrics</w:t>
      </w:r>
      <w:r w:rsidR="008F076B">
        <w:rPr>
          <w:rFonts w:ascii="Times New Roman" w:eastAsia="Times New Roman" w:hAnsi="Times New Roman" w:cs="Times New Roman"/>
        </w:rPr>
        <w:t xml:space="preserve">, as </w:t>
      </w:r>
      <w:r w:rsidR="00266C37">
        <w:rPr>
          <w:rFonts w:ascii="Times New Roman" w:eastAsia="Times New Roman" w:hAnsi="Times New Roman" w:cs="Times New Roman"/>
        </w:rPr>
        <w:t>discussed</w:t>
      </w:r>
      <w:r w:rsidR="008F076B">
        <w:rPr>
          <w:rFonts w:ascii="Times New Roman" w:eastAsia="Times New Roman" w:hAnsi="Times New Roman" w:cs="Times New Roman"/>
        </w:rPr>
        <w:t xml:space="preserve"> below. </w:t>
      </w:r>
    </w:p>
    <w:p w14:paraId="5CF4B8E4" w14:textId="77777777" w:rsidR="002C68DB" w:rsidRDefault="002C68DB" w:rsidP="00A92175">
      <w:pPr>
        <w:rPr>
          <w:rFonts w:ascii="Times New Roman" w:eastAsia="Times New Roman" w:hAnsi="Times New Roman" w:cs="Times New Roman"/>
          <w:b/>
          <w:bCs/>
        </w:rPr>
      </w:pPr>
    </w:p>
    <w:p w14:paraId="4CCC0882" w14:textId="01B1E5C3" w:rsidR="00A92175" w:rsidRPr="00A92175" w:rsidRDefault="00A92175" w:rsidP="00A92175">
      <w:pPr>
        <w:rPr>
          <w:rFonts w:ascii="Times New Roman" w:eastAsia="Times New Roman" w:hAnsi="Times New Roman" w:cs="Times New Roman"/>
          <w:b/>
          <w:bCs/>
        </w:rPr>
      </w:pPr>
      <w:r w:rsidRPr="00A92175">
        <w:rPr>
          <w:rFonts w:ascii="Times New Roman" w:eastAsia="Times New Roman" w:hAnsi="Times New Roman" w:cs="Times New Roman"/>
          <w:b/>
          <w:bCs/>
        </w:rPr>
        <w:t>SCOPE 1 EMISSIONS INTENSITY</w:t>
      </w:r>
    </w:p>
    <w:p w14:paraId="4A6F3F17" w14:textId="4B9C972B" w:rsidR="00A92175" w:rsidRPr="00A92175" w:rsidRDefault="00A92175" w:rsidP="00A92175">
      <w:pPr>
        <w:rPr>
          <w:rFonts w:ascii="Times New Roman" w:eastAsia="Times New Roman" w:hAnsi="Times New Roman" w:cs="Times New Roman"/>
        </w:rPr>
      </w:pPr>
      <w:r w:rsidRPr="00A92175">
        <w:rPr>
          <w:rFonts w:ascii="Times New Roman" w:eastAsia="Times New Roman" w:hAnsi="Times New Roman" w:cs="Times New Roman"/>
        </w:rPr>
        <w:t xml:space="preserve">CARB’s template currently requests that reporting entities disclose Scope 1 emission intensity per million dollars in revenue (mtCO₂e/million dollars). CFCA recommends that CARB allow reporting entities to use physical intensity ratios (e.g., mtCO₂e per square foot) rather than </w:t>
      </w:r>
      <w:r w:rsidR="00AF0F75">
        <w:rPr>
          <w:rFonts w:ascii="Times New Roman" w:eastAsia="Times New Roman" w:hAnsi="Times New Roman" w:cs="Times New Roman"/>
        </w:rPr>
        <w:t>revenue-based metrics</w:t>
      </w:r>
      <w:r w:rsidRPr="00A92175">
        <w:rPr>
          <w:rFonts w:ascii="Times New Roman" w:eastAsia="Times New Roman" w:hAnsi="Times New Roman" w:cs="Times New Roman"/>
        </w:rPr>
        <w:t>. Reporting intensity by physical unit would better align with facility-level operational data and protect confidential financial information from external exposure. CARB should consider providing flexibility for entities to select the intensity ratio most appropriate for their business operations.</w:t>
      </w:r>
    </w:p>
    <w:p w14:paraId="28D4235C" w14:textId="77777777" w:rsidR="00A92175" w:rsidRPr="00A92175" w:rsidRDefault="00A92175" w:rsidP="00A92175">
      <w:pPr>
        <w:rPr>
          <w:rFonts w:ascii="Times New Roman" w:eastAsia="Times New Roman" w:hAnsi="Times New Roman" w:cs="Times New Roman"/>
          <w:b/>
          <w:bCs/>
        </w:rPr>
      </w:pPr>
    </w:p>
    <w:p w14:paraId="22F13165" w14:textId="77777777" w:rsidR="00CD2E46" w:rsidRDefault="00CD2E46" w:rsidP="00A92175">
      <w:pPr>
        <w:rPr>
          <w:rFonts w:ascii="Times New Roman" w:eastAsia="Times New Roman" w:hAnsi="Times New Roman" w:cs="Times New Roman"/>
          <w:b/>
          <w:bCs/>
        </w:rPr>
      </w:pPr>
    </w:p>
    <w:p w14:paraId="6D5D3744" w14:textId="56F227E4" w:rsidR="00A92175" w:rsidRPr="00A92175" w:rsidRDefault="00A92175" w:rsidP="00A92175">
      <w:pPr>
        <w:rPr>
          <w:rFonts w:ascii="Times New Roman" w:eastAsia="Times New Roman" w:hAnsi="Times New Roman" w:cs="Times New Roman"/>
          <w:b/>
          <w:bCs/>
        </w:rPr>
      </w:pPr>
      <w:r w:rsidRPr="00A92175">
        <w:rPr>
          <w:rFonts w:ascii="Times New Roman" w:eastAsia="Times New Roman" w:hAnsi="Times New Roman" w:cs="Times New Roman"/>
          <w:b/>
          <w:bCs/>
        </w:rPr>
        <w:t>ORGANIZATIONAL BOUNDARIES</w:t>
      </w:r>
    </w:p>
    <w:p w14:paraId="2C1E2A69" w14:textId="0D791638" w:rsidR="00A92175" w:rsidRDefault="00A92175" w:rsidP="00A92175">
      <w:pPr>
        <w:rPr>
          <w:rFonts w:ascii="Times New Roman" w:eastAsia="Times New Roman" w:hAnsi="Times New Roman" w:cs="Times New Roman"/>
        </w:rPr>
      </w:pPr>
      <w:r w:rsidRPr="00A92175">
        <w:rPr>
          <w:rFonts w:ascii="Times New Roman" w:eastAsia="Times New Roman" w:hAnsi="Times New Roman" w:cs="Times New Roman"/>
        </w:rPr>
        <w:t>Regarding organizational boundaries, CFCA urges CARB to allow reporting entities the flexibility to select a boundary condition consistent with established frameworks such as the Greenhouse Gas Protocol or the EU Corporate Sustainability Reporting Directive (CSRD). Each business structure is unique, and a one-size-fits-all boundary definition would not reflect operational realities. For example, some entities</w:t>
      </w:r>
      <w:r>
        <w:rPr>
          <w:rFonts w:ascii="Times New Roman" w:eastAsia="Times New Roman" w:hAnsi="Times New Roman" w:cs="Times New Roman"/>
        </w:rPr>
        <w:t xml:space="preserve"> use</w:t>
      </w:r>
      <w:r w:rsidRPr="00A92175">
        <w:rPr>
          <w:rFonts w:ascii="Times New Roman" w:eastAsia="Times New Roman" w:hAnsi="Times New Roman" w:cs="Times New Roman"/>
        </w:rPr>
        <w:t xml:space="preserve"> an “operational control” approach consistent with the GHG Protocol framework</w:t>
      </w:r>
      <w:r w:rsidR="004361BF">
        <w:rPr>
          <w:rFonts w:ascii="Times New Roman" w:eastAsia="Times New Roman" w:hAnsi="Times New Roman" w:cs="Times New Roman"/>
        </w:rPr>
        <w:t xml:space="preserve">, while others may opt for “equity share” approach or “financial control” approach. </w:t>
      </w:r>
      <w:r w:rsidRPr="00A92175">
        <w:rPr>
          <w:rFonts w:ascii="Times New Roman" w:eastAsia="Times New Roman" w:hAnsi="Times New Roman" w:cs="Times New Roman"/>
        </w:rPr>
        <w:t>CARB should maintain flexibility for entities to apply whichever recognized boundary approach best fits their organization</w:t>
      </w:r>
      <w:r w:rsidR="004361BF">
        <w:rPr>
          <w:rFonts w:ascii="Times New Roman" w:eastAsia="Times New Roman" w:hAnsi="Times New Roman" w:cs="Times New Roman"/>
        </w:rPr>
        <w:t xml:space="preserve"> in order to accurately account for GHG inventories. </w:t>
      </w:r>
    </w:p>
    <w:p w14:paraId="191DACF0" w14:textId="77777777" w:rsidR="002F6A97" w:rsidRDefault="002F6A97" w:rsidP="00F12B85">
      <w:pPr>
        <w:rPr>
          <w:rFonts w:ascii="Times New Roman" w:eastAsia="Times New Roman" w:hAnsi="Times New Roman" w:cs="Times New Roman"/>
          <w:b/>
          <w:bCs/>
        </w:rPr>
      </w:pPr>
    </w:p>
    <w:p w14:paraId="407916B7" w14:textId="1DB08CFE" w:rsidR="00F12B85" w:rsidRPr="00F12B85" w:rsidRDefault="00F12B85" w:rsidP="00F12B85">
      <w:pPr>
        <w:rPr>
          <w:rFonts w:ascii="Times New Roman" w:eastAsia="Times New Roman" w:hAnsi="Times New Roman" w:cs="Times New Roman"/>
          <w:b/>
          <w:bCs/>
        </w:rPr>
      </w:pPr>
      <w:r w:rsidRPr="00F12B85">
        <w:rPr>
          <w:rFonts w:ascii="Times New Roman" w:eastAsia="Times New Roman" w:hAnsi="Times New Roman" w:cs="Times New Roman"/>
          <w:b/>
          <w:bCs/>
        </w:rPr>
        <w:t>ONGOING CONCERNS WITH SCOPE 3 EMISSIONS</w:t>
      </w:r>
    </w:p>
    <w:p w14:paraId="20D8189E" w14:textId="77777777" w:rsidR="00AF0F75" w:rsidRPr="00AF0F75" w:rsidRDefault="00AF0F75" w:rsidP="00AF0F75">
      <w:pPr>
        <w:rPr>
          <w:rFonts w:ascii="Times New Roman" w:eastAsia="Times New Roman" w:hAnsi="Times New Roman" w:cs="Times New Roman"/>
        </w:rPr>
      </w:pPr>
      <w:r w:rsidRPr="00AF0F75">
        <w:rPr>
          <w:rFonts w:ascii="Times New Roman" w:eastAsia="Times New Roman" w:hAnsi="Times New Roman" w:cs="Times New Roman"/>
        </w:rPr>
        <w:t>The requirement to report Scope 3 emissions remains unworkable, unreliable, and unfairly punitive, and it fails to align with the goal of advancing climate improvements while maintaining affordability for California’s small businesses.</w:t>
      </w:r>
    </w:p>
    <w:p w14:paraId="1D3519A0" w14:textId="77777777" w:rsidR="00AF0F75" w:rsidRPr="00AF0F75" w:rsidRDefault="00AF0F75" w:rsidP="00AF0F75">
      <w:pPr>
        <w:rPr>
          <w:rFonts w:ascii="Times New Roman" w:eastAsia="Times New Roman" w:hAnsi="Times New Roman" w:cs="Times New Roman"/>
        </w:rPr>
      </w:pPr>
    </w:p>
    <w:p w14:paraId="7B78EF19" w14:textId="2699CC01" w:rsidR="00AF0F75" w:rsidRDefault="00AF0F75" w:rsidP="00AF0F75">
      <w:pPr>
        <w:rPr>
          <w:rFonts w:ascii="Times New Roman" w:eastAsia="Times New Roman" w:hAnsi="Times New Roman" w:cs="Times New Roman"/>
        </w:rPr>
      </w:pPr>
      <w:r w:rsidRPr="00AF0F75">
        <w:rPr>
          <w:rFonts w:ascii="Times New Roman" w:eastAsia="Times New Roman" w:hAnsi="Times New Roman" w:cs="Times New Roman"/>
        </w:rPr>
        <w:t>Unlike direct (Scope 1) and indirect (Scope 2) emissions, Scope 3 emissions are generated outside a company’s direct control, making accurate reporting impossible. These requirements impose an excessive burden on businesses by forcing them to track emissions from suppliers, distributors, and customers—many of whom may not even operate in California. Additionally, Scope 3 emissions are impossible to verify because companies cannot compel third-party suppliers to disclose emissions data, which leads to inaccurate and inconsistent reporting.</w:t>
      </w:r>
      <w:r>
        <w:rPr>
          <w:rFonts w:ascii="Times New Roman" w:eastAsia="Times New Roman" w:hAnsi="Times New Roman" w:cs="Times New Roman"/>
        </w:rPr>
        <w:t xml:space="preserve"> </w:t>
      </w:r>
      <w:r w:rsidRPr="00AF0F75">
        <w:rPr>
          <w:rFonts w:ascii="Times New Roman" w:eastAsia="Times New Roman" w:hAnsi="Times New Roman" w:cs="Times New Roman"/>
        </w:rPr>
        <w:t xml:space="preserve">If CARB’s goal is to provide more verifiable information regarding climate risk to the marketplace, requiring Scope 3 emissions disclosures only adds uncertainty. Overestimating or underestimating emissions due to lack of reliable data can harm both businesses and the marketplace. </w:t>
      </w:r>
      <w:r w:rsidR="00411642" w:rsidRPr="00411642">
        <w:rPr>
          <w:rFonts w:ascii="Times New Roman" w:eastAsia="Times New Roman" w:hAnsi="Times New Roman" w:cs="Times New Roman"/>
        </w:rPr>
        <w:t xml:space="preserve">A fuel distributor reports Scope 3 emissions based on estimates from suppliers because actual data is unavailable. If the distributor overestimates emissions, it could appear less environmentally responsible than it </w:t>
      </w:r>
      <w:proofErr w:type="gramStart"/>
      <w:r w:rsidR="00411642" w:rsidRPr="00411642">
        <w:rPr>
          <w:rFonts w:ascii="Times New Roman" w:eastAsia="Times New Roman" w:hAnsi="Times New Roman" w:cs="Times New Roman"/>
        </w:rPr>
        <w:t>actually is</w:t>
      </w:r>
      <w:proofErr w:type="gramEnd"/>
      <w:r w:rsidR="00411642" w:rsidRPr="00411642">
        <w:rPr>
          <w:rFonts w:ascii="Times New Roman" w:eastAsia="Times New Roman" w:hAnsi="Times New Roman" w:cs="Times New Roman"/>
        </w:rPr>
        <w:t xml:space="preserve">, potentially affecting investor perceptions, credit ratings, or contract opportunities. Conversely, </w:t>
      </w:r>
      <w:r w:rsidR="00411642">
        <w:rPr>
          <w:rFonts w:ascii="Times New Roman" w:eastAsia="Times New Roman" w:hAnsi="Times New Roman" w:cs="Times New Roman"/>
        </w:rPr>
        <w:t xml:space="preserve">unknowingly </w:t>
      </w:r>
      <w:r w:rsidR="00411642" w:rsidRPr="00411642">
        <w:rPr>
          <w:rFonts w:ascii="Times New Roman" w:eastAsia="Times New Roman" w:hAnsi="Times New Roman" w:cs="Times New Roman"/>
        </w:rPr>
        <w:t>underestimating emissions could expose the company to regulatory scrutiny or reputational risk if discrepancies are later discovered. In both cases, inaccurate reporting creates uncertainty that can harm both the business and the overall marketplace.</w:t>
      </w:r>
    </w:p>
    <w:p w14:paraId="785DE74B" w14:textId="77777777" w:rsidR="00AF0F75" w:rsidRDefault="00AF0F75" w:rsidP="00AF0F75">
      <w:pPr>
        <w:rPr>
          <w:rFonts w:ascii="Times New Roman" w:eastAsia="Times New Roman" w:hAnsi="Times New Roman" w:cs="Times New Roman"/>
        </w:rPr>
      </w:pPr>
    </w:p>
    <w:p w14:paraId="53077131" w14:textId="6FED250A" w:rsidR="00F12B85" w:rsidRDefault="00AF0F75" w:rsidP="00AF0F75">
      <w:pPr>
        <w:rPr>
          <w:rFonts w:ascii="Times New Roman" w:eastAsia="Times New Roman" w:hAnsi="Times New Roman" w:cs="Times New Roman"/>
        </w:rPr>
      </w:pPr>
      <w:r>
        <w:rPr>
          <w:rFonts w:ascii="Times New Roman" w:eastAsia="Times New Roman" w:hAnsi="Times New Roman" w:cs="Times New Roman"/>
        </w:rPr>
        <w:t>Furthermore, t</w:t>
      </w:r>
      <w:r w:rsidRPr="00AF0F75">
        <w:rPr>
          <w:rFonts w:ascii="Times New Roman" w:eastAsia="Times New Roman" w:hAnsi="Times New Roman" w:cs="Times New Roman"/>
        </w:rPr>
        <w:t>hese requirements disproportionately burden small and mid-sized businesses that lack the legal and compliance resources to conduct complex emissions audits across their supply chains. They also create competitive disadvantages for California companies that must comply with these mandates while out-of-state and international competitors face no similar requirements.</w:t>
      </w:r>
    </w:p>
    <w:p w14:paraId="02071973" w14:textId="77777777" w:rsidR="00AF0F75" w:rsidRPr="00F12B85" w:rsidRDefault="00AF0F75" w:rsidP="00AF0F75">
      <w:pPr>
        <w:rPr>
          <w:rFonts w:ascii="Times New Roman" w:eastAsia="Times New Roman" w:hAnsi="Times New Roman" w:cs="Times New Roman"/>
        </w:rPr>
      </w:pPr>
    </w:p>
    <w:p w14:paraId="3B94DAB9" w14:textId="5F8E3F9D" w:rsidR="00F12B85" w:rsidRPr="00A92175" w:rsidRDefault="00F12B85" w:rsidP="00F12B85">
      <w:pPr>
        <w:rPr>
          <w:rFonts w:ascii="Times New Roman" w:eastAsia="Times New Roman" w:hAnsi="Times New Roman" w:cs="Times New Roman"/>
        </w:rPr>
      </w:pPr>
      <w:r w:rsidRPr="00F12B85">
        <w:rPr>
          <w:rFonts w:ascii="Times New Roman" w:eastAsia="Times New Roman" w:hAnsi="Times New Roman" w:cs="Times New Roman"/>
        </w:rPr>
        <w:t>Instead, we urge CARB to eliminate all Scope 3 emissions reporting requirements from SB 253 implementation, align with federal reporting standards to prevent regulatory duplication and ensure consistency, and exempt small and mid-sized businesses from any new climate disclosure mandates to prevent disproportionate impacts on local economies.</w:t>
      </w:r>
    </w:p>
    <w:p w14:paraId="1C4DB79E" w14:textId="77777777" w:rsidR="00A92175" w:rsidRPr="00A92175" w:rsidRDefault="00A92175" w:rsidP="00A92175">
      <w:pPr>
        <w:rPr>
          <w:rFonts w:ascii="Times New Roman" w:eastAsia="Times New Roman" w:hAnsi="Times New Roman" w:cs="Times New Roman"/>
          <w:b/>
          <w:bCs/>
        </w:rPr>
      </w:pPr>
    </w:p>
    <w:p w14:paraId="6C89E816" w14:textId="77777777" w:rsidR="00A92175" w:rsidRPr="00A92175" w:rsidRDefault="00A92175" w:rsidP="00A92175">
      <w:pPr>
        <w:rPr>
          <w:rFonts w:ascii="Times New Roman" w:eastAsia="Times New Roman" w:hAnsi="Times New Roman" w:cs="Times New Roman"/>
          <w:b/>
          <w:bCs/>
        </w:rPr>
      </w:pPr>
      <w:r w:rsidRPr="00A92175">
        <w:rPr>
          <w:rFonts w:ascii="Times New Roman" w:eastAsia="Times New Roman" w:hAnsi="Times New Roman" w:cs="Times New Roman"/>
          <w:b/>
          <w:bCs/>
        </w:rPr>
        <w:t>CONCLUSION</w:t>
      </w:r>
    </w:p>
    <w:p w14:paraId="49E1B59C" w14:textId="326EE1F9" w:rsidR="00196179" w:rsidRDefault="00411642" w:rsidP="00196179">
      <w:pPr>
        <w:rPr>
          <w:rFonts w:ascii="Times New Roman" w:eastAsia="Times New Roman" w:hAnsi="Times New Roman" w:cs="Times New Roman"/>
        </w:rPr>
      </w:pPr>
      <w:r w:rsidRPr="00411642">
        <w:rPr>
          <w:rFonts w:ascii="Times New Roman" w:eastAsia="Times New Roman" w:hAnsi="Times New Roman" w:cs="Times New Roman"/>
        </w:rPr>
        <w:t xml:space="preserve">CFCA appreciates CARB’s continued engagement and commitment to clarifying SB 253 implementation. As the Board finalizes </w:t>
      </w:r>
      <w:r w:rsidR="00CD2E46">
        <w:rPr>
          <w:rFonts w:ascii="Times New Roman" w:eastAsia="Times New Roman" w:hAnsi="Times New Roman" w:cs="Times New Roman"/>
        </w:rPr>
        <w:t xml:space="preserve">the initial regulations for the 2026 reporting year and considers regulations for </w:t>
      </w:r>
      <w:r w:rsidR="00CD2E46">
        <w:rPr>
          <w:rFonts w:ascii="Times New Roman" w:eastAsia="Times New Roman" w:hAnsi="Times New Roman" w:cs="Times New Roman"/>
        </w:rPr>
        <w:lastRenderedPageBreak/>
        <w:t>future reporting years</w:t>
      </w:r>
      <w:r w:rsidRPr="00411642">
        <w:rPr>
          <w:rFonts w:ascii="Times New Roman" w:eastAsia="Times New Roman" w:hAnsi="Times New Roman" w:cs="Times New Roman"/>
        </w:rPr>
        <w:t>, we strongly urge CARB to provide flexibility in the reporting template and emission intensity metrics, allowing physical or financial-based measures that reflect operational realities; permit reporting entities to choose organizational boundary approaches consistent with recognized frameworks, such as the GHG Protocol or EU CSRD; and eliminate Scope 3 emissions reporting requirements to prevent undue burdens on small and mid-sized businesses, ensure data reliability, and maintain competitive fairness. Adopting these recommendations will help ensure that the regulations are practical, accurate, and feasible for California businesses, while still advancing climate goals in a cost-effective and equitable manner.</w:t>
      </w:r>
    </w:p>
    <w:p w14:paraId="071966A2" w14:textId="77777777" w:rsidR="00411642" w:rsidRPr="00196179" w:rsidRDefault="00411642" w:rsidP="00196179">
      <w:pPr>
        <w:rPr>
          <w:rFonts w:ascii="Times New Roman" w:eastAsia="Times New Roman" w:hAnsi="Times New Roman" w:cs="Times New Roman"/>
        </w:rPr>
      </w:pPr>
    </w:p>
    <w:p w14:paraId="7091B00F" w14:textId="15B7D198" w:rsidR="00F90A66" w:rsidRDefault="00196179" w:rsidP="00196179">
      <w:pPr>
        <w:rPr>
          <w:rFonts w:ascii="Times New Roman" w:eastAsia="Times New Roman" w:hAnsi="Times New Roman" w:cs="Times New Roman"/>
        </w:rPr>
      </w:pPr>
      <w:r w:rsidRPr="00196179">
        <w:rPr>
          <w:rFonts w:ascii="Times New Roman" w:eastAsia="Times New Roman" w:hAnsi="Times New Roman" w:cs="Times New Roman"/>
        </w:rPr>
        <w:t xml:space="preserve">We thank you for the opportunity to provide feedback </w:t>
      </w:r>
      <w:r w:rsidR="00AF0F75">
        <w:rPr>
          <w:rFonts w:ascii="Times New Roman" w:eastAsia="Times New Roman" w:hAnsi="Times New Roman" w:cs="Times New Roman"/>
        </w:rPr>
        <w:t xml:space="preserve">and </w:t>
      </w:r>
      <w:r w:rsidRPr="00196179">
        <w:rPr>
          <w:rFonts w:ascii="Times New Roman" w:eastAsia="Times New Roman" w:hAnsi="Times New Roman" w:cs="Times New Roman"/>
        </w:rPr>
        <w:t>look forward to ongoing collaboration to ensure these regulations support both affordability and feasible implementation for California businesses.</w:t>
      </w:r>
    </w:p>
    <w:p w14:paraId="1B05A6A1" w14:textId="77777777" w:rsidR="00196179" w:rsidRPr="00FF5CC1" w:rsidRDefault="00196179" w:rsidP="00196179">
      <w:pPr>
        <w:rPr>
          <w:rFonts w:ascii="Times New Roman" w:eastAsia="Times New Roman" w:hAnsi="Times New Roman" w:cs="Times New Roman"/>
        </w:rPr>
      </w:pPr>
    </w:p>
    <w:p w14:paraId="7EE116B8" w14:textId="7467CE21" w:rsidR="00CB19A8" w:rsidRPr="00FF5CC1" w:rsidRDefault="007901AC" w:rsidP="00FF5CC1">
      <w:pPr>
        <w:rPr>
          <w:rFonts w:ascii="Times New Roman" w:eastAsia="Times New Roman" w:hAnsi="Times New Roman" w:cs="Times New Roman"/>
          <w:b/>
          <w:i/>
          <w:iCs/>
        </w:rPr>
      </w:pPr>
      <w:r w:rsidRPr="00FF5CC1">
        <w:rPr>
          <w:rFonts w:ascii="Times New Roman" w:eastAsia="Times New Roman" w:hAnsi="Times New Roman" w:cs="Times New Roman"/>
          <w:i/>
          <w:iCs/>
        </w:rPr>
        <w:t xml:space="preserve">If you have any questions, please contact CFCA’s Sr. Director of Government Affairs, Alessandra Magnasco, at </w:t>
      </w:r>
      <w:hyperlink r:id="rId6">
        <w:r w:rsidRPr="00FF5CC1">
          <w:rPr>
            <w:rFonts w:ascii="Times New Roman" w:eastAsia="Times New Roman" w:hAnsi="Times New Roman" w:cs="Times New Roman"/>
            <w:i/>
            <w:iCs/>
            <w:color w:val="1155CC"/>
            <w:u w:val="single"/>
          </w:rPr>
          <w:t>alessandra@cfca.energy</w:t>
        </w:r>
      </w:hyperlink>
      <w:r w:rsidRPr="00FF5CC1">
        <w:rPr>
          <w:rFonts w:ascii="Times New Roman" w:eastAsia="Times New Roman" w:hAnsi="Times New Roman" w:cs="Times New Roman"/>
          <w:i/>
          <w:iCs/>
        </w:rPr>
        <w:t xml:space="preserve">. </w:t>
      </w:r>
    </w:p>
    <w:p w14:paraId="1C318CA1" w14:textId="77777777" w:rsidR="00CB19A8" w:rsidRPr="00BB5294" w:rsidRDefault="007901AC" w:rsidP="00BB5294">
      <w:pPr>
        <w:spacing w:before="240" w:after="240"/>
        <w:rPr>
          <w:rFonts w:ascii="Times New Roman" w:eastAsia="Times New Roman" w:hAnsi="Times New Roman" w:cs="Times New Roman"/>
        </w:rPr>
      </w:pPr>
      <w:r w:rsidRPr="00BB5294">
        <w:rPr>
          <w:rFonts w:ascii="Times New Roman" w:eastAsia="Times New Roman" w:hAnsi="Times New Roman" w:cs="Times New Roman"/>
        </w:rPr>
        <w:t>Sincerely,</w:t>
      </w:r>
    </w:p>
    <w:p w14:paraId="33ECB2AA" w14:textId="77777777" w:rsidR="00CB19A8" w:rsidRPr="00BB5294" w:rsidRDefault="007901AC">
      <w:pPr>
        <w:spacing w:before="240" w:after="240" w:line="240" w:lineRule="auto"/>
        <w:rPr>
          <w:rFonts w:ascii="Times New Roman" w:eastAsia="Times New Roman" w:hAnsi="Times New Roman" w:cs="Times New Roman"/>
        </w:rPr>
      </w:pPr>
      <w:r w:rsidRPr="00BB5294">
        <w:rPr>
          <w:rFonts w:ascii="Times New Roman" w:eastAsia="Times New Roman" w:hAnsi="Times New Roman" w:cs="Times New Roman"/>
          <w:noProof/>
        </w:rPr>
        <w:drawing>
          <wp:inline distT="114300" distB="114300" distL="114300" distR="114300" wp14:anchorId="1B26ECEE" wp14:editId="3F5C26E6">
            <wp:extent cx="2171700" cy="1016000"/>
            <wp:effectExtent l="0" t="0" r="0" b="0"/>
            <wp:docPr id="2" name="image2.png" descr="A close-up of a signature"/>
            <wp:cNvGraphicFramePr/>
            <a:graphic xmlns:a="http://schemas.openxmlformats.org/drawingml/2006/main">
              <a:graphicData uri="http://schemas.openxmlformats.org/drawingml/2006/picture">
                <pic:pic xmlns:pic="http://schemas.openxmlformats.org/drawingml/2006/picture">
                  <pic:nvPicPr>
                    <pic:cNvPr id="0" name="image2.png" descr="A close-up of a signature"/>
                    <pic:cNvPicPr preferRelativeResize="0"/>
                  </pic:nvPicPr>
                  <pic:blipFill>
                    <a:blip r:embed="rId7"/>
                    <a:srcRect/>
                    <a:stretch>
                      <a:fillRect/>
                    </a:stretch>
                  </pic:blipFill>
                  <pic:spPr>
                    <a:xfrm>
                      <a:off x="0" y="0"/>
                      <a:ext cx="2171700" cy="1016000"/>
                    </a:xfrm>
                    <a:prstGeom prst="rect">
                      <a:avLst/>
                    </a:prstGeom>
                    <a:ln/>
                  </pic:spPr>
                </pic:pic>
              </a:graphicData>
            </a:graphic>
          </wp:inline>
        </w:drawing>
      </w:r>
    </w:p>
    <w:p w14:paraId="1A8EE3C0" w14:textId="77777777" w:rsidR="00CB19A8" w:rsidRPr="00BB5294" w:rsidRDefault="007901AC">
      <w:pPr>
        <w:spacing w:line="240" w:lineRule="auto"/>
        <w:rPr>
          <w:rFonts w:ascii="Times New Roman" w:eastAsia="Times New Roman" w:hAnsi="Times New Roman" w:cs="Times New Roman"/>
        </w:rPr>
      </w:pPr>
      <w:r w:rsidRPr="00BB5294">
        <w:rPr>
          <w:rFonts w:ascii="Times New Roman" w:eastAsia="Times New Roman" w:hAnsi="Times New Roman" w:cs="Times New Roman"/>
        </w:rPr>
        <w:t>Alessandra Magnasco</w:t>
      </w:r>
    </w:p>
    <w:p w14:paraId="76C3F4DE" w14:textId="77777777" w:rsidR="00CB19A8" w:rsidRPr="00BB5294" w:rsidRDefault="007901AC">
      <w:pPr>
        <w:spacing w:line="240" w:lineRule="auto"/>
        <w:rPr>
          <w:rFonts w:ascii="Times New Roman" w:eastAsia="Times New Roman" w:hAnsi="Times New Roman" w:cs="Times New Roman"/>
        </w:rPr>
      </w:pPr>
      <w:r w:rsidRPr="00BB5294">
        <w:rPr>
          <w:rFonts w:ascii="Times New Roman" w:eastAsia="Times New Roman" w:hAnsi="Times New Roman" w:cs="Times New Roman"/>
        </w:rPr>
        <w:t>Sr. Director of Government Affairs</w:t>
      </w:r>
    </w:p>
    <w:p w14:paraId="5695EAB9" w14:textId="77777777" w:rsidR="00CB19A8" w:rsidRPr="00BB5294" w:rsidRDefault="00CB19A8">
      <w:pPr>
        <w:spacing w:line="240" w:lineRule="auto"/>
        <w:rPr>
          <w:rFonts w:ascii="Times New Roman" w:eastAsia="Times New Roman" w:hAnsi="Times New Roman" w:cs="Times New Roman"/>
        </w:rPr>
      </w:pPr>
    </w:p>
    <w:sectPr w:rsidR="00CB19A8" w:rsidRPr="00BB529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0AEE"/>
    <w:multiLevelType w:val="multilevel"/>
    <w:tmpl w:val="E24C15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C27873"/>
    <w:multiLevelType w:val="hybridMultilevel"/>
    <w:tmpl w:val="71843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68477C"/>
    <w:multiLevelType w:val="hybridMultilevel"/>
    <w:tmpl w:val="2742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293587"/>
    <w:multiLevelType w:val="multilevel"/>
    <w:tmpl w:val="5AFAC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74749581">
    <w:abstractNumId w:val="3"/>
  </w:num>
  <w:num w:numId="2" w16cid:durableId="412092048">
    <w:abstractNumId w:val="0"/>
  </w:num>
  <w:num w:numId="3" w16cid:durableId="25449344">
    <w:abstractNumId w:val="1"/>
  </w:num>
  <w:num w:numId="4" w16cid:durableId="1670325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A8"/>
    <w:rsid w:val="00067D6F"/>
    <w:rsid w:val="000D6548"/>
    <w:rsid w:val="00155BEE"/>
    <w:rsid w:val="001862A3"/>
    <w:rsid w:val="00196179"/>
    <w:rsid w:val="001B494B"/>
    <w:rsid w:val="001E1189"/>
    <w:rsid w:val="00245956"/>
    <w:rsid w:val="00266C37"/>
    <w:rsid w:val="002B28AB"/>
    <w:rsid w:val="002C68DB"/>
    <w:rsid w:val="002F6A97"/>
    <w:rsid w:val="00411642"/>
    <w:rsid w:val="004235AD"/>
    <w:rsid w:val="004361BF"/>
    <w:rsid w:val="004633FC"/>
    <w:rsid w:val="00631634"/>
    <w:rsid w:val="00642146"/>
    <w:rsid w:val="007901AC"/>
    <w:rsid w:val="00833010"/>
    <w:rsid w:val="008F076B"/>
    <w:rsid w:val="008F7457"/>
    <w:rsid w:val="00A4059D"/>
    <w:rsid w:val="00A62ADE"/>
    <w:rsid w:val="00A647F2"/>
    <w:rsid w:val="00A92175"/>
    <w:rsid w:val="00AF0F75"/>
    <w:rsid w:val="00B23307"/>
    <w:rsid w:val="00B451EE"/>
    <w:rsid w:val="00B554DD"/>
    <w:rsid w:val="00BB5294"/>
    <w:rsid w:val="00BC0469"/>
    <w:rsid w:val="00BC131D"/>
    <w:rsid w:val="00CB19A8"/>
    <w:rsid w:val="00CD2E46"/>
    <w:rsid w:val="00CF5881"/>
    <w:rsid w:val="00D10865"/>
    <w:rsid w:val="00DC2B58"/>
    <w:rsid w:val="00E71417"/>
    <w:rsid w:val="00EA0A3E"/>
    <w:rsid w:val="00EF1786"/>
    <w:rsid w:val="00F12B85"/>
    <w:rsid w:val="00F90A66"/>
    <w:rsid w:val="00F94AF3"/>
    <w:rsid w:val="00FF5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F705D"/>
  <w15:docId w15:val="{5C9E5AC7-FE7B-4E91-B5F4-20E99A05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DE"/>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45956"/>
    <w:rPr>
      <w:color w:val="0000FF" w:themeColor="hyperlink"/>
      <w:u w:val="single"/>
    </w:rPr>
  </w:style>
  <w:style w:type="character" w:styleId="UnresolvedMention">
    <w:name w:val="Unresolved Mention"/>
    <w:basedOn w:val="DefaultParagraphFont"/>
    <w:uiPriority w:val="99"/>
    <w:semiHidden/>
    <w:unhideWhenUsed/>
    <w:rsid w:val="00245956"/>
    <w:rPr>
      <w:color w:val="605E5C"/>
      <w:shd w:val="clear" w:color="auto" w:fill="E1DFDD"/>
    </w:rPr>
  </w:style>
  <w:style w:type="character" w:styleId="FollowedHyperlink">
    <w:name w:val="FollowedHyperlink"/>
    <w:basedOn w:val="DefaultParagraphFont"/>
    <w:uiPriority w:val="99"/>
    <w:semiHidden/>
    <w:unhideWhenUsed/>
    <w:rsid w:val="00245956"/>
    <w:rPr>
      <w:color w:val="800080" w:themeColor="followedHyperlink"/>
      <w:u w:val="single"/>
    </w:rPr>
  </w:style>
  <w:style w:type="paragraph" w:styleId="ListParagraph">
    <w:name w:val="List Paragraph"/>
    <w:basedOn w:val="Normal"/>
    <w:uiPriority w:val="34"/>
    <w:qFormat/>
    <w:rsid w:val="00BC0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ssandra@cfca.energ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Gebriel Saleh</dc:creator>
  <cp:lastModifiedBy>Gebriel Saleh</cp:lastModifiedBy>
  <cp:revision>6</cp:revision>
  <cp:lastPrinted>2025-04-18T17:47:00Z</cp:lastPrinted>
  <dcterms:created xsi:type="dcterms:W3CDTF">2026-01-15T22:29:00Z</dcterms:created>
  <dcterms:modified xsi:type="dcterms:W3CDTF">2026-01-28T22:01:00Z</dcterms:modified>
</cp:coreProperties>
</file>